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2D" w:rsidRPr="00454DA0" w:rsidRDefault="005E479D" w:rsidP="00EC6A1F">
      <w:pPr>
        <w:spacing w:line="240" w:lineRule="auto"/>
        <w:jc w:val="right"/>
        <w:rPr>
          <w:b/>
          <w:sz w:val="16"/>
          <w:szCs w:val="16"/>
        </w:rPr>
      </w:pPr>
      <w:bookmarkStart w:id="0" w:name="_GoBack"/>
      <w:bookmarkEnd w:id="0"/>
      <w:r>
        <w:rPr>
          <w:b/>
          <w:sz w:val="16"/>
          <w:szCs w:val="16"/>
        </w:rPr>
        <w:t xml:space="preserve">Prishtinë, më </w:t>
      </w:r>
      <w:r w:rsidR="003C6CBB">
        <w:rPr>
          <w:b/>
          <w:sz w:val="16"/>
          <w:szCs w:val="16"/>
        </w:rPr>
        <w:t>3</w:t>
      </w:r>
      <w:r w:rsidR="0012229D">
        <w:rPr>
          <w:b/>
          <w:sz w:val="16"/>
          <w:szCs w:val="16"/>
        </w:rPr>
        <w:t xml:space="preserve"> gusht</w:t>
      </w:r>
      <w:r>
        <w:rPr>
          <w:b/>
          <w:sz w:val="16"/>
          <w:szCs w:val="16"/>
        </w:rPr>
        <w:t xml:space="preserve"> </w:t>
      </w:r>
      <w:r w:rsidR="00F641DA" w:rsidRPr="00454DA0">
        <w:rPr>
          <w:b/>
          <w:sz w:val="16"/>
          <w:szCs w:val="16"/>
        </w:rPr>
        <w:t xml:space="preserve">2020 </w:t>
      </w:r>
    </w:p>
    <w:p w:rsidR="0012229D" w:rsidRPr="0023410F" w:rsidRDefault="0012229D" w:rsidP="0012229D">
      <w:pPr>
        <w:spacing w:line="240" w:lineRule="auto"/>
        <w:jc w:val="right"/>
        <w:rPr>
          <w:b/>
          <w:sz w:val="16"/>
          <w:szCs w:val="16"/>
        </w:rPr>
      </w:pPr>
      <w:r w:rsidRPr="0023410F">
        <w:rPr>
          <w:b/>
          <w:sz w:val="16"/>
          <w:szCs w:val="16"/>
        </w:rPr>
        <w:t>Nr. Ref.:</w:t>
      </w:r>
      <w:r>
        <w:rPr>
          <w:b/>
          <w:sz w:val="16"/>
          <w:szCs w:val="16"/>
        </w:rPr>
        <w:t>RK 1593</w:t>
      </w:r>
      <w:r w:rsidRPr="0023410F">
        <w:rPr>
          <w:b/>
          <w:sz w:val="16"/>
          <w:szCs w:val="16"/>
        </w:rPr>
        <w:t>/20</w:t>
      </w:r>
    </w:p>
    <w:p w:rsidR="0032122D" w:rsidRPr="00454DA0" w:rsidRDefault="0032122D" w:rsidP="00EC6A1F">
      <w:pPr>
        <w:spacing w:line="240" w:lineRule="auto"/>
        <w:jc w:val="right"/>
        <w:rPr>
          <w:rFonts w:cs="Arial"/>
          <w:bCs/>
          <w:sz w:val="16"/>
          <w:szCs w:val="16"/>
        </w:rPr>
      </w:pPr>
    </w:p>
    <w:p w:rsidR="0032122D" w:rsidRPr="00454DA0" w:rsidRDefault="0032122D" w:rsidP="00EC6A1F">
      <w:pPr>
        <w:spacing w:line="240" w:lineRule="auto"/>
        <w:rPr>
          <w:rFonts w:cs="Arial"/>
          <w:bCs/>
          <w:sz w:val="24"/>
        </w:rPr>
      </w:pPr>
    </w:p>
    <w:p w:rsidR="0032122D" w:rsidRPr="00454DA0" w:rsidRDefault="0032122D" w:rsidP="00EC6A1F">
      <w:pPr>
        <w:spacing w:line="240" w:lineRule="auto"/>
        <w:rPr>
          <w:rFonts w:cs="Arial"/>
          <w:bCs/>
          <w:sz w:val="24"/>
        </w:rPr>
      </w:pPr>
    </w:p>
    <w:p w:rsidR="0032122D" w:rsidRPr="00454DA0" w:rsidRDefault="0032122D" w:rsidP="00EC6A1F">
      <w:pPr>
        <w:spacing w:line="240" w:lineRule="auto"/>
        <w:rPr>
          <w:rFonts w:cs="Arial"/>
          <w:b/>
          <w:sz w:val="24"/>
        </w:rPr>
      </w:pPr>
    </w:p>
    <w:p w:rsidR="0032122D" w:rsidRPr="00454DA0" w:rsidRDefault="0032122D" w:rsidP="00EC6A1F">
      <w:pPr>
        <w:spacing w:line="240" w:lineRule="auto"/>
        <w:rPr>
          <w:rFonts w:cs="Arial"/>
          <w:b/>
          <w:sz w:val="24"/>
        </w:rPr>
      </w:pPr>
    </w:p>
    <w:p w:rsidR="0032122D" w:rsidRPr="00454DA0" w:rsidRDefault="0032122D" w:rsidP="00EC6A1F">
      <w:pPr>
        <w:spacing w:line="240" w:lineRule="auto"/>
        <w:rPr>
          <w:rFonts w:cs="Arial"/>
          <w:b/>
          <w:sz w:val="24"/>
        </w:rPr>
      </w:pPr>
    </w:p>
    <w:p w:rsidR="0032122D" w:rsidRPr="00454DA0" w:rsidRDefault="0032122D" w:rsidP="00EC6A1F">
      <w:pPr>
        <w:spacing w:line="240" w:lineRule="auto"/>
        <w:jc w:val="center"/>
        <w:rPr>
          <w:rFonts w:cs="Arial"/>
          <w:b/>
          <w:sz w:val="24"/>
        </w:rPr>
      </w:pPr>
    </w:p>
    <w:p w:rsidR="0032122D" w:rsidRDefault="0032122D" w:rsidP="00EC6A1F">
      <w:pPr>
        <w:tabs>
          <w:tab w:val="left" w:pos="8160"/>
        </w:tabs>
        <w:spacing w:line="240" w:lineRule="auto"/>
        <w:jc w:val="left"/>
        <w:rPr>
          <w:rFonts w:cs="Arial"/>
          <w:b/>
          <w:sz w:val="24"/>
        </w:rPr>
      </w:pPr>
    </w:p>
    <w:p w:rsidR="00EC6A1F" w:rsidRDefault="00EC6A1F" w:rsidP="00EC6A1F">
      <w:pPr>
        <w:tabs>
          <w:tab w:val="left" w:pos="8160"/>
        </w:tabs>
        <w:spacing w:line="240" w:lineRule="auto"/>
        <w:jc w:val="left"/>
        <w:rPr>
          <w:rFonts w:cs="Arial"/>
          <w:b/>
          <w:sz w:val="24"/>
        </w:rPr>
      </w:pPr>
    </w:p>
    <w:p w:rsidR="00EC6A1F" w:rsidRPr="00454DA0" w:rsidRDefault="00EC6A1F" w:rsidP="00EC6A1F">
      <w:pPr>
        <w:tabs>
          <w:tab w:val="left" w:pos="8160"/>
        </w:tabs>
        <w:spacing w:line="240" w:lineRule="auto"/>
        <w:jc w:val="left"/>
        <w:rPr>
          <w:rFonts w:cs="Arial"/>
          <w:b/>
          <w:sz w:val="24"/>
        </w:rPr>
      </w:pPr>
    </w:p>
    <w:p w:rsidR="0032122D" w:rsidRPr="00454DA0" w:rsidRDefault="0032122D" w:rsidP="00EC6A1F">
      <w:pPr>
        <w:spacing w:line="240" w:lineRule="auto"/>
        <w:jc w:val="center"/>
        <w:rPr>
          <w:rFonts w:cs="Arial"/>
          <w:b/>
          <w:sz w:val="24"/>
        </w:rPr>
      </w:pPr>
    </w:p>
    <w:p w:rsidR="005E479D" w:rsidRPr="005E479D" w:rsidRDefault="005E479D" w:rsidP="005E479D">
      <w:pPr>
        <w:spacing w:line="240" w:lineRule="auto"/>
        <w:jc w:val="center"/>
        <w:rPr>
          <w:rFonts w:cs="Arial"/>
          <w:b/>
          <w:bCs/>
          <w:sz w:val="32"/>
          <w:szCs w:val="32"/>
        </w:rPr>
      </w:pPr>
      <w:r>
        <w:rPr>
          <w:rFonts w:cs="Arial"/>
          <w:b/>
          <w:bCs/>
          <w:sz w:val="32"/>
          <w:szCs w:val="32"/>
        </w:rPr>
        <w:t xml:space="preserve">  </w:t>
      </w:r>
      <w:r w:rsidRPr="005E479D">
        <w:rPr>
          <w:rFonts w:cs="Arial"/>
          <w:b/>
          <w:bCs/>
          <w:sz w:val="32"/>
          <w:szCs w:val="32"/>
        </w:rPr>
        <w:t>AKTVENDIM PËR PAPRANUESHMËRI</w:t>
      </w:r>
    </w:p>
    <w:p w:rsidR="0032122D" w:rsidRPr="00454DA0" w:rsidRDefault="0032122D" w:rsidP="00EC6A1F">
      <w:pPr>
        <w:spacing w:line="240" w:lineRule="auto"/>
        <w:jc w:val="center"/>
        <w:rPr>
          <w:rFonts w:cs="Arial"/>
          <w:sz w:val="24"/>
        </w:rPr>
      </w:pPr>
    </w:p>
    <w:p w:rsidR="0032122D" w:rsidRPr="00454DA0" w:rsidRDefault="0032122D" w:rsidP="00EC6A1F">
      <w:pPr>
        <w:spacing w:line="240" w:lineRule="auto"/>
        <w:jc w:val="center"/>
        <w:rPr>
          <w:bCs/>
          <w:sz w:val="24"/>
        </w:rPr>
      </w:pPr>
      <w:r w:rsidRPr="00454DA0">
        <w:rPr>
          <w:bCs/>
          <w:sz w:val="24"/>
        </w:rPr>
        <w:t>në</w:t>
      </w:r>
    </w:p>
    <w:p w:rsidR="0032122D" w:rsidRPr="00454DA0" w:rsidRDefault="0032122D" w:rsidP="00EC6A1F">
      <w:pPr>
        <w:spacing w:line="240" w:lineRule="auto"/>
        <w:jc w:val="center"/>
        <w:rPr>
          <w:b/>
          <w:bCs/>
          <w:sz w:val="24"/>
        </w:rPr>
      </w:pPr>
    </w:p>
    <w:p w:rsidR="0032122D" w:rsidRPr="00454DA0" w:rsidRDefault="0032122D" w:rsidP="00EC6A1F">
      <w:pPr>
        <w:spacing w:line="240" w:lineRule="auto"/>
        <w:jc w:val="center"/>
        <w:rPr>
          <w:rFonts w:cs="Arial"/>
          <w:b/>
          <w:sz w:val="24"/>
        </w:rPr>
      </w:pPr>
      <w:r w:rsidRPr="00454DA0">
        <w:rPr>
          <w:rFonts w:cs="Arial"/>
          <w:b/>
          <w:sz w:val="24"/>
        </w:rPr>
        <w:t>rastin nr</w:t>
      </w:r>
      <w:r w:rsidRPr="00454DA0">
        <w:rPr>
          <w:b/>
          <w:sz w:val="24"/>
        </w:rPr>
        <w:t>.</w:t>
      </w:r>
      <w:r w:rsidR="00957D37" w:rsidRPr="00454DA0">
        <w:rPr>
          <w:rFonts w:cs="Arial"/>
          <w:b/>
          <w:sz w:val="24"/>
        </w:rPr>
        <w:t xml:space="preserve"> KI</w:t>
      </w:r>
      <w:r w:rsidR="008A26DD" w:rsidRPr="00454DA0">
        <w:rPr>
          <w:rFonts w:cs="Arial"/>
          <w:b/>
          <w:sz w:val="24"/>
        </w:rPr>
        <w:t>64</w:t>
      </w:r>
      <w:r w:rsidR="00763281" w:rsidRPr="00454DA0">
        <w:rPr>
          <w:rFonts w:cs="Arial"/>
          <w:b/>
          <w:sz w:val="24"/>
        </w:rPr>
        <w:t>/20</w:t>
      </w:r>
    </w:p>
    <w:p w:rsidR="0032122D" w:rsidRPr="00454DA0" w:rsidRDefault="0032122D" w:rsidP="00EC6A1F">
      <w:pPr>
        <w:spacing w:line="240" w:lineRule="auto"/>
        <w:jc w:val="center"/>
        <w:rPr>
          <w:rFonts w:cs="Arial"/>
          <w:b/>
          <w:sz w:val="24"/>
        </w:rPr>
      </w:pPr>
    </w:p>
    <w:p w:rsidR="0032122D" w:rsidRPr="00454DA0" w:rsidRDefault="0032122D" w:rsidP="00EC6A1F">
      <w:pPr>
        <w:spacing w:line="240" w:lineRule="auto"/>
        <w:jc w:val="center"/>
        <w:rPr>
          <w:bCs/>
          <w:sz w:val="24"/>
        </w:rPr>
      </w:pPr>
      <w:r w:rsidRPr="00454DA0">
        <w:rPr>
          <w:bCs/>
          <w:sz w:val="24"/>
        </w:rPr>
        <w:t>Parashtrues</w:t>
      </w:r>
    </w:p>
    <w:p w:rsidR="0032122D" w:rsidRPr="00454DA0" w:rsidRDefault="0032122D" w:rsidP="00EC6A1F">
      <w:pPr>
        <w:spacing w:line="240" w:lineRule="auto"/>
        <w:jc w:val="center"/>
        <w:rPr>
          <w:b/>
          <w:sz w:val="24"/>
        </w:rPr>
      </w:pPr>
    </w:p>
    <w:p w:rsidR="0032122D" w:rsidRPr="00454DA0" w:rsidRDefault="008A26DD" w:rsidP="00EC6A1F">
      <w:pPr>
        <w:spacing w:line="240" w:lineRule="auto"/>
        <w:jc w:val="center"/>
        <w:rPr>
          <w:rFonts w:cs="Arial"/>
          <w:b/>
          <w:sz w:val="24"/>
        </w:rPr>
      </w:pPr>
      <w:r w:rsidRPr="00454DA0">
        <w:rPr>
          <w:b/>
          <w:sz w:val="24"/>
        </w:rPr>
        <w:t>Asllan Meka</w:t>
      </w:r>
    </w:p>
    <w:p w:rsidR="0032122D" w:rsidRPr="00454DA0" w:rsidRDefault="0032122D" w:rsidP="00EC6A1F">
      <w:pPr>
        <w:spacing w:line="240" w:lineRule="auto"/>
        <w:jc w:val="center"/>
        <w:rPr>
          <w:rFonts w:cs="Arial"/>
          <w:b/>
          <w:sz w:val="24"/>
        </w:rPr>
      </w:pPr>
    </w:p>
    <w:p w:rsidR="0032122D" w:rsidRPr="00454DA0" w:rsidRDefault="0032122D" w:rsidP="00EC6A1F">
      <w:pPr>
        <w:spacing w:line="240" w:lineRule="auto"/>
        <w:jc w:val="center"/>
        <w:rPr>
          <w:rFonts w:cs="Arial"/>
          <w:b/>
          <w:sz w:val="24"/>
        </w:rPr>
      </w:pPr>
    </w:p>
    <w:p w:rsidR="00F641DA" w:rsidRPr="00454DA0" w:rsidRDefault="009767C2" w:rsidP="00EC6A1F">
      <w:pPr>
        <w:spacing w:line="240" w:lineRule="auto"/>
        <w:jc w:val="center"/>
        <w:rPr>
          <w:b/>
          <w:bCs/>
          <w:sz w:val="24"/>
        </w:rPr>
      </w:pPr>
      <w:r>
        <w:rPr>
          <w:rFonts w:eastAsia="SimSun"/>
          <w:b/>
          <w:sz w:val="24"/>
        </w:rPr>
        <w:t>Vlerësim</w:t>
      </w:r>
      <w:r w:rsidR="0032122D" w:rsidRPr="00454DA0">
        <w:rPr>
          <w:rFonts w:eastAsia="SimSun"/>
          <w:b/>
          <w:sz w:val="24"/>
        </w:rPr>
        <w:t xml:space="preserve"> i kushtetutshmërisë së </w:t>
      </w:r>
      <w:r w:rsidR="008A26DD" w:rsidRPr="00454DA0">
        <w:rPr>
          <w:rFonts w:eastAsia="SimSun"/>
          <w:b/>
          <w:sz w:val="24"/>
        </w:rPr>
        <w:t>Aktgjykimit</w:t>
      </w:r>
      <w:r w:rsidR="0032122D" w:rsidRPr="00454DA0">
        <w:rPr>
          <w:rFonts w:eastAsia="SimSun"/>
          <w:b/>
          <w:sz w:val="24"/>
        </w:rPr>
        <w:t xml:space="preserve"> </w:t>
      </w:r>
      <w:r w:rsidR="00B8624D" w:rsidRPr="00454DA0">
        <w:rPr>
          <w:b/>
          <w:bCs/>
          <w:sz w:val="24"/>
        </w:rPr>
        <w:t xml:space="preserve">të Gjykatës </w:t>
      </w:r>
      <w:r w:rsidR="008A26DD" w:rsidRPr="00454DA0">
        <w:rPr>
          <w:b/>
          <w:bCs/>
          <w:sz w:val="24"/>
        </w:rPr>
        <w:t>Supreme</w:t>
      </w:r>
      <w:r w:rsidR="00F641DA" w:rsidRPr="00454DA0">
        <w:rPr>
          <w:b/>
          <w:bCs/>
          <w:sz w:val="24"/>
        </w:rPr>
        <w:t>,</w:t>
      </w:r>
      <w:r w:rsidR="00314A4B" w:rsidRPr="00454DA0">
        <w:rPr>
          <w:b/>
          <w:bCs/>
          <w:sz w:val="24"/>
        </w:rPr>
        <w:t xml:space="preserve"> </w:t>
      </w:r>
    </w:p>
    <w:p w:rsidR="00B8624D" w:rsidRPr="00454DA0" w:rsidRDefault="008A26DD" w:rsidP="00EC6A1F">
      <w:pPr>
        <w:spacing w:line="240" w:lineRule="auto"/>
        <w:jc w:val="center"/>
        <w:rPr>
          <w:rFonts w:eastAsia="SimSun"/>
          <w:b/>
          <w:sz w:val="24"/>
        </w:rPr>
      </w:pPr>
      <w:r w:rsidRPr="00454DA0">
        <w:rPr>
          <w:b/>
          <w:bCs/>
          <w:sz w:val="24"/>
        </w:rPr>
        <w:t>Rev.</w:t>
      </w:r>
      <w:r w:rsidR="00F641DA" w:rsidRPr="00454DA0">
        <w:rPr>
          <w:b/>
          <w:bCs/>
          <w:sz w:val="24"/>
        </w:rPr>
        <w:t xml:space="preserve"> </w:t>
      </w:r>
      <w:r w:rsidRPr="00454DA0">
        <w:rPr>
          <w:b/>
          <w:bCs/>
          <w:sz w:val="24"/>
        </w:rPr>
        <w:t>nr.</w:t>
      </w:r>
      <w:r w:rsidR="00F641DA" w:rsidRPr="00454DA0">
        <w:rPr>
          <w:b/>
          <w:bCs/>
          <w:sz w:val="24"/>
        </w:rPr>
        <w:t xml:space="preserve"> </w:t>
      </w:r>
      <w:r w:rsidRPr="00454DA0">
        <w:rPr>
          <w:b/>
          <w:bCs/>
          <w:sz w:val="24"/>
        </w:rPr>
        <w:t>2/2020</w:t>
      </w:r>
      <w:r w:rsidR="00F641DA" w:rsidRPr="00454DA0">
        <w:rPr>
          <w:b/>
          <w:bCs/>
          <w:sz w:val="24"/>
        </w:rPr>
        <w:t>,</w:t>
      </w:r>
      <w:r w:rsidR="00B8624D" w:rsidRPr="00454DA0">
        <w:rPr>
          <w:b/>
          <w:bCs/>
          <w:sz w:val="24"/>
        </w:rPr>
        <w:t xml:space="preserve"> të </w:t>
      </w:r>
      <w:r w:rsidRPr="00454DA0">
        <w:rPr>
          <w:b/>
          <w:bCs/>
          <w:sz w:val="24"/>
        </w:rPr>
        <w:t>19 shkurtit 2020</w:t>
      </w:r>
    </w:p>
    <w:p w:rsidR="0032122D" w:rsidRPr="00454DA0" w:rsidRDefault="0032122D" w:rsidP="00EC6A1F">
      <w:pPr>
        <w:spacing w:line="240" w:lineRule="auto"/>
        <w:rPr>
          <w:rFonts w:cs="Arial"/>
          <w:b/>
          <w:sz w:val="24"/>
        </w:rPr>
      </w:pPr>
    </w:p>
    <w:p w:rsidR="005E479D" w:rsidRDefault="005E479D" w:rsidP="005E479D">
      <w:pPr>
        <w:spacing w:line="240" w:lineRule="auto"/>
        <w:jc w:val="center"/>
        <w:rPr>
          <w:rFonts w:cs="Arial"/>
          <w:b/>
          <w:sz w:val="24"/>
        </w:rPr>
      </w:pPr>
    </w:p>
    <w:p w:rsidR="005E479D" w:rsidRPr="005E479D" w:rsidRDefault="005E479D" w:rsidP="005E479D">
      <w:pPr>
        <w:spacing w:line="240" w:lineRule="auto"/>
        <w:jc w:val="center"/>
        <w:rPr>
          <w:rFonts w:cs="Arial"/>
          <w:b/>
          <w:sz w:val="24"/>
        </w:rPr>
      </w:pPr>
      <w:r w:rsidRPr="005E479D">
        <w:rPr>
          <w:rFonts w:cs="Arial"/>
          <w:b/>
          <w:sz w:val="24"/>
        </w:rPr>
        <w:t>GJYKATA KUSHTETUESE E REPUBLIKËS SË KOSOVËS</w:t>
      </w:r>
    </w:p>
    <w:p w:rsidR="005E479D" w:rsidRPr="005E479D" w:rsidRDefault="005E479D" w:rsidP="005E479D">
      <w:pPr>
        <w:spacing w:line="240" w:lineRule="auto"/>
        <w:rPr>
          <w:rFonts w:cs="Arial"/>
          <w:b/>
          <w:sz w:val="24"/>
        </w:rPr>
      </w:pPr>
    </w:p>
    <w:p w:rsidR="005E479D" w:rsidRPr="005E479D" w:rsidRDefault="005E479D" w:rsidP="005E479D">
      <w:pPr>
        <w:spacing w:line="240" w:lineRule="auto"/>
        <w:rPr>
          <w:rFonts w:cs="Arial"/>
          <w:b/>
          <w:sz w:val="24"/>
        </w:rPr>
      </w:pPr>
    </w:p>
    <w:p w:rsidR="005E479D" w:rsidRPr="005E479D" w:rsidRDefault="005E479D" w:rsidP="005E479D">
      <w:pPr>
        <w:spacing w:line="240" w:lineRule="auto"/>
        <w:rPr>
          <w:rFonts w:cs="Arial"/>
          <w:sz w:val="24"/>
        </w:rPr>
      </w:pPr>
      <w:r w:rsidRPr="005E479D">
        <w:rPr>
          <w:rFonts w:cs="Arial"/>
          <w:sz w:val="24"/>
        </w:rPr>
        <w:t>e përbërë nga:</w:t>
      </w:r>
    </w:p>
    <w:p w:rsidR="005E479D" w:rsidRPr="005E479D" w:rsidRDefault="005E479D" w:rsidP="005E479D">
      <w:pPr>
        <w:spacing w:line="240" w:lineRule="auto"/>
        <w:rPr>
          <w:rFonts w:cs="Arial"/>
          <w:bCs/>
          <w:sz w:val="24"/>
        </w:rPr>
      </w:pPr>
    </w:p>
    <w:p w:rsidR="005E479D" w:rsidRPr="005E479D" w:rsidRDefault="005E479D" w:rsidP="005E479D">
      <w:pPr>
        <w:spacing w:line="240" w:lineRule="auto"/>
        <w:rPr>
          <w:rFonts w:cs="Arial"/>
          <w:bCs/>
          <w:sz w:val="24"/>
        </w:rPr>
      </w:pPr>
      <w:r w:rsidRPr="005E479D">
        <w:rPr>
          <w:rFonts w:cs="Arial"/>
          <w:bCs/>
          <w:sz w:val="24"/>
        </w:rPr>
        <w:t>Arta Rama-Hajrizi, kryetare</w:t>
      </w:r>
    </w:p>
    <w:p w:rsidR="005E479D" w:rsidRPr="005E479D" w:rsidRDefault="005E479D" w:rsidP="005E479D">
      <w:pPr>
        <w:spacing w:line="240" w:lineRule="auto"/>
        <w:rPr>
          <w:rFonts w:cs="Arial"/>
          <w:bCs/>
          <w:sz w:val="24"/>
        </w:rPr>
      </w:pPr>
      <w:r w:rsidRPr="005E479D">
        <w:rPr>
          <w:rFonts w:cs="Arial"/>
          <w:bCs/>
          <w:sz w:val="24"/>
        </w:rPr>
        <w:t>Bajram Ljatifi, zëvendëskryetar</w:t>
      </w:r>
    </w:p>
    <w:p w:rsidR="005E479D" w:rsidRPr="005E479D" w:rsidRDefault="005E479D" w:rsidP="005E479D">
      <w:pPr>
        <w:spacing w:line="240" w:lineRule="auto"/>
        <w:rPr>
          <w:rFonts w:cs="Arial"/>
          <w:bCs/>
          <w:sz w:val="24"/>
        </w:rPr>
      </w:pPr>
      <w:r w:rsidRPr="005E479D">
        <w:rPr>
          <w:rFonts w:cs="Arial"/>
          <w:bCs/>
          <w:sz w:val="24"/>
        </w:rPr>
        <w:t xml:space="preserve">Bekim Sejdiu, gjyqtar </w:t>
      </w:r>
    </w:p>
    <w:p w:rsidR="005E479D" w:rsidRPr="005E479D" w:rsidRDefault="005E479D" w:rsidP="005E479D">
      <w:pPr>
        <w:spacing w:line="240" w:lineRule="auto"/>
        <w:rPr>
          <w:rFonts w:cs="Arial"/>
          <w:bCs/>
          <w:sz w:val="24"/>
        </w:rPr>
      </w:pPr>
      <w:r w:rsidRPr="005E479D">
        <w:rPr>
          <w:rFonts w:cs="Arial"/>
          <w:bCs/>
          <w:sz w:val="24"/>
        </w:rPr>
        <w:t>Selvete Gërxhaliu-Krasniqi, gjyqtare</w:t>
      </w:r>
    </w:p>
    <w:p w:rsidR="005E479D" w:rsidRPr="005E479D" w:rsidRDefault="005E479D" w:rsidP="005E479D">
      <w:pPr>
        <w:spacing w:line="240" w:lineRule="auto"/>
        <w:rPr>
          <w:rFonts w:cs="Arial"/>
          <w:bCs/>
          <w:sz w:val="24"/>
        </w:rPr>
      </w:pPr>
      <w:r w:rsidRPr="005E479D">
        <w:rPr>
          <w:rFonts w:cs="Arial"/>
          <w:bCs/>
          <w:sz w:val="24"/>
        </w:rPr>
        <w:t>Gresa Caka-Nimani, gjyqtare</w:t>
      </w:r>
    </w:p>
    <w:p w:rsidR="005E479D" w:rsidRPr="005E479D" w:rsidRDefault="005E479D" w:rsidP="005E479D">
      <w:pPr>
        <w:spacing w:line="240" w:lineRule="auto"/>
        <w:rPr>
          <w:rFonts w:cs="Arial"/>
          <w:bCs/>
          <w:sz w:val="24"/>
        </w:rPr>
      </w:pPr>
      <w:r w:rsidRPr="005E479D">
        <w:rPr>
          <w:rFonts w:cs="Arial"/>
          <w:bCs/>
          <w:sz w:val="24"/>
        </w:rPr>
        <w:t>Safet Hoxha, gjyqtar</w:t>
      </w:r>
    </w:p>
    <w:p w:rsidR="005E479D" w:rsidRPr="005E479D" w:rsidRDefault="005E479D" w:rsidP="005E479D">
      <w:pPr>
        <w:spacing w:line="240" w:lineRule="auto"/>
        <w:rPr>
          <w:rFonts w:cs="Arial"/>
          <w:bCs/>
          <w:sz w:val="24"/>
        </w:rPr>
      </w:pPr>
      <w:r w:rsidRPr="005E479D">
        <w:rPr>
          <w:rFonts w:cs="Arial"/>
          <w:bCs/>
          <w:sz w:val="24"/>
        </w:rPr>
        <w:t xml:space="preserve">Radomir Laban, gjyqtar </w:t>
      </w:r>
    </w:p>
    <w:p w:rsidR="005E479D" w:rsidRPr="005E479D" w:rsidRDefault="005E479D" w:rsidP="005E479D">
      <w:pPr>
        <w:spacing w:line="240" w:lineRule="auto"/>
        <w:rPr>
          <w:rFonts w:cs="Arial"/>
          <w:bCs/>
          <w:sz w:val="24"/>
        </w:rPr>
      </w:pPr>
      <w:r w:rsidRPr="005E479D">
        <w:rPr>
          <w:rFonts w:cs="Arial"/>
          <w:bCs/>
          <w:sz w:val="24"/>
        </w:rPr>
        <w:t>Remzije Istrefi-Peci, gjyqtare dhe</w:t>
      </w:r>
    </w:p>
    <w:p w:rsidR="005E479D" w:rsidRPr="005E479D" w:rsidRDefault="005E479D" w:rsidP="005E479D">
      <w:pPr>
        <w:spacing w:line="240" w:lineRule="auto"/>
        <w:rPr>
          <w:rFonts w:cs="Arial"/>
          <w:bCs/>
          <w:sz w:val="24"/>
        </w:rPr>
      </w:pPr>
      <w:r w:rsidRPr="005E479D">
        <w:rPr>
          <w:rFonts w:cs="Arial"/>
          <w:bCs/>
          <w:sz w:val="24"/>
        </w:rPr>
        <w:t>Nexhmi Rexhepi, gjyqtar</w:t>
      </w:r>
    </w:p>
    <w:p w:rsidR="00D66A85" w:rsidRPr="00454DA0" w:rsidRDefault="00D66A85" w:rsidP="00EC6A1F">
      <w:pPr>
        <w:spacing w:line="240" w:lineRule="auto"/>
        <w:rPr>
          <w:rFonts w:cs="Arial"/>
          <w:b/>
          <w:sz w:val="24"/>
        </w:rPr>
      </w:pPr>
    </w:p>
    <w:p w:rsidR="005E479D" w:rsidRDefault="005E479D" w:rsidP="00EC6A1F">
      <w:pPr>
        <w:spacing w:line="240" w:lineRule="auto"/>
        <w:rPr>
          <w:rFonts w:cs="Arial"/>
          <w:b/>
          <w:sz w:val="24"/>
        </w:rPr>
      </w:pPr>
    </w:p>
    <w:p w:rsidR="005E479D" w:rsidRDefault="005E479D" w:rsidP="00EC6A1F">
      <w:pPr>
        <w:spacing w:line="240" w:lineRule="auto"/>
        <w:rPr>
          <w:rFonts w:cs="Arial"/>
          <w:b/>
          <w:sz w:val="24"/>
        </w:rPr>
      </w:pPr>
    </w:p>
    <w:p w:rsidR="005E479D" w:rsidRDefault="005E479D" w:rsidP="00EC6A1F">
      <w:pPr>
        <w:spacing w:line="240" w:lineRule="auto"/>
        <w:rPr>
          <w:rFonts w:cs="Arial"/>
          <w:b/>
          <w:sz w:val="24"/>
        </w:rPr>
      </w:pPr>
    </w:p>
    <w:p w:rsidR="0032122D" w:rsidRPr="00454DA0" w:rsidRDefault="0032122D" w:rsidP="00EC6A1F">
      <w:pPr>
        <w:spacing w:line="240" w:lineRule="auto"/>
        <w:rPr>
          <w:rFonts w:cs="Arial"/>
          <w:b/>
          <w:sz w:val="24"/>
        </w:rPr>
      </w:pPr>
      <w:r w:rsidRPr="00454DA0">
        <w:rPr>
          <w:rFonts w:cs="Arial"/>
          <w:b/>
          <w:sz w:val="24"/>
        </w:rPr>
        <w:t xml:space="preserve">Parashtruesi i kërkesës </w:t>
      </w:r>
    </w:p>
    <w:p w:rsidR="0032122D" w:rsidRPr="00454DA0" w:rsidRDefault="0032122D" w:rsidP="00EC6A1F">
      <w:pPr>
        <w:spacing w:line="240" w:lineRule="auto"/>
        <w:rPr>
          <w:sz w:val="24"/>
        </w:rPr>
      </w:pPr>
    </w:p>
    <w:p w:rsidR="00CF6832" w:rsidRPr="00454DA0" w:rsidRDefault="0032122D" w:rsidP="00EC6A1F">
      <w:pPr>
        <w:numPr>
          <w:ilvl w:val="0"/>
          <w:numId w:val="14"/>
        </w:numPr>
        <w:spacing w:line="240" w:lineRule="auto"/>
        <w:ind w:left="630" w:hanging="630"/>
        <w:rPr>
          <w:rFonts w:cs="Arial"/>
          <w:b/>
          <w:sz w:val="24"/>
        </w:rPr>
      </w:pPr>
      <w:r w:rsidRPr="00454DA0">
        <w:rPr>
          <w:rFonts w:cs="Arial"/>
          <w:sz w:val="24"/>
        </w:rPr>
        <w:t xml:space="preserve">Kërkesa është dorëzuar nga </w:t>
      </w:r>
      <w:r w:rsidR="008A26DD" w:rsidRPr="00454DA0">
        <w:rPr>
          <w:rFonts w:cs="Arial"/>
          <w:sz w:val="24"/>
        </w:rPr>
        <w:t>Asllan Meka nga Gjakova</w:t>
      </w:r>
      <w:r w:rsidR="00957D37" w:rsidRPr="00454DA0">
        <w:rPr>
          <w:rFonts w:cs="Arial"/>
          <w:sz w:val="24"/>
        </w:rPr>
        <w:t xml:space="preserve"> </w:t>
      </w:r>
      <w:r w:rsidR="00F641DA" w:rsidRPr="00454DA0">
        <w:rPr>
          <w:rFonts w:cs="Arial"/>
          <w:sz w:val="24"/>
        </w:rPr>
        <w:t>(në tekstin e mëtejmë: p</w:t>
      </w:r>
      <w:r w:rsidRPr="00454DA0">
        <w:rPr>
          <w:rFonts w:cs="Arial"/>
          <w:sz w:val="24"/>
        </w:rPr>
        <w:t>arashtruesi i kërkesës).</w:t>
      </w:r>
    </w:p>
    <w:p w:rsidR="00D66A85" w:rsidRPr="00454DA0" w:rsidRDefault="00D66A85" w:rsidP="00EC6A1F">
      <w:pPr>
        <w:spacing w:line="240" w:lineRule="auto"/>
        <w:rPr>
          <w:rFonts w:cs="Arial"/>
          <w:sz w:val="24"/>
        </w:rPr>
      </w:pPr>
    </w:p>
    <w:p w:rsidR="00D66A85" w:rsidRPr="005E479D" w:rsidRDefault="00D66A85" w:rsidP="005E479D">
      <w:pPr>
        <w:spacing w:line="240" w:lineRule="auto"/>
        <w:jc w:val="left"/>
        <w:rPr>
          <w:rFonts w:cs="Arial"/>
          <w:b/>
          <w:sz w:val="24"/>
        </w:rPr>
      </w:pPr>
      <w:r w:rsidRPr="00454DA0">
        <w:rPr>
          <w:rFonts w:cs="Arial"/>
          <w:b/>
          <w:sz w:val="24"/>
        </w:rPr>
        <w:t xml:space="preserve">Vendimi i kontestuar </w:t>
      </w:r>
    </w:p>
    <w:p w:rsidR="00D66A85" w:rsidRPr="00454DA0" w:rsidRDefault="00D66A85" w:rsidP="00EC6A1F">
      <w:pPr>
        <w:spacing w:line="240" w:lineRule="auto"/>
        <w:rPr>
          <w:rFonts w:cs="Arial"/>
          <w:sz w:val="24"/>
        </w:rPr>
      </w:pPr>
    </w:p>
    <w:p w:rsidR="00B8624D" w:rsidRPr="00454DA0" w:rsidRDefault="001A4A05" w:rsidP="00EC6A1F">
      <w:pPr>
        <w:numPr>
          <w:ilvl w:val="0"/>
          <w:numId w:val="14"/>
        </w:numPr>
        <w:spacing w:line="240" w:lineRule="auto"/>
        <w:ind w:left="630" w:hanging="630"/>
        <w:rPr>
          <w:rFonts w:cs="Arial"/>
          <w:sz w:val="24"/>
        </w:rPr>
      </w:pPr>
      <w:r w:rsidRPr="00454DA0">
        <w:rPr>
          <w:sz w:val="24"/>
        </w:rPr>
        <w:t xml:space="preserve">Parashtruesi i kërkesës </w:t>
      </w:r>
      <w:r w:rsidR="00763281" w:rsidRPr="00454DA0">
        <w:rPr>
          <w:sz w:val="24"/>
        </w:rPr>
        <w:t xml:space="preserve">konteston </w:t>
      </w:r>
      <w:r w:rsidR="008A26DD" w:rsidRPr="00454DA0">
        <w:rPr>
          <w:sz w:val="24"/>
        </w:rPr>
        <w:t>Aktgjykimin</w:t>
      </w:r>
      <w:r w:rsidR="00763281" w:rsidRPr="00454DA0">
        <w:rPr>
          <w:sz w:val="24"/>
        </w:rPr>
        <w:t xml:space="preserve"> [</w:t>
      </w:r>
      <w:r w:rsidR="008A26DD" w:rsidRPr="00454DA0">
        <w:rPr>
          <w:bCs/>
          <w:sz w:val="24"/>
        </w:rPr>
        <w:t>Rev.</w:t>
      </w:r>
      <w:r w:rsidR="00B10DCB">
        <w:rPr>
          <w:bCs/>
          <w:sz w:val="24"/>
        </w:rPr>
        <w:t xml:space="preserve"> </w:t>
      </w:r>
      <w:r w:rsidR="008A26DD" w:rsidRPr="00454DA0">
        <w:rPr>
          <w:bCs/>
          <w:sz w:val="24"/>
        </w:rPr>
        <w:t>nr.</w:t>
      </w:r>
      <w:r w:rsidR="00B10DCB">
        <w:rPr>
          <w:bCs/>
          <w:sz w:val="24"/>
        </w:rPr>
        <w:t xml:space="preserve"> </w:t>
      </w:r>
      <w:r w:rsidR="008A26DD" w:rsidRPr="00454DA0">
        <w:rPr>
          <w:bCs/>
          <w:sz w:val="24"/>
        </w:rPr>
        <w:t>2/2020</w:t>
      </w:r>
      <w:r w:rsidR="00F641DA" w:rsidRPr="00454DA0">
        <w:rPr>
          <w:sz w:val="24"/>
        </w:rPr>
        <w:t>] të</w:t>
      </w:r>
      <w:r w:rsidR="008A26DD" w:rsidRPr="00454DA0">
        <w:rPr>
          <w:sz w:val="24"/>
        </w:rPr>
        <w:t xml:space="preserve"> 19 shkurtit 2020 të Gjykatës Supreme.</w:t>
      </w:r>
    </w:p>
    <w:p w:rsidR="001A4A05" w:rsidRPr="00454DA0" w:rsidRDefault="001A4A05" w:rsidP="00EC6A1F">
      <w:pPr>
        <w:spacing w:line="240" w:lineRule="auto"/>
        <w:ind w:left="630"/>
        <w:rPr>
          <w:sz w:val="24"/>
        </w:rPr>
      </w:pPr>
    </w:p>
    <w:p w:rsidR="001A4A05" w:rsidRPr="00454DA0" w:rsidRDefault="0032122D" w:rsidP="00EC6A1F">
      <w:pPr>
        <w:spacing w:line="240" w:lineRule="auto"/>
        <w:rPr>
          <w:rFonts w:cs="Arial"/>
          <w:b/>
          <w:sz w:val="24"/>
        </w:rPr>
      </w:pPr>
      <w:r w:rsidRPr="00454DA0">
        <w:rPr>
          <w:rFonts w:cs="Arial"/>
          <w:b/>
          <w:sz w:val="24"/>
        </w:rPr>
        <w:t xml:space="preserve">Objekti i çështjes </w:t>
      </w:r>
    </w:p>
    <w:p w:rsidR="0032122D" w:rsidRPr="00454DA0" w:rsidRDefault="0032122D" w:rsidP="00EC6A1F">
      <w:pPr>
        <w:spacing w:line="240" w:lineRule="auto"/>
        <w:ind w:right="20"/>
        <w:rPr>
          <w:rFonts w:cs="Arial"/>
          <w:b/>
          <w:sz w:val="24"/>
        </w:rPr>
      </w:pPr>
    </w:p>
    <w:p w:rsidR="0032122D" w:rsidRPr="00454DA0" w:rsidRDefault="00F641DA" w:rsidP="00EC6A1F">
      <w:pPr>
        <w:numPr>
          <w:ilvl w:val="0"/>
          <w:numId w:val="14"/>
        </w:numPr>
        <w:spacing w:line="240" w:lineRule="auto"/>
        <w:ind w:left="630" w:hanging="630"/>
        <w:rPr>
          <w:b/>
          <w:sz w:val="24"/>
        </w:rPr>
      </w:pPr>
      <w:r w:rsidRPr="00454DA0">
        <w:rPr>
          <w:sz w:val="24"/>
        </w:rPr>
        <w:t>Objekt</w:t>
      </w:r>
      <w:r w:rsidR="0032122D" w:rsidRPr="00454DA0">
        <w:rPr>
          <w:sz w:val="24"/>
        </w:rPr>
        <w:t xml:space="preserve"> i çështjes së kësaj kërkese është vlerësimi i kushtetutshmërisë së </w:t>
      </w:r>
      <w:r w:rsidR="008A26DD" w:rsidRPr="00454DA0">
        <w:rPr>
          <w:sz w:val="24"/>
        </w:rPr>
        <w:t>Aktgjykimit</w:t>
      </w:r>
      <w:r w:rsidR="0032122D" w:rsidRPr="00454DA0">
        <w:rPr>
          <w:sz w:val="24"/>
        </w:rPr>
        <w:t xml:space="preserve"> të kont</w:t>
      </w:r>
      <w:r w:rsidR="008D4CBF" w:rsidRPr="00454DA0">
        <w:rPr>
          <w:sz w:val="24"/>
        </w:rPr>
        <w:t>estuar</w:t>
      </w:r>
      <w:r w:rsidR="0032122D" w:rsidRPr="00454DA0">
        <w:rPr>
          <w:sz w:val="24"/>
        </w:rPr>
        <w:t xml:space="preserve">, me të cilin parashtruesi </w:t>
      </w:r>
      <w:r w:rsidR="00E91FDC" w:rsidRPr="00454DA0">
        <w:rPr>
          <w:sz w:val="24"/>
        </w:rPr>
        <w:t xml:space="preserve">i kërkesës </w:t>
      </w:r>
      <w:r w:rsidR="0032122D" w:rsidRPr="00454DA0">
        <w:rPr>
          <w:sz w:val="24"/>
        </w:rPr>
        <w:t xml:space="preserve">pretendon shkeljen e të drejtave të tij të garantuara me </w:t>
      </w:r>
      <w:r w:rsidR="0041621E" w:rsidRPr="00454DA0">
        <w:rPr>
          <w:sz w:val="24"/>
        </w:rPr>
        <w:t>nen</w:t>
      </w:r>
      <w:r w:rsidR="00763281" w:rsidRPr="00454DA0">
        <w:rPr>
          <w:sz w:val="24"/>
        </w:rPr>
        <w:t>et 31 [E Drejta për Gjykim të Drejtë dhe të Paanshëm]</w:t>
      </w:r>
      <w:r w:rsidR="00C816B5" w:rsidRPr="00454DA0">
        <w:rPr>
          <w:sz w:val="24"/>
        </w:rPr>
        <w:t>, 32 [E Drejta për Mjete Juridike]</w:t>
      </w:r>
      <w:r w:rsidRPr="00454DA0">
        <w:rPr>
          <w:sz w:val="24"/>
        </w:rPr>
        <w:t xml:space="preserve"> dhe 102 [Parimet e Përgjithshme të Sistemit Gjyqësor]</w:t>
      </w:r>
      <w:r w:rsidR="0094685A" w:rsidRPr="00454DA0">
        <w:rPr>
          <w:sz w:val="24"/>
        </w:rPr>
        <w:t xml:space="preserve"> </w:t>
      </w:r>
      <w:r w:rsidR="005D7300" w:rsidRPr="00454DA0">
        <w:rPr>
          <w:sz w:val="24"/>
        </w:rPr>
        <w:t>të Kushtetutës</w:t>
      </w:r>
      <w:r w:rsidR="00D66D83" w:rsidRPr="00454DA0">
        <w:rPr>
          <w:sz w:val="24"/>
        </w:rPr>
        <w:t xml:space="preserve"> të Republikës së Kosovës (në tekstin e mëtejmë: Kushtetuta)</w:t>
      </w:r>
      <w:r w:rsidRPr="00454DA0">
        <w:rPr>
          <w:sz w:val="24"/>
        </w:rPr>
        <w:t xml:space="preserve"> si dhe me nenin</w:t>
      </w:r>
      <w:r w:rsidR="008A26DD" w:rsidRPr="00454DA0">
        <w:rPr>
          <w:sz w:val="24"/>
        </w:rPr>
        <w:t xml:space="preserve"> 1 [E drejta e Pronës]</w:t>
      </w:r>
      <w:r w:rsidRPr="00454DA0">
        <w:rPr>
          <w:sz w:val="24"/>
        </w:rPr>
        <w:t xml:space="preserve"> të Protokollit I, dhe me nenet</w:t>
      </w:r>
      <w:r w:rsidR="00C816B5" w:rsidRPr="00454DA0">
        <w:rPr>
          <w:sz w:val="24"/>
        </w:rPr>
        <w:t xml:space="preserve"> 6 [E Drejta për një Proces të Rregullt]</w:t>
      </w:r>
      <w:r w:rsidR="008A26DD" w:rsidRPr="00454DA0">
        <w:rPr>
          <w:sz w:val="24"/>
        </w:rPr>
        <w:t xml:space="preserve"> dhe 13 [E drejta për ankim efektiv]</w:t>
      </w:r>
      <w:r w:rsidR="00C816B5" w:rsidRPr="00454DA0">
        <w:rPr>
          <w:sz w:val="24"/>
        </w:rPr>
        <w:t xml:space="preserve"> të Konventës Evropiane për të Drejtat e Njeriut (në tekstin e mëtejmë: KEDNJ)</w:t>
      </w:r>
      <w:r w:rsidR="005D7300" w:rsidRPr="00454DA0">
        <w:rPr>
          <w:sz w:val="24"/>
        </w:rPr>
        <w:t>.</w:t>
      </w:r>
    </w:p>
    <w:p w:rsidR="0032122D" w:rsidRPr="00454DA0" w:rsidRDefault="0032122D" w:rsidP="00EC6A1F">
      <w:pPr>
        <w:spacing w:line="240" w:lineRule="auto"/>
        <w:rPr>
          <w:b/>
          <w:sz w:val="24"/>
        </w:rPr>
      </w:pPr>
    </w:p>
    <w:p w:rsidR="0032122D" w:rsidRPr="00454DA0" w:rsidRDefault="0032122D" w:rsidP="00EC6A1F">
      <w:pPr>
        <w:spacing w:line="240" w:lineRule="auto"/>
        <w:rPr>
          <w:b/>
          <w:bCs/>
          <w:iCs/>
          <w:sz w:val="24"/>
        </w:rPr>
      </w:pPr>
      <w:r w:rsidRPr="00454DA0">
        <w:rPr>
          <w:b/>
          <w:bCs/>
          <w:iCs/>
          <w:sz w:val="24"/>
        </w:rPr>
        <w:t xml:space="preserve">Baza juridike </w:t>
      </w:r>
    </w:p>
    <w:p w:rsidR="0032122D" w:rsidRPr="00454DA0" w:rsidRDefault="0032122D" w:rsidP="00EC6A1F">
      <w:pPr>
        <w:spacing w:line="240" w:lineRule="auto"/>
        <w:rPr>
          <w:i/>
          <w:iCs/>
          <w:sz w:val="24"/>
        </w:rPr>
      </w:pPr>
    </w:p>
    <w:p w:rsidR="0032122D" w:rsidRPr="00454DA0" w:rsidRDefault="0032122D" w:rsidP="00EC6A1F">
      <w:pPr>
        <w:numPr>
          <w:ilvl w:val="0"/>
          <w:numId w:val="14"/>
        </w:numPr>
        <w:spacing w:line="240" w:lineRule="auto"/>
        <w:ind w:left="630" w:hanging="630"/>
        <w:rPr>
          <w:sz w:val="24"/>
        </w:rPr>
      </w:pPr>
      <w:r w:rsidRPr="00454DA0">
        <w:rPr>
          <w:rFonts w:cs="Arial"/>
          <w:sz w:val="24"/>
        </w:rPr>
        <w:t>Kërkesa</w:t>
      </w:r>
      <w:r w:rsidR="00D66D83" w:rsidRPr="00454DA0">
        <w:rPr>
          <w:sz w:val="24"/>
        </w:rPr>
        <w:t xml:space="preserve"> bazohet në paragrafët 1 dhe</w:t>
      </w:r>
      <w:r w:rsidRPr="00454DA0">
        <w:rPr>
          <w:sz w:val="24"/>
        </w:rPr>
        <w:t xml:space="preserve"> 7, të nenit 113 [Jurisdiksioni dhe Palët e Autorizuara] të Kushtetutës, në nenin 47 [Kërkesat Individuale] të Ligjit për Gjykatën Kushtetuese të Republikës së Kosovës, nr. 03/L-121 (në tekstin e mëtejmë: Ligji) dhe në rregullin</w:t>
      </w:r>
      <w:r w:rsidR="00E91FDC" w:rsidRPr="00454DA0">
        <w:rPr>
          <w:bCs/>
          <w:iCs/>
          <w:sz w:val="24"/>
        </w:rPr>
        <w:t xml:space="preserve"> 32</w:t>
      </w:r>
      <w:r w:rsidRPr="00454DA0">
        <w:rPr>
          <w:bCs/>
          <w:iCs/>
          <w:sz w:val="24"/>
        </w:rPr>
        <w:t xml:space="preserve"> [</w:t>
      </w:r>
      <w:r w:rsidR="00E91FDC" w:rsidRPr="00454DA0">
        <w:rPr>
          <w:bCs/>
          <w:iCs/>
          <w:sz w:val="24"/>
        </w:rPr>
        <w:t>Parashtrimi i kërkesave dhe përgjigjeve]</w:t>
      </w:r>
      <w:r w:rsidR="00314A4B" w:rsidRPr="00454DA0">
        <w:rPr>
          <w:bCs/>
          <w:iCs/>
          <w:sz w:val="24"/>
        </w:rPr>
        <w:t xml:space="preserve"> dhe 59 [</w:t>
      </w:r>
      <w:r w:rsidRPr="00454DA0">
        <w:rPr>
          <w:bCs/>
          <w:iCs/>
          <w:sz w:val="24"/>
        </w:rPr>
        <w:t xml:space="preserve">Llojet e </w:t>
      </w:r>
      <w:r w:rsidR="00314A4B" w:rsidRPr="00454DA0">
        <w:rPr>
          <w:bCs/>
          <w:iCs/>
          <w:sz w:val="24"/>
        </w:rPr>
        <w:t>vendimeve</w:t>
      </w:r>
      <w:r w:rsidRPr="00454DA0">
        <w:rPr>
          <w:bCs/>
          <w:iCs/>
          <w:sz w:val="24"/>
        </w:rPr>
        <w:t>]</w:t>
      </w:r>
      <w:r w:rsidRPr="00454DA0">
        <w:rPr>
          <w:sz w:val="24"/>
        </w:rPr>
        <w:t xml:space="preserve"> të Rregullores së punës së Gjykatës Kushtetuese të Republikës së Kosovës (në tekstin e mëtejmë: Rregullorja e punës). </w:t>
      </w:r>
    </w:p>
    <w:p w:rsidR="0032122D" w:rsidRPr="00454DA0" w:rsidRDefault="0032122D" w:rsidP="00EC6A1F">
      <w:pPr>
        <w:spacing w:line="240" w:lineRule="auto"/>
        <w:ind w:left="567"/>
        <w:rPr>
          <w:sz w:val="24"/>
        </w:rPr>
      </w:pPr>
    </w:p>
    <w:p w:rsidR="0032122D" w:rsidRPr="00454DA0" w:rsidRDefault="0032122D" w:rsidP="00EC6A1F">
      <w:pPr>
        <w:tabs>
          <w:tab w:val="left" w:pos="540"/>
        </w:tabs>
        <w:spacing w:line="240" w:lineRule="auto"/>
        <w:rPr>
          <w:b/>
          <w:bCs/>
          <w:sz w:val="24"/>
        </w:rPr>
      </w:pPr>
      <w:r w:rsidRPr="00454DA0">
        <w:rPr>
          <w:b/>
          <w:bCs/>
          <w:sz w:val="24"/>
        </w:rPr>
        <w:t>Procedura në Gjykatën Kushtetuese</w:t>
      </w:r>
    </w:p>
    <w:p w:rsidR="0032122D" w:rsidRPr="00454DA0" w:rsidRDefault="0032122D" w:rsidP="00EC6A1F">
      <w:pPr>
        <w:tabs>
          <w:tab w:val="left" w:pos="540"/>
        </w:tabs>
        <w:spacing w:line="240" w:lineRule="auto"/>
        <w:rPr>
          <w:rFonts w:cs="Arial"/>
          <w:b/>
          <w:iCs/>
          <w:sz w:val="24"/>
        </w:rPr>
      </w:pPr>
    </w:p>
    <w:p w:rsidR="0032122D" w:rsidRPr="00454DA0" w:rsidRDefault="0032122D" w:rsidP="00EC6A1F">
      <w:pPr>
        <w:numPr>
          <w:ilvl w:val="0"/>
          <w:numId w:val="14"/>
        </w:numPr>
        <w:spacing w:line="240" w:lineRule="auto"/>
        <w:ind w:left="630" w:hanging="630"/>
        <w:rPr>
          <w:sz w:val="24"/>
        </w:rPr>
      </w:pPr>
      <w:r w:rsidRPr="00454DA0">
        <w:rPr>
          <w:sz w:val="24"/>
        </w:rPr>
        <w:t xml:space="preserve">Më </w:t>
      </w:r>
      <w:r w:rsidR="008A26DD" w:rsidRPr="00454DA0">
        <w:rPr>
          <w:rFonts w:cs="Arial"/>
          <w:sz w:val="24"/>
        </w:rPr>
        <w:t>21 prill</w:t>
      </w:r>
      <w:r w:rsidR="00B87709" w:rsidRPr="00454DA0">
        <w:rPr>
          <w:rFonts w:cs="Arial"/>
          <w:sz w:val="24"/>
        </w:rPr>
        <w:t xml:space="preserve"> 2020</w:t>
      </w:r>
      <w:r w:rsidRPr="00454DA0">
        <w:rPr>
          <w:sz w:val="24"/>
        </w:rPr>
        <w:t xml:space="preserve">, parashtruesi e dorëzoi kërkesën në Gjykatën Kushtetuese të </w:t>
      </w:r>
      <w:r w:rsidRPr="00454DA0">
        <w:rPr>
          <w:bCs/>
          <w:iCs/>
          <w:sz w:val="24"/>
        </w:rPr>
        <w:t xml:space="preserve">Republikës së Kosovës </w:t>
      </w:r>
      <w:r w:rsidRPr="00454DA0">
        <w:rPr>
          <w:sz w:val="24"/>
        </w:rPr>
        <w:t>(në tekstin e mëtejmë: Gjykata).</w:t>
      </w:r>
    </w:p>
    <w:p w:rsidR="0032122D" w:rsidRPr="00454DA0" w:rsidRDefault="0032122D" w:rsidP="00EC6A1F">
      <w:pPr>
        <w:spacing w:line="240" w:lineRule="auto"/>
        <w:ind w:left="567"/>
        <w:rPr>
          <w:sz w:val="24"/>
        </w:rPr>
      </w:pPr>
    </w:p>
    <w:p w:rsidR="005D4BDC" w:rsidRPr="00454DA0" w:rsidRDefault="00B432E7" w:rsidP="00EC6A1F">
      <w:pPr>
        <w:numPr>
          <w:ilvl w:val="0"/>
          <w:numId w:val="14"/>
        </w:numPr>
        <w:spacing w:line="240" w:lineRule="auto"/>
        <w:ind w:left="630" w:hanging="630"/>
        <w:rPr>
          <w:sz w:val="24"/>
        </w:rPr>
      </w:pPr>
      <w:r w:rsidRPr="00454DA0">
        <w:rPr>
          <w:sz w:val="24"/>
        </w:rPr>
        <w:t xml:space="preserve">Më </w:t>
      </w:r>
      <w:r w:rsidR="00125FF0" w:rsidRPr="00454DA0">
        <w:rPr>
          <w:sz w:val="24"/>
        </w:rPr>
        <w:t>19 maj</w:t>
      </w:r>
      <w:r w:rsidR="00B87709" w:rsidRPr="00454DA0">
        <w:rPr>
          <w:sz w:val="24"/>
        </w:rPr>
        <w:t xml:space="preserve"> 2020</w:t>
      </w:r>
      <w:r w:rsidR="0032122D" w:rsidRPr="00454DA0">
        <w:rPr>
          <w:sz w:val="24"/>
        </w:rPr>
        <w:t>, Kryet</w:t>
      </w:r>
      <w:r w:rsidR="00B87709" w:rsidRPr="00454DA0">
        <w:rPr>
          <w:sz w:val="24"/>
        </w:rPr>
        <w:t>arja e Gjykatës caktoi gjyqtarin</w:t>
      </w:r>
      <w:r w:rsidR="0032122D" w:rsidRPr="00454DA0">
        <w:rPr>
          <w:sz w:val="24"/>
        </w:rPr>
        <w:t xml:space="preserve"> </w:t>
      </w:r>
      <w:r w:rsidR="00125FF0" w:rsidRPr="00454DA0">
        <w:rPr>
          <w:sz w:val="24"/>
        </w:rPr>
        <w:t>Radomir Laban</w:t>
      </w:r>
      <w:r w:rsidR="00B87709" w:rsidRPr="00454DA0">
        <w:rPr>
          <w:sz w:val="24"/>
        </w:rPr>
        <w:t xml:space="preserve"> </w:t>
      </w:r>
      <w:r w:rsidR="0032122D" w:rsidRPr="00454DA0">
        <w:rPr>
          <w:sz w:val="24"/>
        </w:rPr>
        <w:t>gjyqtar</w:t>
      </w:r>
      <w:r w:rsidR="00B87709" w:rsidRPr="00454DA0">
        <w:rPr>
          <w:sz w:val="24"/>
        </w:rPr>
        <w:t xml:space="preserve"> </w:t>
      </w:r>
      <w:r w:rsidR="0032122D" w:rsidRPr="00454DA0">
        <w:rPr>
          <w:sz w:val="24"/>
        </w:rPr>
        <w:t>raportues dhe Kolegjin shqyrtues, të përbërë n</w:t>
      </w:r>
      <w:r w:rsidR="00E91FDC" w:rsidRPr="00454DA0">
        <w:rPr>
          <w:sz w:val="24"/>
        </w:rPr>
        <w:t xml:space="preserve">ga gjyqtarët: </w:t>
      </w:r>
      <w:r w:rsidR="00125FF0" w:rsidRPr="00454DA0">
        <w:rPr>
          <w:sz w:val="24"/>
        </w:rPr>
        <w:t>Bekim Sejdiu</w:t>
      </w:r>
      <w:r w:rsidR="000F5AF4" w:rsidRPr="00454DA0">
        <w:rPr>
          <w:sz w:val="24"/>
        </w:rPr>
        <w:t xml:space="preserve"> (kryesues</w:t>
      </w:r>
      <w:r w:rsidR="00E91FDC" w:rsidRPr="00454DA0">
        <w:rPr>
          <w:sz w:val="24"/>
        </w:rPr>
        <w:t>)</w:t>
      </w:r>
      <w:r w:rsidR="0032122D" w:rsidRPr="00454DA0">
        <w:rPr>
          <w:sz w:val="24"/>
        </w:rPr>
        <w:t xml:space="preserve"> </w:t>
      </w:r>
      <w:r w:rsidR="000F5AF4" w:rsidRPr="00454DA0">
        <w:rPr>
          <w:sz w:val="24"/>
        </w:rPr>
        <w:t xml:space="preserve">Remzije Istrefi-Peci </w:t>
      </w:r>
      <w:r w:rsidR="0032122D" w:rsidRPr="00454DA0">
        <w:rPr>
          <w:sz w:val="24"/>
        </w:rPr>
        <w:t xml:space="preserve">dhe </w:t>
      </w:r>
      <w:r w:rsidR="0005600D" w:rsidRPr="00454DA0">
        <w:rPr>
          <w:sz w:val="24"/>
        </w:rPr>
        <w:t>Nexhmi Rexhepi, anëtarë</w:t>
      </w:r>
      <w:r w:rsidR="00314A4B" w:rsidRPr="00454DA0">
        <w:rPr>
          <w:sz w:val="24"/>
        </w:rPr>
        <w:t>.</w:t>
      </w:r>
      <w:r w:rsidR="00134385" w:rsidRPr="00454DA0">
        <w:rPr>
          <w:sz w:val="24"/>
        </w:rPr>
        <w:t xml:space="preserve"> </w:t>
      </w:r>
    </w:p>
    <w:p w:rsidR="0032122D" w:rsidRPr="00454DA0" w:rsidRDefault="0032122D" w:rsidP="00EC6A1F">
      <w:pPr>
        <w:spacing w:line="240" w:lineRule="auto"/>
        <w:rPr>
          <w:sz w:val="24"/>
        </w:rPr>
      </w:pPr>
    </w:p>
    <w:p w:rsidR="0032122D" w:rsidRPr="00454DA0" w:rsidRDefault="0032122D" w:rsidP="00EC6A1F">
      <w:pPr>
        <w:numPr>
          <w:ilvl w:val="0"/>
          <w:numId w:val="14"/>
        </w:numPr>
        <w:spacing w:line="240" w:lineRule="auto"/>
        <w:ind w:left="630" w:hanging="630"/>
        <w:rPr>
          <w:sz w:val="24"/>
        </w:rPr>
      </w:pPr>
      <w:r w:rsidRPr="00454DA0">
        <w:rPr>
          <w:rFonts w:cs="Arial"/>
          <w:sz w:val="24"/>
        </w:rPr>
        <w:t>Më</w:t>
      </w:r>
      <w:r w:rsidR="00B432E7" w:rsidRPr="00454DA0">
        <w:rPr>
          <w:sz w:val="24"/>
        </w:rPr>
        <w:t xml:space="preserve"> </w:t>
      </w:r>
      <w:r w:rsidR="00D124A3" w:rsidRPr="00454DA0">
        <w:rPr>
          <w:sz w:val="24"/>
        </w:rPr>
        <w:t>28 maj</w:t>
      </w:r>
      <w:r w:rsidR="00B87709" w:rsidRPr="00454DA0">
        <w:rPr>
          <w:sz w:val="24"/>
        </w:rPr>
        <w:t xml:space="preserve"> 2020</w:t>
      </w:r>
      <w:r w:rsidR="00E91FDC" w:rsidRPr="00454DA0">
        <w:rPr>
          <w:sz w:val="24"/>
        </w:rPr>
        <w:t>, Gjykata njoftoi</w:t>
      </w:r>
      <w:r w:rsidRPr="00454DA0">
        <w:rPr>
          <w:sz w:val="24"/>
        </w:rPr>
        <w:t xml:space="preserve"> parashtruesin për regjistrimin e kërkesës</w:t>
      </w:r>
      <w:r w:rsidR="00D124A3" w:rsidRPr="00454DA0">
        <w:rPr>
          <w:sz w:val="24"/>
        </w:rPr>
        <w:t xml:space="preserve"> dhe kërkoi nga ai plotësimin e formularit të kërkesës,</w:t>
      </w:r>
      <w:r w:rsidRPr="00454DA0">
        <w:rPr>
          <w:sz w:val="24"/>
        </w:rPr>
        <w:t xml:space="preserve"> dhe </w:t>
      </w:r>
      <w:r w:rsidR="00B432E7" w:rsidRPr="00454DA0">
        <w:rPr>
          <w:sz w:val="24"/>
        </w:rPr>
        <w:t>një</w:t>
      </w:r>
      <w:r w:rsidR="00687E49" w:rsidRPr="00454DA0">
        <w:rPr>
          <w:sz w:val="24"/>
        </w:rPr>
        <w:t xml:space="preserve"> kopje të</w:t>
      </w:r>
      <w:r w:rsidR="00B432E7" w:rsidRPr="00454DA0">
        <w:rPr>
          <w:sz w:val="24"/>
        </w:rPr>
        <w:t xml:space="preserve"> kërkesës ia dërgoi Gjykatës</w:t>
      </w:r>
      <w:r w:rsidR="00687E49" w:rsidRPr="00454DA0">
        <w:rPr>
          <w:sz w:val="24"/>
        </w:rPr>
        <w:t xml:space="preserve"> </w:t>
      </w:r>
      <w:r w:rsidR="00D124A3" w:rsidRPr="00454DA0">
        <w:rPr>
          <w:sz w:val="24"/>
        </w:rPr>
        <w:t>Supreme</w:t>
      </w:r>
      <w:r w:rsidR="00B432E7" w:rsidRPr="00454DA0">
        <w:rPr>
          <w:sz w:val="24"/>
        </w:rPr>
        <w:t>.</w:t>
      </w:r>
    </w:p>
    <w:p w:rsidR="0032122D" w:rsidRPr="00454DA0" w:rsidRDefault="0032122D" w:rsidP="00EC6A1F">
      <w:pPr>
        <w:spacing w:line="240" w:lineRule="auto"/>
        <w:rPr>
          <w:sz w:val="24"/>
        </w:rPr>
      </w:pPr>
    </w:p>
    <w:p w:rsidR="00D50BA1" w:rsidRDefault="0032122D" w:rsidP="00EC6A1F">
      <w:pPr>
        <w:numPr>
          <w:ilvl w:val="0"/>
          <w:numId w:val="14"/>
        </w:numPr>
        <w:spacing w:line="240" w:lineRule="auto"/>
        <w:ind w:left="630" w:hanging="630"/>
        <w:rPr>
          <w:sz w:val="24"/>
        </w:rPr>
      </w:pPr>
      <w:r w:rsidRPr="00454DA0">
        <w:rPr>
          <w:sz w:val="24"/>
        </w:rPr>
        <w:t xml:space="preserve">Më </w:t>
      </w:r>
      <w:r w:rsidR="009767C2">
        <w:rPr>
          <w:sz w:val="24"/>
        </w:rPr>
        <w:t xml:space="preserve">17 </w:t>
      </w:r>
      <w:r w:rsidR="00D124A3" w:rsidRPr="00454DA0">
        <w:rPr>
          <w:sz w:val="24"/>
        </w:rPr>
        <w:t>qershor</w:t>
      </w:r>
      <w:r w:rsidR="004374FD" w:rsidRPr="00454DA0">
        <w:rPr>
          <w:sz w:val="24"/>
        </w:rPr>
        <w:t xml:space="preserve"> 2020</w:t>
      </w:r>
      <w:r w:rsidRPr="00454DA0">
        <w:rPr>
          <w:sz w:val="24"/>
        </w:rPr>
        <w:t>, parashtrues</w:t>
      </w:r>
      <w:r w:rsidR="00326EF7" w:rsidRPr="00454DA0">
        <w:rPr>
          <w:sz w:val="24"/>
        </w:rPr>
        <w:t xml:space="preserve">i </w:t>
      </w:r>
      <w:r w:rsidR="00EA6142" w:rsidRPr="00454DA0">
        <w:rPr>
          <w:sz w:val="24"/>
        </w:rPr>
        <w:t xml:space="preserve">i kërkesës </w:t>
      </w:r>
      <w:r w:rsidR="00326EF7" w:rsidRPr="00454DA0">
        <w:rPr>
          <w:sz w:val="24"/>
        </w:rPr>
        <w:t>dorëzoi</w:t>
      </w:r>
      <w:r w:rsidR="00D50BA1" w:rsidRPr="00454DA0">
        <w:rPr>
          <w:sz w:val="24"/>
        </w:rPr>
        <w:t xml:space="preserve"> </w:t>
      </w:r>
      <w:r w:rsidR="004374FD" w:rsidRPr="00454DA0">
        <w:rPr>
          <w:sz w:val="24"/>
        </w:rPr>
        <w:t xml:space="preserve">në Gjykatë </w:t>
      </w:r>
      <w:r w:rsidR="00D124A3" w:rsidRPr="00454DA0">
        <w:rPr>
          <w:sz w:val="24"/>
        </w:rPr>
        <w:t>formularin e plotësuar të kërkesës së</w:t>
      </w:r>
      <w:r w:rsidR="00B10DCB">
        <w:rPr>
          <w:sz w:val="24"/>
        </w:rPr>
        <w:t xml:space="preserve"> </w:t>
      </w:r>
      <w:r w:rsidR="00D124A3" w:rsidRPr="00454DA0">
        <w:rPr>
          <w:sz w:val="24"/>
        </w:rPr>
        <w:t>bashku me disa dokumente tjera.</w:t>
      </w:r>
    </w:p>
    <w:p w:rsidR="005E479D" w:rsidRDefault="005E479D" w:rsidP="005E479D">
      <w:pPr>
        <w:pStyle w:val="ListParagraph"/>
        <w:rPr>
          <w:sz w:val="24"/>
        </w:rPr>
      </w:pPr>
    </w:p>
    <w:p w:rsidR="005E479D" w:rsidRPr="005E479D" w:rsidRDefault="005E479D" w:rsidP="005E479D">
      <w:pPr>
        <w:numPr>
          <w:ilvl w:val="0"/>
          <w:numId w:val="14"/>
        </w:numPr>
        <w:spacing w:line="240" w:lineRule="auto"/>
        <w:ind w:left="630" w:hanging="630"/>
        <w:rPr>
          <w:sz w:val="24"/>
        </w:rPr>
      </w:pPr>
      <w:r>
        <w:rPr>
          <w:bCs/>
          <w:sz w:val="24"/>
        </w:rPr>
        <w:lastRenderedPageBreak/>
        <w:t>Më 22 korrik 2020</w:t>
      </w:r>
      <w:r w:rsidRPr="005E479D">
        <w:rPr>
          <w:bCs/>
          <w:sz w:val="24"/>
        </w:rPr>
        <w:t>, Kolegji shqyrtues shqyrtoi raportin e gjyqtarit raportues dhe njëzëri i rekomandoi Gjykatës papranueshmërinë e kërkesës.</w:t>
      </w:r>
    </w:p>
    <w:p w:rsidR="005E479D" w:rsidRPr="00454DA0" w:rsidRDefault="005E479D" w:rsidP="005E479D">
      <w:pPr>
        <w:spacing w:line="240" w:lineRule="auto"/>
        <w:ind w:left="630"/>
        <w:rPr>
          <w:sz w:val="24"/>
        </w:rPr>
      </w:pPr>
    </w:p>
    <w:p w:rsidR="0032122D" w:rsidRPr="00454DA0" w:rsidRDefault="0032122D" w:rsidP="00EC6A1F">
      <w:pPr>
        <w:spacing w:line="240" w:lineRule="auto"/>
        <w:rPr>
          <w:b/>
          <w:sz w:val="24"/>
        </w:rPr>
      </w:pPr>
    </w:p>
    <w:p w:rsidR="0032122D" w:rsidRPr="00454DA0" w:rsidRDefault="0032122D" w:rsidP="00EC6A1F">
      <w:pPr>
        <w:spacing w:line="240" w:lineRule="auto"/>
        <w:ind w:left="540" w:right="20" w:hanging="540"/>
        <w:rPr>
          <w:rFonts w:cs="Arial"/>
          <w:b/>
          <w:sz w:val="24"/>
        </w:rPr>
      </w:pPr>
      <w:r w:rsidRPr="00454DA0">
        <w:rPr>
          <w:rFonts w:cs="Arial"/>
          <w:b/>
          <w:sz w:val="24"/>
        </w:rPr>
        <w:t>Përmbledhja e fakteve</w:t>
      </w:r>
    </w:p>
    <w:p w:rsidR="0032122D" w:rsidRPr="00454DA0" w:rsidRDefault="0032122D" w:rsidP="00EC6A1F">
      <w:pPr>
        <w:spacing w:line="240" w:lineRule="auto"/>
        <w:rPr>
          <w:sz w:val="24"/>
        </w:rPr>
      </w:pPr>
    </w:p>
    <w:p w:rsidR="00B70B2F" w:rsidRPr="00454DA0" w:rsidRDefault="005B2741" w:rsidP="00EC6A1F">
      <w:pPr>
        <w:numPr>
          <w:ilvl w:val="0"/>
          <w:numId w:val="14"/>
        </w:numPr>
        <w:spacing w:line="240" w:lineRule="auto"/>
        <w:ind w:left="630" w:hanging="630"/>
        <w:rPr>
          <w:b/>
          <w:bCs/>
          <w:sz w:val="24"/>
        </w:rPr>
      </w:pPr>
      <w:r w:rsidRPr="00454DA0">
        <w:rPr>
          <w:sz w:val="24"/>
        </w:rPr>
        <w:t>Sipas shkresave të lëndës,</w:t>
      </w:r>
      <w:r w:rsidR="00685C11" w:rsidRPr="00454DA0">
        <w:rPr>
          <w:sz w:val="24"/>
        </w:rPr>
        <w:t xml:space="preserve"> më 26 shkurt 2008,</w:t>
      </w:r>
      <w:r w:rsidRPr="00454DA0">
        <w:rPr>
          <w:sz w:val="24"/>
        </w:rPr>
        <w:t xml:space="preserve"> p</w:t>
      </w:r>
      <w:r w:rsidR="002C3E3A" w:rsidRPr="00454DA0">
        <w:rPr>
          <w:sz w:val="24"/>
        </w:rPr>
        <w:t>arashtruesi i kërkesës</w:t>
      </w:r>
      <w:r w:rsidR="00F418FF" w:rsidRPr="00454DA0">
        <w:rPr>
          <w:sz w:val="24"/>
        </w:rPr>
        <w:t>,</w:t>
      </w:r>
      <w:r w:rsidR="002C3E3A" w:rsidRPr="00454DA0">
        <w:rPr>
          <w:sz w:val="24"/>
        </w:rPr>
        <w:t xml:space="preserve"> së</w:t>
      </w:r>
      <w:r w:rsidR="00F641DA" w:rsidRPr="00454DA0">
        <w:rPr>
          <w:sz w:val="24"/>
        </w:rPr>
        <w:t xml:space="preserve"> </w:t>
      </w:r>
      <w:r w:rsidR="002C3E3A" w:rsidRPr="00454DA0">
        <w:rPr>
          <w:sz w:val="24"/>
        </w:rPr>
        <w:t xml:space="preserve">bashku me </w:t>
      </w:r>
      <w:r w:rsidR="00F641DA" w:rsidRPr="00454DA0">
        <w:rPr>
          <w:sz w:val="24"/>
        </w:rPr>
        <w:t>tre persona të tjerë,</w:t>
      </w:r>
      <w:r w:rsidR="002C3E3A" w:rsidRPr="00454DA0">
        <w:rPr>
          <w:sz w:val="24"/>
        </w:rPr>
        <w:t xml:space="preserve"> E.M, S.M dhe SH.K.M</w:t>
      </w:r>
      <w:r w:rsidR="00F641DA" w:rsidRPr="00454DA0">
        <w:rPr>
          <w:sz w:val="24"/>
        </w:rPr>
        <w:t>, si</w:t>
      </w:r>
      <w:r w:rsidR="00DB5D38">
        <w:rPr>
          <w:sz w:val="24"/>
        </w:rPr>
        <w:t xml:space="preserve"> huamarrës</w:t>
      </w:r>
      <w:r w:rsidR="00F418FF" w:rsidRPr="00454DA0">
        <w:rPr>
          <w:sz w:val="24"/>
        </w:rPr>
        <w:t>,</w:t>
      </w:r>
      <w:r w:rsidR="002C3E3A" w:rsidRPr="00454DA0">
        <w:rPr>
          <w:sz w:val="24"/>
        </w:rPr>
        <w:t xml:space="preserve"> </w:t>
      </w:r>
      <w:r w:rsidR="009767C2">
        <w:rPr>
          <w:sz w:val="24"/>
        </w:rPr>
        <w:t xml:space="preserve">lidhi kontratën </w:t>
      </w:r>
      <w:r w:rsidR="00F418FF" w:rsidRPr="00454DA0">
        <w:rPr>
          <w:sz w:val="24"/>
        </w:rPr>
        <w:t>mbi huan</w:t>
      </w:r>
      <w:r w:rsidR="00490701" w:rsidRPr="00454DA0">
        <w:rPr>
          <w:sz w:val="24"/>
        </w:rPr>
        <w:t xml:space="preserve"> me paditësin A.K</w:t>
      </w:r>
      <w:r w:rsidR="00DB5D38">
        <w:rPr>
          <w:sz w:val="24"/>
        </w:rPr>
        <w:t>., si huadhënës</w:t>
      </w:r>
      <w:r w:rsidR="00F418FF" w:rsidRPr="00454DA0">
        <w:rPr>
          <w:sz w:val="24"/>
        </w:rPr>
        <w:t xml:space="preserve">, sipas së cilës pranuan huan në shumë prej </w:t>
      </w:r>
      <w:r w:rsidR="00490701" w:rsidRPr="00454DA0">
        <w:rPr>
          <w:sz w:val="24"/>
        </w:rPr>
        <w:t xml:space="preserve">35.000 </w:t>
      </w:r>
      <w:r w:rsidR="00F418FF" w:rsidRPr="00454DA0">
        <w:rPr>
          <w:sz w:val="24"/>
        </w:rPr>
        <w:t>(tridhjetë e pesë mijë) euro, me</w:t>
      </w:r>
      <w:r w:rsidR="00490701" w:rsidRPr="00454DA0">
        <w:rPr>
          <w:sz w:val="24"/>
        </w:rPr>
        <w:t xml:space="preserve"> afat të kthimit prej 1 (një) viti</w:t>
      </w:r>
      <w:r w:rsidR="004353A4" w:rsidRPr="00454DA0">
        <w:rPr>
          <w:sz w:val="24"/>
        </w:rPr>
        <w:t>.</w:t>
      </w:r>
      <w:r w:rsidR="00D03BED" w:rsidRPr="00454DA0">
        <w:rPr>
          <w:sz w:val="24"/>
        </w:rPr>
        <w:t xml:space="preserve"> </w:t>
      </w:r>
    </w:p>
    <w:p w:rsidR="00860A0E" w:rsidRPr="00454DA0" w:rsidRDefault="00860A0E" w:rsidP="00EC6A1F">
      <w:pPr>
        <w:spacing w:line="240" w:lineRule="auto"/>
        <w:rPr>
          <w:bCs/>
          <w:sz w:val="24"/>
        </w:rPr>
      </w:pPr>
    </w:p>
    <w:p w:rsidR="00B033A9" w:rsidRPr="00454DA0" w:rsidRDefault="00490701" w:rsidP="00EC6A1F">
      <w:pPr>
        <w:numPr>
          <w:ilvl w:val="0"/>
          <w:numId w:val="14"/>
        </w:numPr>
        <w:tabs>
          <w:tab w:val="left" w:pos="270"/>
        </w:tabs>
        <w:spacing w:line="240" w:lineRule="auto"/>
        <w:ind w:left="630" w:hanging="630"/>
        <w:rPr>
          <w:bCs/>
          <w:i/>
          <w:sz w:val="24"/>
        </w:rPr>
      </w:pPr>
      <w:r w:rsidRPr="00454DA0">
        <w:rPr>
          <w:bCs/>
          <w:sz w:val="24"/>
        </w:rPr>
        <w:t>Në një datë të</w:t>
      </w:r>
      <w:r w:rsidR="005B2741" w:rsidRPr="00454DA0">
        <w:rPr>
          <w:bCs/>
          <w:sz w:val="24"/>
        </w:rPr>
        <w:t xml:space="preserve"> paspecifikuar,</w:t>
      </w:r>
      <w:r w:rsidR="00685C11" w:rsidRPr="00454DA0">
        <w:rPr>
          <w:bCs/>
          <w:sz w:val="24"/>
        </w:rPr>
        <w:t xml:space="preserve"> pasi që huamarrësit nuk ia kishin kthyer borxhin,</w:t>
      </w:r>
      <w:r w:rsidR="005B2741" w:rsidRPr="00454DA0">
        <w:rPr>
          <w:bCs/>
          <w:sz w:val="24"/>
        </w:rPr>
        <w:t xml:space="preserve"> huadhënësi A.K paraqiti padi pranë Gjykatës Themelore në Gjakovë (në tekstin e mëtejmë: Gjykata Themelore) kundër parasht</w:t>
      </w:r>
      <w:r w:rsidR="00F418FF" w:rsidRPr="00454DA0">
        <w:rPr>
          <w:bCs/>
          <w:sz w:val="24"/>
        </w:rPr>
        <w:t>ruesit të kërkesës dhe huamarrësve të tjerë,</w:t>
      </w:r>
      <w:r w:rsidR="005B2741" w:rsidRPr="00454DA0">
        <w:rPr>
          <w:bCs/>
          <w:sz w:val="24"/>
        </w:rPr>
        <w:t xml:space="preserve"> E.M, S.M dhe SH.K.M, për kthimin e borxhit prej 35.000 (tridhjetë e pesë mijë) euro.</w:t>
      </w:r>
    </w:p>
    <w:p w:rsidR="00153C1A" w:rsidRPr="00454DA0" w:rsidRDefault="00153C1A" w:rsidP="00EC6A1F">
      <w:pPr>
        <w:spacing w:line="240" w:lineRule="auto"/>
        <w:rPr>
          <w:bCs/>
          <w:i/>
          <w:sz w:val="24"/>
        </w:rPr>
      </w:pPr>
    </w:p>
    <w:p w:rsidR="00153C1A" w:rsidRPr="00454DA0" w:rsidRDefault="00C1257B" w:rsidP="00EC6A1F">
      <w:pPr>
        <w:numPr>
          <w:ilvl w:val="0"/>
          <w:numId w:val="14"/>
        </w:numPr>
        <w:tabs>
          <w:tab w:val="left" w:pos="270"/>
        </w:tabs>
        <w:spacing w:line="240" w:lineRule="auto"/>
        <w:ind w:left="630" w:hanging="630"/>
        <w:rPr>
          <w:bCs/>
          <w:sz w:val="24"/>
        </w:rPr>
      </w:pPr>
      <w:r w:rsidRPr="00454DA0">
        <w:rPr>
          <w:bCs/>
          <w:sz w:val="24"/>
        </w:rPr>
        <w:t>Më 2 mars 2015, Gjykata Themelore përmes Aktgjykimit [C.</w:t>
      </w:r>
      <w:r w:rsidR="00B10DCB">
        <w:rPr>
          <w:bCs/>
          <w:sz w:val="24"/>
        </w:rPr>
        <w:t xml:space="preserve"> </w:t>
      </w:r>
      <w:r w:rsidRPr="00454DA0">
        <w:rPr>
          <w:bCs/>
          <w:sz w:val="24"/>
        </w:rPr>
        <w:t>nr.</w:t>
      </w:r>
      <w:r w:rsidR="00B10DCB">
        <w:rPr>
          <w:bCs/>
          <w:sz w:val="24"/>
        </w:rPr>
        <w:t xml:space="preserve"> </w:t>
      </w:r>
      <w:r w:rsidRPr="00454DA0">
        <w:rPr>
          <w:bCs/>
          <w:sz w:val="24"/>
        </w:rPr>
        <w:t xml:space="preserve">301/14] miratoi në tërësi kërkesën e paditësit A.K, dhe detyroi </w:t>
      </w:r>
      <w:r w:rsidR="00F418FF" w:rsidRPr="00454DA0">
        <w:rPr>
          <w:bCs/>
          <w:sz w:val="24"/>
        </w:rPr>
        <w:t>s</w:t>
      </w:r>
      <w:r w:rsidRPr="00454DA0">
        <w:rPr>
          <w:bCs/>
          <w:sz w:val="24"/>
        </w:rPr>
        <w:t>olidarisht parashtruesin e kërkesës dhe të paditurit tjerë</w:t>
      </w:r>
      <w:r w:rsidR="00F418FF" w:rsidRPr="00454DA0">
        <w:rPr>
          <w:bCs/>
          <w:sz w:val="24"/>
        </w:rPr>
        <w:t xml:space="preserve"> E.M</w:t>
      </w:r>
      <w:r w:rsidRPr="00454DA0">
        <w:rPr>
          <w:bCs/>
          <w:sz w:val="24"/>
        </w:rPr>
        <w:t>,</w:t>
      </w:r>
      <w:r w:rsidR="00F418FF" w:rsidRPr="00454DA0">
        <w:rPr>
          <w:bCs/>
          <w:sz w:val="24"/>
        </w:rPr>
        <w:t xml:space="preserve"> S.M dhe Sh.K.M,</w:t>
      </w:r>
      <w:r w:rsidRPr="00454DA0">
        <w:rPr>
          <w:bCs/>
          <w:sz w:val="24"/>
        </w:rPr>
        <w:t xml:space="preserve"> që në emër të kthimit të borxhi</w:t>
      </w:r>
      <w:r w:rsidR="00F418FF" w:rsidRPr="00454DA0">
        <w:rPr>
          <w:bCs/>
          <w:sz w:val="24"/>
        </w:rPr>
        <w:t>t në bazë të kontratës mbi huan</w:t>
      </w:r>
      <w:r w:rsidRPr="00454DA0">
        <w:rPr>
          <w:bCs/>
          <w:sz w:val="24"/>
        </w:rPr>
        <w:t>, t’ia paguajnë paditësit shumën prej 35.000 (tridhjetë e pesë mijë) euro, me kamatë përkatëse ligjore</w:t>
      </w:r>
      <w:r w:rsidR="00F418FF" w:rsidRPr="00454DA0">
        <w:rPr>
          <w:bCs/>
          <w:sz w:val="24"/>
        </w:rPr>
        <w:t>, e cila fillon të rrjedhë nga data 24.03.2010 e tutje,</w:t>
      </w:r>
      <w:r w:rsidR="00344519" w:rsidRPr="00454DA0">
        <w:rPr>
          <w:bCs/>
          <w:sz w:val="24"/>
        </w:rPr>
        <w:t xml:space="preserve"> e deri</w:t>
      </w:r>
      <w:r w:rsidR="00F418FF" w:rsidRPr="00454DA0">
        <w:rPr>
          <w:bCs/>
          <w:sz w:val="24"/>
        </w:rPr>
        <w:t xml:space="preserve"> në pagimin definitiv</w:t>
      </w:r>
      <w:r w:rsidR="00344519" w:rsidRPr="00454DA0">
        <w:rPr>
          <w:bCs/>
          <w:sz w:val="24"/>
        </w:rPr>
        <w:t>,</w:t>
      </w:r>
      <w:r w:rsidR="00F418FF" w:rsidRPr="00454DA0">
        <w:rPr>
          <w:bCs/>
          <w:sz w:val="24"/>
        </w:rPr>
        <w:t xml:space="preserve"> në lartësi të cilën</w:t>
      </w:r>
      <w:r w:rsidR="00344519" w:rsidRPr="00454DA0">
        <w:rPr>
          <w:bCs/>
          <w:sz w:val="24"/>
        </w:rPr>
        <w:t xml:space="preserve"> e paguajnë bankat k</w:t>
      </w:r>
      <w:r w:rsidRPr="00454DA0">
        <w:rPr>
          <w:bCs/>
          <w:sz w:val="24"/>
        </w:rPr>
        <w:t>omerciale në Kosovë për mjetet e deponuara në bankë</w:t>
      </w:r>
      <w:r w:rsidR="00153C1A" w:rsidRPr="00454DA0">
        <w:rPr>
          <w:bCs/>
          <w:sz w:val="24"/>
        </w:rPr>
        <w:t xml:space="preserve">. </w:t>
      </w:r>
    </w:p>
    <w:p w:rsidR="0003469B" w:rsidRPr="00454DA0" w:rsidRDefault="0003469B" w:rsidP="00EC6A1F">
      <w:pPr>
        <w:pStyle w:val="ListParagraph"/>
        <w:spacing w:line="240" w:lineRule="auto"/>
        <w:rPr>
          <w:bCs/>
          <w:sz w:val="24"/>
        </w:rPr>
      </w:pPr>
    </w:p>
    <w:p w:rsidR="0003469B" w:rsidRPr="00454DA0" w:rsidRDefault="00CD29D3" w:rsidP="00EC6A1F">
      <w:pPr>
        <w:numPr>
          <w:ilvl w:val="0"/>
          <w:numId w:val="14"/>
        </w:numPr>
        <w:tabs>
          <w:tab w:val="left" w:pos="270"/>
        </w:tabs>
        <w:spacing w:line="240" w:lineRule="auto"/>
        <w:ind w:left="630" w:hanging="630"/>
        <w:rPr>
          <w:bCs/>
          <w:sz w:val="24"/>
        </w:rPr>
      </w:pPr>
      <w:r w:rsidRPr="00454DA0">
        <w:rPr>
          <w:bCs/>
          <w:sz w:val="24"/>
        </w:rPr>
        <w:t>Më 8 prill 2015, parashtruesi i kërkesës paraqiti ankesë në Gjykatën e Apelit kundër Aktgjykimit [C.</w:t>
      </w:r>
      <w:r w:rsidR="00B10DCB">
        <w:rPr>
          <w:bCs/>
          <w:sz w:val="24"/>
        </w:rPr>
        <w:t xml:space="preserve"> </w:t>
      </w:r>
      <w:r w:rsidRPr="00454DA0">
        <w:rPr>
          <w:bCs/>
          <w:sz w:val="24"/>
        </w:rPr>
        <w:t>nr.</w:t>
      </w:r>
      <w:r w:rsidR="00B10DCB">
        <w:rPr>
          <w:bCs/>
          <w:sz w:val="24"/>
        </w:rPr>
        <w:t xml:space="preserve"> </w:t>
      </w:r>
      <w:r w:rsidRPr="00454DA0">
        <w:rPr>
          <w:bCs/>
          <w:sz w:val="24"/>
        </w:rPr>
        <w:t>301/14] te 2 marsit 2015 të Gjykatës Themelore, me kërkesë që aktgjykimi i ankimuar të prishet dhe çështja t’i kthehet gjykatës së shkallës së parë në rigjykim për shkak të shkeljeve thelbësore të dispozitave të procedurës kontestimore, konstatim</w:t>
      </w:r>
      <w:r w:rsidR="009767C2">
        <w:rPr>
          <w:bCs/>
          <w:sz w:val="24"/>
        </w:rPr>
        <w:t>it</w:t>
      </w:r>
      <w:r w:rsidRPr="00454DA0">
        <w:rPr>
          <w:bCs/>
          <w:sz w:val="24"/>
        </w:rPr>
        <w:t xml:space="preserve"> të gabuar dhe jo të plotë të gjendjes faktike, si dhe zbatim</w:t>
      </w:r>
      <w:r w:rsidR="009767C2">
        <w:rPr>
          <w:bCs/>
          <w:sz w:val="24"/>
        </w:rPr>
        <w:t>it</w:t>
      </w:r>
      <w:r w:rsidRPr="00454DA0">
        <w:rPr>
          <w:bCs/>
          <w:sz w:val="24"/>
        </w:rPr>
        <w:t xml:space="preserve"> të gabuar të së drejtës materiale</w:t>
      </w:r>
      <w:r w:rsidR="00030683" w:rsidRPr="00454DA0">
        <w:rPr>
          <w:bCs/>
          <w:sz w:val="24"/>
        </w:rPr>
        <w:t>.</w:t>
      </w:r>
    </w:p>
    <w:p w:rsidR="00030683" w:rsidRPr="00454DA0" w:rsidRDefault="00030683" w:rsidP="00EC6A1F">
      <w:pPr>
        <w:pStyle w:val="ListParagraph"/>
        <w:spacing w:line="240" w:lineRule="auto"/>
        <w:rPr>
          <w:bCs/>
          <w:sz w:val="24"/>
        </w:rPr>
      </w:pPr>
    </w:p>
    <w:p w:rsidR="00030683" w:rsidRPr="00454DA0" w:rsidRDefault="00CD29D3" w:rsidP="00EC6A1F">
      <w:pPr>
        <w:numPr>
          <w:ilvl w:val="0"/>
          <w:numId w:val="14"/>
        </w:numPr>
        <w:tabs>
          <w:tab w:val="left" w:pos="270"/>
        </w:tabs>
        <w:spacing w:line="240" w:lineRule="auto"/>
        <w:ind w:left="630" w:hanging="630"/>
        <w:rPr>
          <w:bCs/>
          <w:sz w:val="24"/>
        </w:rPr>
      </w:pPr>
      <w:r w:rsidRPr="00454DA0">
        <w:rPr>
          <w:bCs/>
          <w:sz w:val="24"/>
        </w:rPr>
        <w:t>Më 8 nëntor 2019, Gjykata e Apelit përmes Aktgjykimit [CA.</w:t>
      </w:r>
      <w:r w:rsidR="00B10DCB">
        <w:rPr>
          <w:bCs/>
          <w:sz w:val="24"/>
        </w:rPr>
        <w:t xml:space="preserve"> </w:t>
      </w:r>
      <w:r w:rsidRPr="00454DA0">
        <w:rPr>
          <w:bCs/>
          <w:sz w:val="24"/>
        </w:rPr>
        <w:t>nr.</w:t>
      </w:r>
      <w:r w:rsidR="00B10DCB">
        <w:rPr>
          <w:bCs/>
          <w:sz w:val="24"/>
        </w:rPr>
        <w:t xml:space="preserve"> </w:t>
      </w:r>
      <w:r w:rsidRPr="00454DA0">
        <w:rPr>
          <w:bCs/>
          <w:sz w:val="24"/>
        </w:rPr>
        <w:t>1774/2015] refuzoi si të pathemeltë ankesën e parashtruesit të kërkesës dhe të paditurve tjerë</w:t>
      </w:r>
      <w:r w:rsidR="00791103" w:rsidRPr="00454DA0">
        <w:rPr>
          <w:bCs/>
          <w:sz w:val="24"/>
        </w:rPr>
        <w:t>, dhe vërtetoi A</w:t>
      </w:r>
      <w:r w:rsidR="00C47EC9" w:rsidRPr="00454DA0">
        <w:rPr>
          <w:bCs/>
          <w:sz w:val="24"/>
        </w:rPr>
        <w:t>ktgjykimin e Gjykatës Themelore.</w:t>
      </w:r>
    </w:p>
    <w:p w:rsidR="00E8489D" w:rsidRPr="00454DA0" w:rsidRDefault="00E8489D" w:rsidP="00EC6A1F">
      <w:pPr>
        <w:tabs>
          <w:tab w:val="left" w:pos="270"/>
        </w:tabs>
        <w:spacing w:line="240" w:lineRule="auto"/>
        <w:ind w:left="630"/>
        <w:rPr>
          <w:bCs/>
          <w:sz w:val="24"/>
        </w:rPr>
      </w:pPr>
    </w:p>
    <w:p w:rsidR="00A63D3F" w:rsidRPr="00454DA0" w:rsidRDefault="00C47EC9" w:rsidP="00EC6A1F">
      <w:pPr>
        <w:numPr>
          <w:ilvl w:val="0"/>
          <w:numId w:val="14"/>
        </w:numPr>
        <w:tabs>
          <w:tab w:val="left" w:pos="270"/>
        </w:tabs>
        <w:spacing w:line="240" w:lineRule="auto"/>
        <w:ind w:left="630" w:hanging="630"/>
        <w:rPr>
          <w:bCs/>
          <w:sz w:val="24"/>
        </w:rPr>
      </w:pPr>
      <w:r w:rsidRPr="00454DA0">
        <w:rPr>
          <w:bCs/>
          <w:sz w:val="24"/>
        </w:rPr>
        <w:t xml:space="preserve">Më 27 nëntor 2019, parashtruesi i kërkesës paraqiti revizion pranë Gjykatës Supreme kundër Aktgjykimit të Gjykatës </w:t>
      </w:r>
      <w:r w:rsidR="009767C2">
        <w:rPr>
          <w:bCs/>
          <w:sz w:val="24"/>
        </w:rPr>
        <w:t xml:space="preserve">së Apelit dhe asaj Themelore, duke pretenduar </w:t>
      </w:r>
      <w:r w:rsidRPr="00454DA0">
        <w:rPr>
          <w:bCs/>
          <w:sz w:val="24"/>
        </w:rPr>
        <w:t>shkelje thelbësore të dispozitave kontestimore</w:t>
      </w:r>
      <w:r w:rsidR="009767C2">
        <w:rPr>
          <w:bCs/>
          <w:sz w:val="24"/>
        </w:rPr>
        <w:t xml:space="preserve"> dhe zbatimin e</w:t>
      </w:r>
      <w:r w:rsidRPr="00454DA0">
        <w:rPr>
          <w:bCs/>
          <w:sz w:val="24"/>
        </w:rPr>
        <w:t xml:space="preserve"> gabuar të së drejtës materiale.</w:t>
      </w:r>
    </w:p>
    <w:p w:rsidR="00C47EC9" w:rsidRPr="00454DA0" w:rsidRDefault="00C47EC9" w:rsidP="00EC6A1F">
      <w:pPr>
        <w:pStyle w:val="ListParagraph"/>
        <w:spacing w:line="240" w:lineRule="auto"/>
        <w:rPr>
          <w:bCs/>
          <w:sz w:val="24"/>
        </w:rPr>
      </w:pPr>
    </w:p>
    <w:p w:rsidR="00C47EC9" w:rsidRPr="00454DA0" w:rsidRDefault="00C47EC9" w:rsidP="00EC6A1F">
      <w:pPr>
        <w:numPr>
          <w:ilvl w:val="0"/>
          <w:numId w:val="14"/>
        </w:numPr>
        <w:tabs>
          <w:tab w:val="left" w:pos="270"/>
        </w:tabs>
        <w:spacing w:line="240" w:lineRule="auto"/>
        <w:ind w:left="630" w:hanging="630"/>
        <w:rPr>
          <w:bCs/>
          <w:sz w:val="24"/>
        </w:rPr>
      </w:pPr>
      <w:r w:rsidRPr="00454DA0">
        <w:rPr>
          <w:bCs/>
          <w:sz w:val="24"/>
        </w:rPr>
        <w:t>Më 19 shkurt 2020, Gjykata Supreme përmes Aktgjykimit [Rev.</w:t>
      </w:r>
      <w:r w:rsidR="00B10DCB">
        <w:rPr>
          <w:bCs/>
          <w:sz w:val="24"/>
        </w:rPr>
        <w:t xml:space="preserve"> </w:t>
      </w:r>
      <w:r w:rsidRPr="00454DA0">
        <w:rPr>
          <w:bCs/>
          <w:sz w:val="24"/>
        </w:rPr>
        <w:t>nr.</w:t>
      </w:r>
      <w:r w:rsidR="00B10DCB">
        <w:rPr>
          <w:bCs/>
          <w:sz w:val="24"/>
        </w:rPr>
        <w:t xml:space="preserve"> </w:t>
      </w:r>
      <w:r w:rsidRPr="00454DA0">
        <w:rPr>
          <w:bCs/>
          <w:sz w:val="24"/>
        </w:rPr>
        <w:t>2/2020] refuzoi si të pathemeltë revizionin e parashtruesit të kërkesës.</w:t>
      </w:r>
    </w:p>
    <w:p w:rsidR="00B70B2F" w:rsidRPr="00454DA0" w:rsidRDefault="00B70B2F" w:rsidP="00EC6A1F">
      <w:pPr>
        <w:tabs>
          <w:tab w:val="left" w:pos="270"/>
        </w:tabs>
        <w:spacing w:line="240" w:lineRule="auto"/>
        <w:ind w:left="630"/>
        <w:rPr>
          <w:b/>
          <w:bCs/>
          <w:sz w:val="24"/>
        </w:rPr>
      </w:pPr>
    </w:p>
    <w:p w:rsidR="0032122D" w:rsidRPr="00454DA0" w:rsidRDefault="0032122D" w:rsidP="00EC6A1F">
      <w:pPr>
        <w:spacing w:line="240" w:lineRule="auto"/>
        <w:rPr>
          <w:sz w:val="24"/>
        </w:rPr>
      </w:pPr>
      <w:r w:rsidRPr="00454DA0">
        <w:rPr>
          <w:b/>
          <w:bCs/>
          <w:sz w:val="24"/>
        </w:rPr>
        <w:t xml:space="preserve">Pretendimet e parashtruesit të kërkesës </w:t>
      </w:r>
    </w:p>
    <w:p w:rsidR="0032122D" w:rsidRPr="00454DA0" w:rsidRDefault="0032122D" w:rsidP="00EC6A1F">
      <w:pPr>
        <w:tabs>
          <w:tab w:val="left" w:pos="540"/>
        </w:tabs>
        <w:spacing w:line="240" w:lineRule="auto"/>
        <w:rPr>
          <w:rFonts w:cs="Arial"/>
          <w:sz w:val="24"/>
          <w:lang w:eastAsia="ar-SA"/>
        </w:rPr>
      </w:pPr>
    </w:p>
    <w:p w:rsidR="002510EE" w:rsidRPr="00454DA0" w:rsidRDefault="0032122D" w:rsidP="00EC6A1F">
      <w:pPr>
        <w:numPr>
          <w:ilvl w:val="0"/>
          <w:numId w:val="14"/>
        </w:numPr>
        <w:tabs>
          <w:tab w:val="left" w:pos="630"/>
        </w:tabs>
        <w:spacing w:line="240" w:lineRule="auto"/>
        <w:ind w:left="630" w:hanging="630"/>
        <w:rPr>
          <w:sz w:val="24"/>
        </w:rPr>
      </w:pPr>
      <w:r w:rsidRPr="00454DA0">
        <w:rPr>
          <w:sz w:val="24"/>
        </w:rPr>
        <w:t xml:space="preserve">Parashtruesi i kërkesës </w:t>
      </w:r>
      <w:r w:rsidR="00AA0E5E" w:rsidRPr="00454DA0">
        <w:rPr>
          <w:sz w:val="24"/>
        </w:rPr>
        <w:t xml:space="preserve">konteston </w:t>
      </w:r>
      <w:r w:rsidR="00411A06" w:rsidRPr="00454DA0">
        <w:rPr>
          <w:sz w:val="24"/>
        </w:rPr>
        <w:t>Aktgjykimin</w:t>
      </w:r>
      <w:r w:rsidR="00AA0E5E" w:rsidRPr="00454DA0">
        <w:rPr>
          <w:sz w:val="24"/>
        </w:rPr>
        <w:t xml:space="preserve"> [</w:t>
      </w:r>
      <w:r w:rsidR="00411A06" w:rsidRPr="00454DA0">
        <w:rPr>
          <w:bCs/>
          <w:sz w:val="24"/>
        </w:rPr>
        <w:t>Rev.</w:t>
      </w:r>
      <w:r w:rsidR="00B10DCB">
        <w:rPr>
          <w:bCs/>
          <w:sz w:val="24"/>
        </w:rPr>
        <w:t xml:space="preserve"> </w:t>
      </w:r>
      <w:r w:rsidR="00411A06" w:rsidRPr="00454DA0">
        <w:rPr>
          <w:bCs/>
          <w:sz w:val="24"/>
        </w:rPr>
        <w:t>nr.</w:t>
      </w:r>
      <w:r w:rsidR="00B10DCB">
        <w:rPr>
          <w:bCs/>
          <w:sz w:val="24"/>
        </w:rPr>
        <w:t xml:space="preserve"> </w:t>
      </w:r>
      <w:r w:rsidR="00411A06" w:rsidRPr="00454DA0">
        <w:rPr>
          <w:bCs/>
          <w:sz w:val="24"/>
        </w:rPr>
        <w:t>2/2020</w:t>
      </w:r>
      <w:r w:rsidR="00AA0E5E" w:rsidRPr="00454DA0">
        <w:rPr>
          <w:sz w:val="24"/>
        </w:rPr>
        <w:t xml:space="preserve">] </w:t>
      </w:r>
      <w:r w:rsidR="00411A06" w:rsidRPr="00454DA0">
        <w:rPr>
          <w:sz w:val="24"/>
        </w:rPr>
        <w:t>të 19 shkurtit 2020 të Gjykatës Supreme</w:t>
      </w:r>
      <w:r w:rsidR="00AA0E5E" w:rsidRPr="00454DA0">
        <w:rPr>
          <w:sz w:val="24"/>
        </w:rPr>
        <w:t xml:space="preserve">, me pretendimin se </w:t>
      </w:r>
      <w:r w:rsidR="00344519" w:rsidRPr="00454DA0">
        <w:rPr>
          <w:sz w:val="24"/>
        </w:rPr>
        <w:t>i një</w:t>
      </w:r>
      <w:r w:rsidR="00411A06" w:rsidRPr="00454DA0">
        <w:rPr>
          <w:sz w:val="24"/>
        </w:rPr>
        <w:t>jti</w:t>
      </w:r>
      <w:r w:rsidR="00AA0E5E" w:rsidRPr="00454DA0">
        <w:rPr>
          <w:sz w:val="24"/>
        </w:rPr>
        <w:t xml:space="preserve"> </w:t>
      </w:r>
      <w:r w:rsidR="00411A06" w:rsidRPr="00454DA0">
        <w:rPr>
          <w:sz w:val="24"/>
        </w:rPr>
        <w:t>është</w:t>
      </w:r>
      <w:r w:rsidR="00AA0E5E" w:rsidRPr="00454DA0">
        <w:rPr>
          <w:sz w:val="24"/>
        </w:rPr>
        <w:t xml:space="preserve"> nxjerrë në shkelje të të drejtave dhe lirive themelore të tij të </w:t>
      </w:r>
      <w:r w:rsidR="00D73A2F" w:rsidRPr="00454DA0">
        <w:rPr>
          <w:sz w:val="24"/>
        </w:rPr>
        <w:t>garantuara me nenet</w:t>
      </w:r>
      <w:r w:rsidR="00BF4749" w:rsidRPr="00454DA0">
        <w:rPr>
          <w:sz w:val="24"/>
        </w:rPr>
        <w:t xml:space="preserve"> </w:t>
      </w:r>
      <w:r w:rsidR="00D73A2F" w:rsidRPr="00454DA0">
        <w:rPr>
          <w:sz w:val="24"/>
        </w:rPr>
        <w:t xml:space="preserve">31 [E Drejta për Gjykim të Drejtë dhe të Paanshëm], 32 [E Drejta për Mjete Juridike], dhe 102 </w:t>
      </w:r>
      <w:r w:rsidR="00D73A2F" w:rsidRPr="00454DA0">
        <w:rPr>
          <w:sz w:val="24"/>
        </w:rPr>
        <w:lastRenderedPageBreak/>
        <w:t xml:space="preserve">[Parimet e Përgjithshme të Sistemit Gjyqësor] të Kushtetutës si dhe </w:t>
      </w:r>
      <w:r w:rsidR="00344519" w:rsidRPr="00454DA0">
        <w:rPr>
          <w:sz w:val="24"/>
        </w:rPr>
        <w:t xml:space="preserve">me </w:t>
      </w:r>
      <w:r w:rsidR="00D73A2F" w:rsidRPr="00454DA0">
        <w:rPr>
          <w:sz w:val="24"/>
        </w:rPr>
        <w:t xml:space="preserve">nenin </w:t>
      </w:r>
      <w:r w:rsidR="00411A06" w:rsidRPr="00454DA0">
        <w:rPr>
          <w:sz w:val="24"/>
        </w:rPr>
        <w:t>1</w:t>
      </w:r>
      <w:r w:rsidR="00344519" w:rsidRPr="00454DA0">
        <w:rPr>
          <w:sz w:val="24"/>
        </w:rPr>
        <w:t xml:space="preserve"> të Protokollit I</w:t>
      </w:r>
      <w:r w:rsidR="001C2A3D">
        <w:rPr>
          <w:sz w:val="24"/>
        </w:rPr>
        <w:t>, dhe</w:t>
      </w:r>
      <w:r w:rsidR="00344519" w:rsidRPr="00454DA0">
        <w:rPr>
          <w:sz w:val="24"/>
        </w:rPr>
        <w:t xml:space="preserve"> nenet</w:t>
      </w:r>
      <w:r w:rsidR="00411A06" w:rsidRPr="00454DA0">
        <w:rPr>
          <w:sz w:val="24"/>
        </w:rPr>
        <w:t xml:space="preserve"> 6 dhe 13</w:t>
      </w:r>
      <w:r w:rsidR="00D73A2F" w:rsidRPr="00454DA0">
        <w:rPr>
          <w:sz w:val="24"/>
        </w:rPr>
        <w:t xml:space="preserve"> të KEDNJ-së</w:t>
      </w:r>
      <w:r w:rsidR="00BF4749" w:rsidRPr="00454DA0">
        <w:rPr>
          <w:sz w:val="24"/>
        </w:rPr>
        <w:t>.</w:t>
      </w:r>
    </w:p>
    <w:p w:rsidR="000E1C95" w:rsidRPr="00454DA0" w:rsidRDefault="000E1C95" w:rsidP="00EC6A1F">
      <w:pPr>
        <w:tabs>
          <w:tab w:val="left" w:pos="630"/>
        </w:tabs>
        <w:spacing w:line="240" w:lineRule="auto"/>
        <w:ind w:left="630"/>
        <w:rPr>
          <w:sz w:val="24"/>
        </w:rPr>
      </w:pPr>
    </w:p>
    <w:p w:rsidR="002510EE" w:rsidRPr="009767C2" w:rsidRDefault="009328AF" w:rsidP="00EC6A1F">
      <w:pPr>
        <w:numPr>
          <w:ilvl w:val="0"/>
          <w:numId w:val="14"/>
        </w:numPr>
        <w:tabs>
          <w:tab w:val="left" w:pos="630"/>
        </w:tabs>
        <w:spacing w:line="240" w:lineRule="auto"/>
        <w:ind w:left="630" w:hanging="630"/>
        <w:rPr>
          <w:sz w:val="24"/>
        </w:rPr>
      </w:pPr>
      <w:r w:rsidRPr="00454DA0">
        <w:rPr>
          <w:sz w:val="24"/>
        </w:rPr>
        <w:t xml:space="preserve">Parashtruesi i kërkesës iu referohet neneve të </w:t>
      </w:r>
      <w:r w:rsidR="00344519" w:rsidRPr="00454DA0">
        <w:rPr>
          <w:sz w:val="24"/>
        </w:rPr>
        <w:t>lartcekura</w:t>
      </w:r>
      <w:r w:rsidRPr="00454DA0">
        <w:rPr>
          <w:sz w:val="24"/>
        </w:rPr>
        <w:t xml:space="preserve"> të Kushtetutës dhe KEDNJ-së duke pretenduar shkelje të</w:t>
      </w:r>
      <w:r w:rsidR="006465A0" w:rsidRPr="00454DA0">
        <w:rPr>
          <w:sz w:val="24"/>
        </w:rPr>
        <w:t xml:space="preserve"> të</w:t>
      </w:r>
      <w:r w:rsidRPr="00454DA0">
        <w:rPr>
          <w:sz w:val="24"/>
        </w:rPr>
        <w:t xml:space="preserve"> drejta</w:t>
      </w:r>
      <w:r w:rsidR="006465A0" w:rsidRPr="00454DA0">
        <w:rPr>
          <w:sz w:val="24"/>
        </w:rPr>
        <w:t>ve</w:t>
      </w:r>
      <w:r w:rsidRPr="00454DA0">
        <w:rPr>
          <w:sz w:val="24"/>
        </w:rPr>
        <w:t xml:space="preserve"> themelore të garantuara me këto nene, mirëpo pa shtjelluar dhe arsyetuar fare se si dhe pse janë shkelur të drejtat e tij të garantuara me këto nene të Kushtetutës dhe KEDNJ-së</w:t>
      </w:r>
      <w:r w:rsidR="000E1C95" w:rsidRPr="00454DA0">
        <w:rPr>
          <w:sz w:val="24"/>
        </w:rPr>
        <w:t>.</w:t>
      </w:r>
    </w:p>
    <w:p w:rsidR="0032122D" w:rsidRPr="00454DA0" w:rsidRDefault="0032122D" w:rsidP="00EC6A1F">
      <w:pPr>
        <w:tabs>
          <w:tab w:val="left" w:pos="270"/>
        </w:tabs>
        <w:spacing w:line="240" w:lineRule="auto"/>
        <w:rPr>
          <w:sz w:val="24"/>
        </w:rPr>
      </w:pPr>
    </w:p>
    <w:p w:rsidR="0032122D" w:rsidRPr="00454DA0" w:rsidRDefault="002B6B6B" w:rsidP="00EC6A1F">
      <w:pPr>
        <w:numPr>
          <w:ilvl w:val="0"/>
          <w:numId w:val="14"/>
        </w:numPr>
        <w:tabs>
          <w:tab w:val="left" w:pos="270"/>
        </w:tabs>
        <w:spacing w:line="240" w:lineRule="auto"/>
        <w:ind w:left="630" w:hanging="630"/>
        <w:rPr>
          <w:b/>
          <w:sz w:val="24"/>
        </w:rPr>
      </w:pPr>
      <w:r w:rsidRPr="00454DA0">
        <w:rPr>
          <w:sz w:val="24"/>
        </w:rPr>
        <w:t xml:space="preserve">Parashtruesi i kërkesës pretendon se </w:t>
      </w:r>
      <w:r w:rsidR="00411A06" w:rsidRPr="00454DA0">
        <w:rPr>
          <w:sz w:val="24"/>
        </w:rPr>
        <w:t>gjykatat e rregullta përmes aktgjykimeve të nxjerra “</w:t>
      </w:r>
      <w:r w:rsidR="00411A06" w:rsidRPr="00454DA0">
        <w:rPr>
          <w:i/>
          <w:sz w:val="24"/>
        </w:rPr>
        <w:t>i kanë mbrojtur fajdet</w:t>
      </w:r>
      <w:r w:rsidR="00411A06" w:rsidRPr="00454DA0">
        <w:rPr>
          <w:sz w:val="24"/>
        </w:rPr>
        <w:t>”</w:t>
      </w:r>
      <w:r w:rsidR="00D40269" w:rsidRPr="00454DA0">
        <w:rPr>
          <w:sz w:val="24"/>
        </w:rPr>
        <w:t>. Ai thekson se të hollat i janë dhënë me fajde, dhe se arsyetimet e dhëna në aktgjykime</w:t>
      </w:r>
      <w:r w:rsidR="00890CCF" w:rsidRPr="00454DA0">
        <w:rPr>
          <w:sz w:val="24"/>
        </w:rPr>
        <w:t>t e gjykatave të rregullta</w:t>
      </w:r>
      <w:r w:rsidR="00D40269" w:rsidRPr="00454DA0">
        <w:rPr>
          <w:sz w:val="24"/>
        </w:rPr>
        <w:t xml:space="preserve"> janë të paqarta dhe kontradiktore.</w:t>
      </w:r>
    </w:p>
    <w:p w:rsidR="00E4396E" w:rsidRPr="00454DA0" w:rsidRDefault="00E4396E" w:rsidP="00EC6A1F">
      <w:pPr>
        <w:pStyle w:val="ListParagraph"/>
        <w:spacing w:line="240" w:lineRule="auto"/>
        <w:rPr>
          <w:b/>
          <w:sz w:val="24"/>
        </w:rPr>
      </w:pPr>
    </w:p>
    <w:p w:rsidR="00E4396E" w:rsidRPr="00454DA0" w:rsidRDefault="00E4396E" w:rsidP="00EC6A1F">
      <w:pPr>
        <w:numPr>
          <w:ilvl w:val="0"/>
          <w:numId w:val="14"/>
        </w:numPr>
        <w:tabs>
          <w:tab w:val="left" w:pos="270"/>
        </w:tabs>
        <w:spacing w:line="240" w:lineRule="auto"/>
        <w:ind w:left="630" w:hanging="630"/>
        <w:rPr>
          <w:sz w:val="24"/>
        </w:rPr>
      </w:pPr>
      <w:r w:rsidRPr="00454DA0">
        <w:rPr>
          <w:sz w:val="24"/>
        </w:rPr>
        <w:t xml:space="preserve">Tutje parashtruesi pretendon </w:t>
      </w:r>
      <w:r w:rsidR="00D40269" w:rsidRPr="00454DA0">
        <w:rPr>
          <w:sz w:val="24"/>
        </w:rPr>
        <w:t>se (i) gjykatat e rregullta nuk kanë vlerësuar tërësisht ankesat e tij, siç janë të detyruara me nenin 204 të Ligjit të Procedurës Kontestimore (LPK-së)</w:t>
      </w:r>
      <w:r w:rsidR="00FF35F1" w:rsidRPr="00454DA0">
        <w:rPr>
          <w:sz w:val="24"/>
        </w:rPr>
        <w:t>; (ii) ne kemi qenë katër të paditur dhe në gjykatë kurrë nuk janë ftuar i padituri 2,</w:t>
      </w:r>
      <w:r w:rsidR="009767C2">
        <w:rPr>
          <w:sz w:val="24"/>
        </w:rPr>
        <w:t xml:space="preserve"> </w:t>
      </w:r>
      <w:r w:rsidR="00FF35F1" w:rsidRPr="00454DA0">
        <w:rPr>
          <w:sz w:val="24"/>
        </w:rPr>
        <w:t>3 dhe 4 por vetëm i padituri i parë; (iii) gjykata e shkallës së parë</w:t>
      </w:r>
      <w:r w:rsidR="008A0037" w:rsidRPr="00454DA0">
        <w:rPr>
          <w:sz w:val="24"/>
        </w:rPr>
        <w:t xml:space="preserve"> nuk ka vërtetuar se ku janë marrë dhe dhënë të hollat; </w:t>
      </w:r>
      <w:r w:rsidR="009767C2">
        <w:rPr>
          <w:sz w:val="24"/>
        </w:rPr>
        <w:t xml:space="preserve">dhe se </w:t>
      </w:r>
      <w:r w:rsidR="008A0037" w:rsidRPr="00454DA0">
        <w:rPr>
          <w:sz w:val="24"/>
        </w:rPr>
        <w:t>(iv) kontratat janë fiktive dhe të imponuara. Sipas parashtruesit të kërkesës asgjë nuk ishte vërtetuar nga ana e gjykatave dhe për këtë arsye padia është dashtë të hedhet poshtë.</w:t>
      </w:r>
    </w:p>
    <w:p w:rsidR="00334E4F" w:rsidRPr="00454DA0" w:rsidRDefault="00334E4F" w:rsidP="00EC6A1F">
      <w:pPr>
        <w:pStyle w:val="ListParagraph"/>
        <w:spacing w:line="240" w:lineRule="auto"/>
        <w:rPr>
          <w:sz w:val="24"/>
        </w:rPr>
      </w:pPr>
    </w:p>
    <w:p w:rsidR="00334E4F" w:rsidRPr="00454DA0" w:rsidRDefault="00334E4F" w:rsidP="00EC6A1F">
      <w:pPr>
        <w:numPr>
          <w:ilvl w:val="0"/>
          <w:numId w:val="14"/>
        </w:numPr>
        <w:tabs>
          <w:tab w:val="left" w:pos="270"/>
        </w:tabs>
        <w:spacing w:line="240" w:lineRule="auto"/>
        <w:ind w:left="630" w:hanging="630"/>
        <w:rPr>
          <w:sz w:val="24"/>
        </w:rPr>
      </w:pPr>
      <w:r w:rsidRPr="00454DA0">
        <w:rPr>
          <w:sz w:val="24"/>
        </w:rPr>
        <w:t>Pretendim tjetër i parashtruesit të kërkesës është</w:t>
      </w:r>
      <w:r w:rsidR="00510607" w:rsidRPr="00454DA0">
        <w:rPr>
          <w:sz w:val="24"/>
        </w:rPr>
        <w:t xml:space="preserve"> edhe ajo që sipas tij </w:t>
      </w:r>
      <w:r w:rsidR="008A0037" w:rsidRPr="00454DA0">
        <w:rPr>
          <w:sz w:val="24"/>
        </w:rPr>
        <w:t xml:space="preserve">paditësi ka ushtruar padi në vitin 2014 ndërsa ai obligohet që ta paguaj kamatën nga viti 2003. Ai thekson se ky borxh është </w:t>
      </w:r>
      <w:r w:rsidR="0082127E" w:rsidRPr="00454DA0">
        <w:rPr>
          <w:sz w:val="24"/>
        </w:rPr>
        <w:t>parashkruar por kundërshtimi i parashkrimit nuk është trajtuar. Sipas parashtruesit “</w:t>
      </w:r>
      <w:r w:rsidR="0082127E" w:rsidRPr="00454DA0">
        <w:rPr>
          <w:i/>
          <w:sz w:val="24"/>
        </w:rPr>
        <w:t xml:space="preserve">Çështja e parashkrimit deri me datën </w:t>
      </w:r>
      <w:r w:rsidR="0082127E" w:rsidRPr="00454DA0">
        <w:rPr>
          <w:bCs/>
          <w:i/>
          <w:sz w:val="24"/>
        </w:rPr>
        <w:t>22 mars 1999</w:t>
      </w:r>
      <w:r w:rsidR="0082127E" w:rsidRPr="00454DA0">
        <w:rPr>
          <w:b/>
          <w:bCs/>
          <w:i/>
          <w:sz w:val="24"/>
        </w:rPr>
        <w:t xml:space="preserve"> </w:t>
      </w:r>
      <w:r w:rsidR="0082127E" w:rsidRPr="00454DA0">
        <w:rPr>
          <w:i/>
          <w:sz w:val="24"/>
        </w:rPr>
        <w:t xml:space="preserve">ka qenë e rregulluar me LMD, neni 371 , dhe afati i parashkrimit ishte 5 (pesë) vjet. Andaj, dispozita e nenit 34. të Ligjit </w:t>
      </w:r>
      <w:r w:rsidR="00B10DCB" w:rsidRPr="00454DA0">
        <w:rPr>
          <w:i/>
          <w:sz w:val="24"/>
        </w:rPr>
        <w:t>për</w:t>
      </w:r>
      <w:r w:rsidR="0082127E" w:rsidRPr="00454DA0">
        <w:rPr>
          <w:i/>
          <w:sz w:val="24"/>
        </w:rPr>
        <w:t xml:space="preserve"> ndryshimet dhe plotësimet e Ligjit për </w:t>
      </w:r>
      <w:r w:rsidR="00B10DCB" w:rsidRPr="00454DA0">
        <w:rPr>
          <w:i/>
          <w:sz w:val="24"/>
        </w:rPr>
        <w:t>marrëdhëniet</w:t>
      </w:r>
      <w:r w:rsidR="0082127E" w:rsidRPr="00454DA0">
        <w:rPr>
          <w:i/>
          <w:sz w:val="24"/>
        </w:rPr>
        <w:t xml:space="preserve"> detyrimore "Gazeta zyrtare e RFJ" </w:t>
      </w:r>
      <w:r w:rsidR="0082127E" w:rsidRPr="00454DA0">
        <w:rPr>
          <w:i/>
          <w:iCs/>
          <w:sz w:val="24"/>
        </w:rPr>
        <w:t xml:space="preserve">31/93 </w:t>
      </w:r>
      <w:r w:rsidR="009767C2">
        <w:rPr>
          <w:i/>
          <w:sz w:val="24"/>
        </w:rPr>
        <w:t>e dt. 18.06</w:t>
      </w:r>
      <w:r w:rsidR="0082127E" w:rsidRPr="00454DA0">
        <w:rPr>
          <w:i/>
          <w:sz w:val="24"/>
        </w:rPr>
        <w:t>.1993 e cil</w:t>
      </w:r>
      <w:r w:rsidR="009767C2">
        <w:rPr>
          <w:i/>
          <w:sz w:val="24"/>
        </w:rPr>
        <w:t>a ka hype ne fuqi me dt. 25.06</w:t>
      </w:r>
      <w:r w:rsidR="0082127E" w:rsidRPr="00454DA0">
        <w:rPr>
          <w:i/>
          <w:sz w:val="24"/>
        </w:rPr>
        <w:t>.1993 e cila dispozitë</w:t>
      </w:r>
      <w:r w:rsidR="004C430C" w:rsidRPr="00454DA0">
        <w:rPr>
          <w:i/>
          <w:sz w:val="24"/>
        </w:rPr>
        <w:t xml:space="preserve"> e rregullon ndryshe atë lë</w:t>
      </w:r>
      <w:r w:rsidR="0082127E" w:rsidRPr="00454DA0">
        <w:rPr>
          <w:i/>
          <w:sz w:val="24"/>
        </w:rPr>
        <w:t xml:space="preserve">mi nga ajo e </w:t>
      </w:r>
      <w:r w:rsidR="004C430C" w:rsidRPr="00454DA0">
        <w:rPr>
          <w:i/>
          <w:sz w:val="24"/>
        </w:rPr>
        <w:t>rregulluar me dispozite ligjore në</w:t>
      </w:r>
      <w:r w:rsidR="0082127E" w:rsidRPr="00454DA0">
        <w:rPr>
          <w:i/>
          <w:sz w:val="24"/>
        </w:rPr>
        <w:t xml:space="preserve"> fuqi deri me 22 mars 19</w:t>
      </w:r>
      <w:r w:rsidR="004C430C" w:rsidRPr="00454DA0">
        <w:rPr>
          <w:i/>
          <w:sz w:val="24"/>
        </w:rPr>
        <w:t>99 është</w:t>
      </w:r>
      <w:r w:rsidR="0082127E" w:rsidRPr="00454DA0">
        <w:rPr>
          <w:i/>
          <w:sz w:val="24"/>
        </w:rPr>
        <w:t xml:space="preserve"> </w:t>
      </w:r>
      <w:r w:rsidR="004C430C" w:rsidRPr="00454DA0">
        <w:rPr>
          <w:bCs/>
          <w:i/>
          <w:sz w:val="24"/>
        </w:rPr>
        <w:t>dispozitë e pa aplikueshme</w:t>
      </w:r>
      <w:r w:rsidR="0082127E" w:rsidRPr="00454DA0">
        <w:rPr>
          <w:bCs/>
          <w:i/>
          <w:sz w:val="24"/>
        </w:rPr>
        <w:t>, e cila as</w:t>
      </w:r>
      <w:r w:rsidR="0082127E" w:rsidRPr="00454DA0">
        <w:rPr>
          <w:i/>
          <w:sz w:val="24"/>
        </w:rPr>
        <w:t xml:space="preserve"> </w:t>
      </w:r>
      <w:r w:rsidR="00B10DCB" w:rsidRPr="00454DA0">
        <w:rPr>
          <w:bCs/>
          <w:i/>
          <w:sz w:val="24"/>
        </w:rPr>
        <w:t>përjashtimisht</w:t>
      </w:r>
      <w:r w:rsidR="0082127E" w:rsidRPr="00454DA0">
        <w:rPr>
          <w:bCs/>
          <w:i/>
          <w:sz w:val="24"/>
        </w:rPr>
        <w:t xml:space="preserve"> </w:t>
      </w:r>
      <w:r w:rsidR="004C430C" w:rsidRPr="00454DA0">
        <w:rPr>
          <w:bCs/>
          <w:i/>
          <w:sz w:val="24"/>
        </w:rPr>
        <w:t>nuk mund të aplikohet</w:t>
      </w:r>
      <w:r w:rsidR="0082127E" w:rsidRPr="00454DA0">
        <w:rPr>
          <w:b/>
          <w:bCs/>
          <w:i/>
          <w:sz w:val="24"/>
        </w:rPr>
        <w:t xml:space="preserve">, </w:t>
      </w:r>
      <w:r w:rsidR="004C430C" w:rsidRPr="00454DA0">
        <w:rPr>
          <w:i/>
          <w:sz w:val="24"/>
        </w:rPr>
        <w:t>pavarë</w:t>
      </w:r>
      <w:r w:rsidR="0082127E" w:rsidRPr="00454DA0">
        <w:rPr>
          <w:i/>
          <w:sz w:val="24"/>
        </w:rPr>
        <w:t xml:space="preserve">sisht se </w:t>
      </w:r>
      <w:r w:rsidR="004C430C" w:rsidRPr="00454DA0">
        <w:rPr>
          <w:i/>
          <w:sz w:val="24"/>
        </w:rPr>
        <w:t>ë</w:t>
      </w:r>
      <w:r w:rsidR="0082127E" w:rsidRPr="00454DA0">
        <w:rPr>
          <w:i/>
          <w:sz w:val="24"/>
        </w:rPr>
        <w:t xml:space="preserve">shtë jodiskriminuese, prej nga del se neni 34 i Ligjit </w:t>
      </w:r>
      <w:r w:rsidR="00B10DCB" w:rsidRPr="00454DA0">
        <w:rPr>
          <w:i/>
          <w:sz w:val="24"/>
        </w:rPr>
        <w:t>për</w:t>
      </w:r>
      <w:r w:rsidR="0082127E" w:rsidRPr="00454DA0">
        <w:rPr>
          <w:i/>
          <w:sz w:val="24"/>
        </w:rPr>
        <w:t xml:space="preserve"> </w:t>
      </w:r>
      <w:r w:rsidR="004C430C" w:rsidRPr="00454DA0">
        <w:rPr>
          <w:i/>
          <w:sz w:val="24"/>
        </w:rPr>
        <w:t>ndryshimet dhe plotësimet e Ligjit për marrëdhë</w:t>
      </w:r>
      <w:r w:rsidR="0082127E" w:rsidRPr="00454DA0">
        <w:rPr>
          <w:i/>
          <w:sz w:val="24"/>
        </w:rPr>
        <w:t xml:space="preserve">niet detyrimore "Gazeta zyrtare e RFJ" </w:t>
      </w:r>
      <w:r w:rsidR="0082127E" w:rsidRPr="00454DA0">
        <w:rPr>
          <w:i/>
          <w:iCs/>
          <w:sz w:val="24"/>
        </w:rPr>
        <w:t xml:space="preserve">31/93 </w:t>
      </w:r>
      <w:r w:rsidR="004C430C" w:rsidRPr="00454DA0">
        <w:rPr>
          <w:i/>
          <w:sz w:val="24"/>
        </w:rPr>
        <w:t>i dt. 18 qershor 1993 është ligj pë</w:t>
      </w:r>
      <w:r w:rsidR="0082127E" w:rsidRPr="00454DA0">
        <w:rPr>
          <w:i/>
          <w:sz w:val="24"/>
        </w:rPr>
        <w:t xml:space="preserve">r </w:t>
      </w:r>
      <w:r w:rsidR="004C430C" w:rsidRPr="00454DA0">
        <w:rPr>
          <w:i/>
          <w:sz w:val="24"/>
        </w:rPr>
        <w:t>Kosovë i pa aplikueshë</w:t>
      </w:r>
      <w:r w:rsidR="0082127E" w:rsidRPr="00454DA0">
        <w:rPr>
          <w:i/>
          <w:sz w:val="24"/>
        </w:rPr>
        <w:t>m</w:t>
      </w:r>
      <w:r w:rsidR="004C430C" w:rsidRPr="00454DA0">
        <w:rPr>
          <w:sz w:val="24"/>
        </w:rPr>
        <w:t xml:space="preserve">”. </w:t>
      </w:r>
    </w:p>
    <w:p w:rsidR="006A3ED6" w:rsidRPr="00454DA0" w:rsidRDefault="006A3ED6" w:rsidP="00EC6A1F">
      <w:pPr>
        <w:spacing w:line="240" w:lineRule="auto"/>
        <w:rPr>
          <w:sz w:val="24"/>
        </w:rPr>
      </w:pPr>
    </w:p>
    <w:p w:rsidR="006A3ED6" w:rsidRPr="00454DA0" w:rsidRDefault="004C430C" w:rsidP="00EC6A1F">
      <w:pPr>
        <w:pStyle w:val="ListParagraph"/>
        <w:numPr>
          <w:ilvl w:val="0"/>
          <w:numId w:val="14"/>
        </w:numPr>
        <w:spacing w:line="240" w:lineRule="auto"/>
        <w:ind w:left="634" w:hanging="634"/>
        <w:rPr>
          <w:sz w:val="24"/>
        </w:rPr>
      </w:pPr>
      <w:r w:rsidRPr="00454DA0">
        <w:rPr>
          <w:sz w:val="24"/>
        </w:rPr>
        <w:t>Në fund parashtruesi i kërkesës kërkon nga Gjykata që të anulohen dhe të shpallen “</w:t>
      </w:r>
      <w:r w:rsidRPr="00454DA0">
        <w:rPr>
          <w:i/>
          <w:sz w:val="24"/>
        </w:rPr>
        <w:t>antikushtetuese</w:t>
      </w:r>
      <w:r w:rsidRPr="00454DA0">
        <w:rPr>
          <w:sz w:val="24"/>
        </w:rPr>
        <w:t>” Aktgjykimet e Gjykatave të rregullta.</w:t>
      </w:r>
    </w:p>
    <w:p w:rsidR="001F2E78" w:rsidRPr="00454DA0" w:rsidRDefault="001F2E78" w:rsidP="00EC6A1F">
      <w:pPr>
        <w:spacing w:line="240" w:lineRule="auto"/>
        <w:rPr>
          <w:rFonts w:eastAsia="SimSun"/>
          <w:b/>
          <w:bCs/>
          <w:sz w:val="24"/>
        </w:rPr>
      </w:pPr>
    </w:p>
    <w:p w:rsidR="00800846" w:rsidRPr="00454DA0" w:rsidRDefault="00800846" w:rsidP="00EC6A1F">
      <w:pPr>
        <w:spacing w:line="240" w:lineRule="auto"/>
        <w:rPr>
          <w:rFonts w:eastAsia="SimSun"/>
          <w:b/>
          <w:bCs/>
          <w:sz w:val="24"/>
        </w:rPr>
      </w:pPr>
      <w:r w:rsidRPr="00454DA0">
        <w:rPr>
          <w:rFonts w:eastAsia="SimSun"/>
          <w:b/>
          <w:bCs/>
          <w:sz w:val="24"/>
        </w:rPr>
        <w:t>Vlerësimi i pranueshmërisë së kërkesës</w:t>
      </w:r>
    </w:p>
    <w:p w:rsidR="009127A4" w:rsidRPr="00454DA0" w:rsidRDefault="009127A4" w:rsidP="00EC6A1F">
      <w:pPr>
        <w:spacing w:line="240" w:lineRule="auto"/>
        <w:rPr>
          <w:rFonts w:eastAsia="Times New Roman"/>
          <w:bCs/>
          <w:i/>
          <w:sz w:val="24"/>
        </w:rPr>
      </w:pPr>
    </w:p>
    <w:p w:rsidR="009127A4" w:rsidRPr="00454DA0" w:rsidRDefault="009127A4" w:rsidP="005E479D">
      <w:pPr>
        <w:numPr>
          <w:ilvl w:val="0"/>
          <w:numId w:val="14"/>
        </w:numPr>
        <w:spacing w:line="240" w:lineRule="auto"/>
        <w:ind w:left="634" w:hanging="634"/>
        <w:rPr>
          <w:rFonts w:eastAsia="Times New Roman"/>
          <w:sz w:val="24"/>
        </w:rPr>
      </w:pPr>
      <w:r w:rsidRPr="00454DA0">
        <w:rPr>
          <w:rFonts w:eastAsia="Times New Roman"/>
          <w:sz w:val="24"/>
        </w:rPr>
        <w:t xml:space="preserve">Gjykata së pari </w:t>
      </w:r>
      <w:r w:rsidRPr="00454DA0">
        <w:rPr>
          <w:rFonts w:eastAsia="Times New Roman" w:cs="Arial"/>
          <w:sz w:val="24"/>
        </w:rPr>
        <w:t>vlerëson</w:t>
      </w:r>
      <w:r w:rsidRPr="00454DA0">
        <w:rPr>
          <w:rFonts w:eastAsia="Times New Roman"/>
          <w:sz w:val="24"/>
        </w:rPr>
        <w:t xml:space="preserve"> nëse parashtruesi i kërkesës i ka përmbushur </w:t>
      </w:r>
      <w:r w:rsidRPr="00454DA0">
        <w:rPr>
          <w:rFonts w:eastAsia="Times New Roman"/>
          <w:bCs/>
          <w:iCs/>
          <w:sz w:val="24"/>
        </w:rPr>
        <w:t>kriteret</w:t>
      </w:r>
      <w:r w:rsidRPr="00454DA0">
        <w:rPr>
          <w:rFonts w:eastAsia="Times New Roman"/>
          <w:sz w:val="24"/>
        </w:rPr>
        <w:t xml:space="preserve"> e pranueshmërisë, të </w:t>
      </w:r>
      <w:r w:rsidRPr="00454DA0">
        <w:rPr>
          <w:rFonts w:eastAsia="Times New Roman"/>
          <w:bCs/>
          <w:iCs/>
          <w:sz w:val="24"/>
        </w:rPr>
        <w:t>përcaktuara</w:t>
      </w:r>
      <w:r w:rsidRPr="00454DA0">
        <w:rPr>
          <w:rFonts w:eastAsia="Times New Roman"/>
          <w:sz w:val="24"/>
        </w:rPr>
        <w:t xml:space="preserve"> me Kushtetutë dhe të specifikuara më tej me Ligj dhe me Rregullore të punës.</w:t>
      </w:r>
    </w:p>
    <w:p w:rsidR="009127A4" w:rsidRPr="00454DA0" w:rsidRDefault="009127A4" w:rsidP="00EC6A1F">
      <w:pPr>
        <w:spacing w:line="240" w:lineRule="auto"/>
        <w:ind w:left="634" w:hanging="634"/>
        <w:rPr>
          <w:rFonts w:eastAsia="Times New Roman"/>
          <w:sz w:val="24"/>
        </w:rPr>
      </w:pPr>
    </w:p>
    <w:p w:rsidR="009127A4" w:rsidRPr="00454DA0" w:rsidRDefault="009127A4" w:rsidP="005E479D">
      <w:pPr>
        <w:numPr>
          <w:ilvl w:val="0"/>
          <w:numId w:val="14"/>
        </w:numPr>
        <w:spacing w:line="240" w:lineRule="auto"/>
        <w:ind w:left="634" w:hanging="634"/>
        <w:rPr>
          <w:rFonts w:eastAsia="Times New Roman"/>
          <w:sz w:val="24"/>
        </w:rPr>
      </w:pPr>
      <w:r w:rsidRPr="00454DA0">
        <w:rPr>
          <w:rFonts w:eastAsia="Times New Roman"/>
          <w:sz w:val="24"/>
        </w:rPr>
        <w:t xml:space="preserve">Në këtë drejtim, Gjykata, fillimisht, i referohet paragrafëve 1 dhe 7, të </w:t>
      </w:r>
      <w:r w:rsidRPr="00454DA0">
        <w:rPr>
          <w:rFonts w:eastAsia="Times New Roman"/>
          <w:bCs/>
          <w:iCs/>
          <w:sz w:val="24"/>
        </w:rPr>
        <w:t>nenit</w:t>
      </w:r>
      <w:r w:rsidRPr="00454DA0">
        <w:rPr>
          <w:rFonts w:eastAsia="Times New Roman"/>
          <w:sz w:val="24"/>
        </w:rPr>
        <w:t xml:space="preserve"> 113 [Juridiksioni dhe </w:t>
      </w:r>
      <w:r w:rsidRPr="00454DA0">
        <w:rPr>
          <w:rFonts w:eastAsia="Times New Roman" w:cs="Arial"/>
          <w:sz w:val="24"/>
        </w:rPr>
        <w:t>Palët</w:t>
      </w:r>
      <w:r w:rsidRPr="00454DA0">
        <w:rPr>
          <w:rFonts w:eastAsia="Times New Roman"/>
          <w:sz w:val="24"/>
        </w:rPr>
        <w:t xml:space="preserve"> e Autorizuara] të Kushtetutës, që përcaktojnë: </w:t>
      </w:r>
    </w:p>
    <w:p w:rsidR="009127A4" w:rsidRPr="00454DA0" w:rsidRDefault="009127A4" w:rsidP="00EC6A1F">
      <w:pPr>
        <w:spacing w:line="240" w:lineRule="auto"/>
        <w:ind w:left="634" w:hanging="634"/>
        <w:rPr>
          <w:rFonts w:eastAsia="Times New Roman"/>
          <w:i/>
          <w:sz w:val="24"/>
        </w:rPr>
      </w:pPr>
      <w:r w:rsidRPr="00454DA0">
        <w:rPr>
          <w:rFonts w:eastAsia="Times New Roman"/>
          <w:i/>
          <w:sz w:val="24"/>
        </w:rPr>
        <w:t xml:space="preserve"> </w:t>
      </w:r>
    </w:p>
    <w:p w:rsidR="009127A4" w:rsidRPr="00454DA0" w:rsidRDefault="009127A4" w:rsidP="00EC6A1F">
      <w:pPr>
        <w:spacing w:line="240" w:lineRule="auto"/>
        <w:ind w:left="990"/>
        <w:rPr>
          <w:rFonts w:eastAsia="Times New Roman"/>
          <w:i/>
          <w:sz w:val="24"/>
        </w:rPr>
      </w:pPr>
      <w:r w:rsidRPr="00454DA0">
        <w:rPr>
          <w:rFonts w:eastAsia="Times New Roman"/>
          <w:i/>
          <w:sz w:val="24"/>
        </w:rPr>
        <w:t>“1. Gjykata Kushtetuese vendos vetëm për rastet e ngritura para gjykatës në mënyrë ligjore nga pala e autorizuar.</w:t>
      </w:r>
    </w:p>
    <w:p w:rsidR="009127A4" w:rsidRPr="00454DA0" w:rsidRDefault="009127A4" w:rsidP="00EC6A1F">
      <w:pPr>
        <w:spacing w:line="240" w:lineRule="auto"/>
        <w:ind w:left="990"/>
        <w:rPr>
          <w:rFonts w:eastAsia="Times New Roman"/>
          <w:i/>
          <w:sz w:val="24"/>
        </w:rPr>
      </w:pPr>
    </w:p>
    <w:p w:rsidR="009127A4" w:rsidRPr="00454DA0" w:rsidRDefault="009127A4" w:rsidP="00EC6A1F">
      <w:pPr>
        <w:spacing w:line="240" w:lineRule="auto"/>
        <w:ind w:left="990"/>
        <w:rPr>
          <w:rFonts w:eastAsia="Times New Roman"/>
          <w:i/>
          <w:sz w:val="24"/>
        </w:rPr>
      </w:pPr>
      <w:r w:rsidRPr="00454DA0">
        <w:rPr>
          <w:rFonts w:eastAsia="Times New Roman"/>
          <w:i/>
          <w:sz w:val="24"/>
        </w:rPr>
        <w:t>[…]</w:t>
      </w:r>
    </w:p>
    <w:p w:rsidR="009127A4" w:rsidRPr="00454DA0" w:rsidRDefault="009127A4" w:rsidP="00EC6A1F">
      <w:pPr>
        <w:spacing w:line="240" w:lineRule="auto"/>
        <w:ind w:left="990"/>
        <w:rPr>
          <w:rFonts w:eastAsia="Times New Roman"/>
          <w:i/>
          <w:sz w:val="24"/>
        </w:rPr>
      </w:pPr>
    </w:p>
    <w:p w:rsidR="009127A4" w:rsidRPr="00454DA0" w:rsidRDefault="009127A4" w:rsidP="00EC6A1F">
      <w:pPr>
        <w:spacing w:line="240" w:lineRule="auto"/>
        <w:ind w:left="990"/>
        <w:rPr>
          <w:rFonts w:eastAsia="Times New Roman"/>
          <w:i/>
          <w:sz w:val="24"/>
        </w:rPr>
      </w:pPr>
      <w:r w:rsidRPr="00454DA0">
        <w:rPr>
          <w:rFonts w:eastAsia="Times New Roman"/>
          <w:sz w:val="24"/>
        </w:rPr>
        <w:t xml:space="preserve">7. </w:t>
      </w:r>
      <w:r w:rsidRPr="00454DA0">
        <w:rPr>
          <w:rFonts w:eastAsia="Times New Roman"/>
          <w:i/>
          <w:sz w:val="24"/>
        </w:rPr>
        <w:t>Individët janë të autorizuar të ngrenë shkeljet nga autoritetet publike të të drejtave dhe lirive të tyre individuale, të garantuara me Kushtetutë, mirëpo vetëm pasi të kenë shteruar të gjitha mjetet juridike të përcaktuara me ligj</w:t>
      </w:r>
      <w:r w:rsidRPr="00454DA0">
        <w:rPr>
          <w:rFonts w:eastAsia="Calibri" w:cs="TimesNewRomanPSMT"/>
          <w:i/>
          <w:sz w:val="24"/>
          <w:lang w:eastAsia="sq-AL"/>
        </w:rPr>
        <w:t>.</w:t>
      </w:r>
      <w:r w:rsidRPr="00454DA0">
        <w:rPr>
          <w:rFonts w:eastAsia="Times New Roman"/>
          <w:i/>
          <w:sz w:val="24"/>
        </w:rPr>
        <w:t>”</w:t>
      </w:r>
    </w:p>
    <w:p w:rsidR="009127A4" w:rsidRPr="00454DA0" w:rsidRDefault="009127A4" w:rsidP="00EC6A1F">
      <w:pPr>
        <w:spacing w:line="240" w:lineRule="auto"/>
        <w:rPr>
          <w:rFonts w:eastAsia="Calibri"/>
          <w:bCs/>
          <w:sz w:val="24"/>
        </w:rPr>
      </w:pPr>
    </w:p>
    <w:p w:rsidR="009127A4" w:rsidRPr="00454DA0" w:rsidRDefault="009127A4" w:rsidP="00EC6A1F">
      <w:pPr>
        <w:numPr>
          <w:ilvl w:val="0"/>
          <w:numId w:val="14"/>
        </w:numPr>
        <w:spacing w:line="240" w:lineRule="auto"/>
        <w:ind w:left="634" w:hanging="634"/>
        <w:rPr>
          <w:rFonts w:eastAsia="Times New Roman"/>
          <w:i/>
          <w:iCs/>
          <w:sz w:val="24"/>
        </w:rPr>
      </w:pPr>
      <w:r w:rsidRPr="00454DA0">
        <w:rPr>
          <w:rFonts w:eastAsia="Calibri"/>
          <w:bCs/>
          <w:sz w:val="24"/>
        </w:rPr>
        <w:t xml:space="preserve">Gjykata, më tej, i </w:t>
      </w:r>
      <w:r w:rsidRPr="00454DA0">
        <w:rPr>
          <w:rFonts w:eastAsia="Times New Roman" w:cs="Arial"/>
          <w:sz w:val="24"/>
        </w:rPr>
        <w:t>referohet</w:t>
      </w:r>
      <w:r w:rsidRPr="00454DA0">
        <w:rPr>
          <w:rFonts w:eastAsia="Calibri"/>
          <w:bCs/>
          <w:sz w:val="24"/>
        </w:rPr>
        <w:t xml:space="preserve"> </w:t>
      </w:r>
      <w:r w:rsidRPr="00454DA0">
        <w:rPr>
          <w:rFonts w:eastAsia="Times New Roman"/>
          <w:sz w:val="24"/>
        </w:rPr>
        <w:t>neneve</w:t>
      </w:r>
      <w:r w:rsidR="00890CCF" w:rsidRPr="00454DA0">
        <w:rPr>
          <w:rFonts w:eastAsia="Times New Roman"/>
          <w:sz w:val="24"/>
        </w:rPr>
        <w:t xml:space="preserve"> 47 [Kërkesat individuale],</w:t>
      </w:r>
      <w:r w:rsidRPr="00454DA0">
        <w:rPr>
          <w:rFonts w:eastAsia="Times New Roman"/>
          <w:sz w:val="24"/>
        </w:rPr>
        <w:t xml:space="preserve"> 48 [Saktësimi i kërkesës] dhe 49 [Afatet] të Ligjit, të cilët </w:t>
      </w:r>
      <w:r w:rsidRPr="00454DA0">
        <w:rPr>
          <w:rFonts w:eastAsia="Times New Roman" w:cs="Arial"/>
          <w:sz w:val="24"/>
        </w:rPr>
        <w:t>përcaktojnë</w:t>
      </w:r>
      <w:r w:rsidRPr="00454DA0">
        <w:rPr>
          <w:rFonts w:eastAsia="Times New Roman"/>
          <w:sz w:val="24"/>
        </w:rPr>
        <w:t xml:space="preserve">: </w:t>
      </w:r>
    </w:p>
    <w:p w:rsidR="009127A4" w:rsidRPr="00454DA0" w:rsidRDefault="009127A4" w:rsidP="00EC6A1F">
      <w:pPr>
        <w:tabs>
          <w:tab w:val="left" w:pos="567"/>
        </w:tabs>
        <w:spacing w:line="240" w:lineRule="auto"/>
        <w:ind w:left="567"/>
        <w:rPr>
          <w:rFonts w:eastAsia="Times New Roman"/>
          <w:sz w:val="24"/>
        </w:rPr>
      </w:pPr>
    </w:p>
    <w:p w:rsidR="00890CCF" w:rsidRPr="00454DA0" w:rsidRDefault="00890CCF" w:rsidP="00EC6A1F">
      <w:pPr>
        <w:tabs>
          <w:tab w:val="left" w:pos="567"/>
        </w:tabs>
        <w:spacing w:line="240" w:lineRule="auto"/>
        <w:ind w:left="567"/>
        <w:jc w:val="center"/>
        <w:rPr>
          <w:rFonts w:eastAsia="Times New Roman"/>
          <w:sz w:val="24"/>
        </w:rPr>
      </w:pPr>
      <w:r w:rsidRPr="00454DA0">
        <w:rPr>
          <w:rFonts w:eastAsia="Times New Roman"/>
          <w:sz w:val="24"/>
        </w:rPr>
        <w:t>Neni 47</w:t>
      </w:r>
    </w:p>
    <w:p w:rsidR="00890CCF" w:rsidRPr="00454DA0" w:rsidRDefault="00890CCF" w:rsidP="00EC6A1F">
      <w:pPr>
        <w:tabs>
          <w:tab w:val="left" w:pos="567"/>
        </w:tabs>
        <w:spacing w:line="240" w:lineRule="auto"/>
        <w:ind w:left="567"/>
        <w:jc w:val="center"/>
        <w:rPr>
          <w:rFonts w:eastAsia="Times New Roman"/>
          <w:sz w:val="24"/>
        </w:rPr>
      </w:pPr>
      <w:r w:rsidRPr="00454DA0">
        <w:rPr>
          <w:rFonts w:eastAsia="Times New Roman"/>
          <w:sz w:val="24"/>
        </w:rPr>
        <w:t>[Kërkesa individuale]</w:t>
      </w:r>
    </w:p>
    <w:p w:rsidR="00890CCF" w:rsidRPr="00454DA0" w:rsidRDefault="00890CCF" w:rsidP="00EC6A1F">
      <w:pPr>
        <w:tabs>
          <w:tab w:val="left" w:pos="567"/>
        </w:tabs>
        <w:spacing w:line="240" w:lineRule="auto"/>
        <w:ind w:left="567"/>
        <w:rPr>
          <w:rFonts w:eastAsia="Times New Roman"/>
          <w:i/>
          <w:sz w:val="24"/>
        </w:rPr>
      </w:pPr>
    </w:p>
    <w:p w:rsidR="00890CCF" w:rsidRPr="00454DA0" w:rsidRDefault="00890CCF" w:rsidP="00EC6A1F">
      <w:pPr>
        <w:tabs>
          <w:tab w:val="left" w:pos="990"/>
        </w:tabs>
        <w:spacing w:line="240" w:lineRule="auto"/>
        <w:ind w:left="990"/>
        <w:rPr>
          <w:rFonts w:eastAsia="Times New Roman"/>
          <w:i/>
          <w:iCs/>
          <w:sz w:val="24"/>
        </w:rPr>
      </w:pPr>
      <w:r w:rsidRPr="00454DA0">
        <w:rPr>
          <w:rFonts w:eastAsia="Times New Roman"/>
          <w:i/>
          <w:sz w:val="24"/>
        </w:rPr>
        <w:t>“</w:t>
      </w:r>
      <w:r w:rsidRPr="00454DA0">
        <w:rPr>
          <w:rFonts w:eastAsia="Times New Roman"/>
          <w:i/>
          <w:iCs/>
          <w:sz w:val="24"/>
        </w:rPr>
        <w:t xml:space="preserve">1. Çdo individ ka të drejtë të kërkojë nga Gjykata Kushtetuese mbrojtje juridike në rast </w:t>
      </w:r>
      <w:r w:rsidRPr="00454DA0">
        <w:rPr>
          <w:rFonts w:eastAsia="Times New Roman"/>
          <w:i/>
          <w:sz w:val="24"/>
        </w:rPr>
        <w:t>se</w:t>
      </w:r>
      <w:r w:rsidRPr="00454DA0">
        <w:rPr>
          <w:rFonts w:eastAsia="Times New Roman"/>
          <w:i/>
          <w:iCs/>
          <w:sz w:val="24"/>
        </w:rPr>
        <w:t xml:space="preserve"> pretendon se të drejtat dhe liritë e tija individuale të garantuara me Kushtetutë janë shkelur nga ndonjë autoritet publik.</w:t>
      </w:r>
    </w:p>
    <w:p w:rsidR="00890CCF" w:rsidRPr="00454DA0" w:rsidRDefault="00890CCF" w:rsidP="00EC6A1F">
      <w:pPr>
        <w:tabs>
          <w:tab w:val="left" w:pos="990"/>
        </w:tabs>
        <w:spacing w:line="240" w:lineRule="auto"/>
        <w:ind w:left="990"/>
        <w:rPr>
          <w:rFonts w:eastAsia="Times New Roman"/>
          <w:i/>
          <w:sz w:val="24"/>
        </w:rPr>
      </w:pPr>
      <w:r w:rsidRPr="00454DA0">
        <w:rPr>
          <w:rFonts w:eastAsia="Times New Roman"/>
          <w:i/>
          <w:sz w:val="24"/>
        </w:rPr>
        <w:t xml:space="preserve">2. Individi mund të ngrejë kërkesën në fjalë vetëm pasi që të ketë shteruar të gjitha mjetet juridike të përcaktuara me ligj”. </w:t>
      </w:r>
    </w:p>
    <w:p w:rsidR="00890CCF" w:rsidRPr="00454DA0" w:rsidRDefault="00890CCF" w:rsidP="00EC6A1F">
      <w:pPr>
        <w:tabs>
          <w:tab w:val="left" w:pos="567"/>
        </w:tabs>
        <w:spacing w:line="240" w:lineRule="auto"/>
        <w:rPr>
          <w:rFonts w:eastAsia="Times New Roman"/>
          <w:sz w:val="24"/>
        </w:rPr>
      </w:pPr>
    </w:p>
    <w:p w:rsidR="009127A4" w:rsidRPr="00454DA0" w:rsidRDefault="009127A4" w:rsidP="00EC6A1F">
      <w:pPr>
        <w:tabs>
          <w:tab w:val="left" w:pos="567"/>
        </w:tabs>
        <w:spacing w:line="240" w:lineRule="auto"/>
        <w:jc w:val="center"/>
        <w:rPr>
          <w:rFonts w:eastAsia="Times New Roman"/>
          <w:sz w:val="24"/>
        </w:rPr>
      </w:pPr>
      <w:r w:rsidRPr="00454DA0">
        <w:rPr>
          <w:rFonts w:eastAsia="Times New Roman"/>
          <w:sz w:val="24"/>
        </w:rPr>
        <w:t>Neni 48</w:t>
      </w:r>
    </w:p>
    <w:p w:rsidR="009127A4" w:rsidRPr="00454DA0" w:rsidRDefault="009127A4" w:rsidP="00EC6A1F">
      <w:pPr>
        <w:tabs>
          <w:tab w:val="left" w:pos="567"/>
        </w:tabs>
        <w:spacing w:line="240" w:lineRule="auto"/>
        <w:ind w:left="567"/>
        <w:jc w:val="center"/>
        <w:rPr>
          <w:rFonts w:eastAsia="Times New Roman"/>
          <w:sz w:val="24"/>
        </w:rPr>
      </w:pPr>
      <w:r w:rsidRPr="00454DA0">
        <w:rPr>
          <w:rFonts w:eastAsia="Times New Roman"/>
          <w:sz w:val="24"/>
        </w:rPr>
        <w:t>[Saktësimi i kërkesës]</w:t>
      </w:r>
    </w:p>
    <w:p w:rsidR="009127A4" w:rsidRPr="00454DA0" w:rsidRDefault="009127A4" w:rsidP="00EC6A1F">
      <w:pPr>
        <w:tabs>
          <w:tab w:val="left" w:pos="567"/>
        </w:tabs>
        <w:spacing w:line="240" w:lineRule="auto"/>
        <w:ind w:left="567"/>
        <w:jc w:val="center"/>
        <w:rPr>
          <w:rFonts w:eastAsia="Times New Roman"/>
          <w:i/>
          <w:sz w:val="24"/>
        </w:rPr>
      </w:pPr>
    </w:p>
    <w:p w:rsidR="009127A4" w:rsidRPr="00454DA0" w:rsidRDefault="009127A4" w:rsidP="00EC6A1F">
      <w:pPr>
        <w:tabs>
          <w:tab w:val="left" w:pos="990"/>
        </w:tabs>
        <w:spacing w:line="240" w:lineRule="auto"/>
        <w:ind w:left="990"/>
        <w:rPr>
          <w:rFonts w:eastAsia="Times New Roman"/>
          <w:i/>
          <w:sz w:val="24"/>
        </w:rPr>
      </w:pPr>
      <w:r w:rsidRPr="00454DA0">
        <w:rPr>
          <w:rFonts w:eastAsia="Calibri"/>
          <w:i/>
          <w:sz w:val="24"/>
        </w:rPr>
        <w:t xml:space="preserve">Parashtruesi i kërkesës ka për detyrë që në kërkesën e tij të qartësoj saktësisht </w:t>
      </w:r>
      <w:r w:rsidRPr="00454DA0">
        <w:rPr>
          <w:rFonts w:eastAsia="Times New Roman"/>
          <w:i/>
          <w:sz w:val="24"/>
        </w:rPr>
        <w:t>se</w:t>
      </w:r>
      <w:r w:rsidRPr="00454DA0">
        <w:rPr>
          <w:rFonts w:eastAsia="Calibri"/>
          <w:i/>
          <w:sz w:val="24"/>
        </w:rPr>
        <w:t xml:space="preserve"> </w:t>
      </w:r>
      <w:r w:rsidRPr="00454DA0">
        <w:rPr>
          <w:rFonts w:eastAsia="Times New Roman"/>
          <w:i/>
          <w:sz w:val="24"/>
        </w:rPr>
        <w:t>cilat</w:t>
      </w:r>
      <w:r w:rsidRPr="00454DA0">
        <w:rPr>
          <w:rFonts w:eastAsia="Calibri"/>
          <w:i/>
          <w:sz w:val="24"/>
        </w:rPr>
        <w:t xml:space="preserve"> të drejta dhe liri pretendon se i janë cenuar dhe cili është akti konkret i autoritetit publik të cilin parashtruesi dëshiron ta kontestoj.</w:t>
      </w:r>
    </w:p>
    <w:p w:rsidR="009127A4" w:rsidRPr="00454DA0" w:rsidRDefault="009127A4" w:rsidP="00EC6A1F">
      <w:pPr>
        <w:tabs>
          <w:tab w:val="left" w:pos="990"/>
        </w:tabs>
        <w:spacing w:line="240" w:lineRule="auto"/>
        <w:ind w:left="990"/>
        <w:rPr>
          <w:rFonts w:eastAsia="Times New Roman"/>
          <w:sz w:val="24"/>
        </w:rPr>
      </w:pPr>
    </w:p>
    <w:p w:rsidR="009127A4" w:rsidRPr="00454DA0" w:rsidRDefault="009127A4" w:rsidP="00EC6A1F">
      <w:pPr>
        <w:tabs>
          <w:tab w:val="left" w:pos="990"/>
        </w:tabs>
        <w:spacing w:line="240" w:lineRule="auto"/>
        <w:jc w:val="center"/>
        <w:rPr>
          <w:rFonts w:eastAsia="Times New Roman"/>
          <w:sz w:val="24"/>
        </w:rPr>
      </w:pPr>
      <w:r w:rsidRPr="00454DA0">
        <w:rPr>
          <w:rFonts w:eastAsia="Times New Roman"/>
          <w:sz w:val="24"/>
        </w:rPr>
        <w:t>Neni 49</w:t>
      </w:r>
    </w:p>
    <w:p w:rsidR="009127A4" w:rsidRPr="00454DA0" w:rsidRDefault="009127A4" w:rsidP="00EC6A1F">
      <w:pPr>
        <w:tabs>
          <w:tab w:val="left" w:pos="990"/>
        </w:tabs>
        <w:spacing w:line="240" w:lineRule="auto"/>
        <w:jc w:val="center"/>
        <w:rPr>
          <w:rFonts w:eastAsia="Times New Roman"/>
          <w:sz w:val="24"/>
        </w:rPr>
      </w:pPr>
      <w:r w:rsidRPr="00454DA0">
        <w:rPr>
          <w:rFonts w:eastAsia="Times New Roman"/>
          <w:sz w:val="24"/>
        </w:rPr>
        <w:t xml:space="preserve"> [Afatet]</w:t>
      </w:r>
    </w:p>
    <w:p w:rsidR="009127A4" w:rsidRPr="00454DA0" w:rsidRDefault="009127A4" w:rsidP="00EC6A1F">
      <w:pPr>
        <w:tabs>
          <w:tab w:val="left" w:pos="990"/>
        </w:tabs>
        <w:spacing w:line="240" w:lineRule="auto"/>
        <w:jc w:val="center"/>
        <w:rPr>
          <w:rFonts w:eastAsia="Times New Roman"/>
          <w:i/>
          <w:sz w:val="24"/>
        </w:rPr>
      </w:pPr>
    </w:p>
    <w:p w:rsidR="009127A4" w:rsidRPr="00454DA0" w:rsidRDefault="009127A4" w:rsidP="00EC6A1F">
      <w:pPr>
        <w:tabs>
          <w:tab w:val="left" w:pos="990"/>
        </w:tabs>
        <w:spacing w:line="240" w:lineRule="auto"/>
        <w:ind w:left="990"/>
        <w:rPr>
          <w:rFonts w:eastAsia="Times New Roman"/>
          <w:i/>
          <w:sz w:val="24"/>
        </w:rPr>
      </w:pPr>
      <w:r w:rsidRPr="00454DA0">
        <w:rPr>
          <w:rFonts w:eastAsia="Times New Roman"/>
          <w:i/>
          <w:sz w:val="24"/>
        </w:rPr>
        <w:t>Kërkesa parashtrohet brenda afatit prej katër (4) muajsh. Afati fillon të ecë nga dita kur parashtruesit i është dorëzuar vendimi gjyqësor.[...]</w:t>
      </w:r>
    </w:p>
    <w:p w:rsidR="009127A4" w:rsidRPr="00454DA0" w:rsidRDefault="009127A4" w:rsidP="00EC6A1F">
      <w:pPr>
        <w:spacing w:line="240" w:lineRule="auto"/>
        <w:ind w:left="634"/>
        <w:rPr>
          <w:rFonts w:eastAsia="Times New Roman" w:cs="Arial"/>
          <w:sz w:val="24"/>
        </w:rPr>
      </w:pPr>
    </w:p>
    <w:p w:rsidR="009127A4" w:rsidRPr="00454DA0" w:rsidRDefault="009127A4" w:rsidP="005E479D">
      <w:pPr>
        <w:numPr>
          <w:ilvl w:val="0"/>
          <w:numId w:val="14"/>
        </w:numPr>
        <w:spacing w:line="240" w:lineRule="auto"/>
        <w:ind w:left="634" w:hanging="634"/>
        <w:rPr>
          <w:rFonts w:eastAsia="Times New Roman"/>
          <w:sz w:val="24"/>
        </w:rPr>
      </w:pPr>
      <w:r w:rsidRPr="00454DA0">
        <w:rPr>
          <w:rFonts w:eastAsia="Times New Roman"/>
          <w:bCs/>
          <w:sz w:val="24"/>
        </w:rPr>
        <w:t>Për</w:t>
      </w:r>
      <w:r w:rsidRPr="00454DA0">
        <w:rPr>
          <w:rFonts w:eastAsia="Times New Roman"/>
          <w:sz w:val="24"/>
        </w:rPr>
        <w:t xml:space="preserve"> sa i përket përmbushjes së këtyre kërkesave, Gjykata konstaton se parashtruesi i </w:t>
      </w:r>
      <w:r w:rsidRPr="00454DA0">
        <w:rPr>
          <w:rFonts w:eastAsia="Times New Roman" w:cs="Arial"/>
          <w:sz w:val="24"/>
        </w:rPr>
        <w:t>kërkesës</w:t>
      </w:r>
      <w:r w:rsidRPr="00454DA0">
        <w:rPr>
          <w:rFonts w:eastAsia="Times New Roman"/>
          <w:sz w:val="24"/>
        </w:rPr>
        <w:t xml:space="preserve"> është palë e autorizuar; konteston një akt të një autoriteti publik, përkatësisht Aktgjykimin </w:t>
      </w:r>
      <w:r w:rsidRPr="00454DA0">
        <w:rPr>
          <w:rFonts w:eastAsia="Times New Roman"/>
          <w:bCs/>
          <w:sz w:val="24"/>
        </w:rPr>
        <w:t>[</w:t>
      </w:r>
      <w:r w:rsidR="004E1044" w:rsidRPr="00454DA0">
        <w:rPr>
          <w:rFonts w:eastAsia="Times New Roman"/>
          <w:bCs/>
          <w:sz w:val="24"/>
        </w:rPr>
        <w:t>Rev.</w:t>
      </w:r>
      <w:r w:rsidR="00B10DCB">
        <w:rPr>
          <w:rFonts w:eastAsia="Times New Roman"/>
          <w:bCs/>
          <w:sz w:val="24"/>
        </w:rPr>
        <w:t xml:space="preserve"> </w:t>
      </w:r>
      <w:r w:rsidR="004E1044" w:rsidRPr="00454DA0">
        <w:rPr>
          <w:rFonts w:eastAsia="Times New Roman"/>
          <w:bCs/>
          <w:sz w:val="24"/>
        </w:rPr>
        <w:t>nr.</w:t>
      </w:r>
      <w:r w:rsidR="00B10DCB">
        <w:rPr>
          <w:rFonts w:eastAsia="Times New Roman"/>
          <w:bCs/>
          <w:sz w:val="24"/>
        </w:rPr>
        <w:t xml:space="preserve"> </w:t>
      </w:r>
      <w:r w:rsidR="004E1044" w:rsidRPr="00454DA0">
        <w:rPr>
          <w:rFonts w:eastAsia="Times New Roman"/>
          <w:bCs/>
          <w:sz w:val="24"/>
        </w:rPr>
        <w:t>2/2020</w:t>
      </w:r>
      <w:r w:rsidRPr="00454DA0">
        <w:rPr>
          <w:rFonts w:eastAsia="Times New Roman"/>
          <w:bCs/>
          <w:sz w:val="24"/>
        </w:rPr>
        <w:t xml:space="preserve">] e </w:t>
      </w:r>
      <w:r w:rsidR="004E1044" w:rsidRPr="00454DA0">
        <w:rPr>
          <w:rFonts w:eastAsia="Times New Roman"/>
          <w:bCs/>
          <w:sz w:val="24"/>
        </w:rPr>
        <w:t>19 shkurtit 2020</w:t>
      </w:r>
      <w:r w:rsidRPr="00454DA0">
        <w:rPr>
          <w:rFonts w:eastAsia="Times New Roman"/>
          <w:bCs/>
          <w:sz w:val="24"/>
        </w:rPr>
        <w:t xml:space="preserve"> </w:t>
      </w:r>
      <w:r w:rsidRPr="00454DA0">
        <w:rPr>
          <w:rFonts w:eastAsia="Times New Roman"/>
          <w:sz w:val="24"/>
        </w:rPr>
        <w:t xml:space="preserve">të </w:t>
      </w:r>
      <w:r w:rsidR="004E1044" w:rsidRPr="00454DA0">
        <w:rPr>
          <w:rFonts w:eastAsia="Times New Roman"/>
          <w:sz w:val="24"/>
        </w:rPr>
        <w:t>Gjykatës Supreme</w:t>
      </w:r>
      <w:r w:rsidRPr="00454DA0">
        <w:rPr>
          <w:rFonts w:eastAsia="Times New Roman"/>
          <w:sz w:val="24"/>
        </w:rPr>
        <w:t xml:space="preserve">; ka saktësuar të drejtat dhe liritë që pretendon se i janë shkelur; ka shteruar të gjitha mjetet juridike të përcaktuara me ligj, si dhe, e ka dorëzuar kërkesën brenda afatit të përcaktuar ligjor. </w:t>
      </w:r>
    </w:p>
    <w:p w:rsidR="009127A4" w:rsidRPr="00454DA0" w:rsidRDefault="009127A4" w:rsidP="005E479D">
      <w:pPr>
        <w:spacing w:line="240" w:lineRule="auto"/>
        <w:ind w:left="634" w:hanging="634"/>
        <w:rPr>
          <w:rFonts w:eastAsia="Times New Roman"/>
          <w:sz w:val="24"/>
        </w:rPr>
      </w:pPr>
    </w:p>
    <w:p w:rsidR="009127A4" w:rsidRPr="00454DA0" w:rsidRDefault="009127A4" w:rsidP="005E479D">
      <w:pPr>
        <w:numPr>
          <w:ilvl w:val="0"/>
          <w:numId w:val="14"/>
        </w:numPr>
        <w:spacing w:line="240" w:lineRule="auto"/>
        <w:ind w:left="634" w:hanging="634"/>
        <w:rPr>
          <w:rFonts w:eastAsia="Times New Roman"/>
          <w:sz w:val="24"/>
        </w:rPr>
      </w:pPr>
      <w:r w:rsidRPr="00454DA0">
        <w:rPr>
          <w:rFonts w:eastAsia="Times New Roman"/>
          <w:sz w:val="24"/>
        </w:rPr>
        <w:t xml:space="preserve">Megjithatë, përveç këtyre kritereve, Gjykata po ashtu duhet të shqyrtojë nëse parashtruesi i kërkesës i ka përmbushur kriteret e pranueshmërisë të përcaktuara në rregullin 39 [Kriteret e pranueshmërisë] të Rregullores së punës. Specifikisht, rregulli 39 (2) përcakton që: </w:t>
      </w:r>
    </w:p>
    <w:p w:rsidR="009127A4" w:rsidRPr="00454DA0" w:rsidRDefault="009127A4" w:rsidP="00EC6A1F">
      <w:pPr>
        <w:tabs>
          <w:tab w:val="left" w:pos="567"/>
        </w:tabs>
        <w:spacing w:line="240" w:lineRule="auto"/>
        <w:ind w:left="567"/>
        <w:rPr>
          <w:rFonts w:eastAsia="Times New Roman"/>
          <w:sz w:val="24"/>
        </w:rPr>
      </w:pPr>
    </w:p>
    <w:p w:rsidR="009127A4" w:rsidRPr="00454DA0" w:rsidRDefault="009127A4" w:rsidP="00EC6A1F">
      <w:pPr>
        <w:spacing w:line="240" w:lineRule="auto"/>
        <w:ind w:left="1008"/>
        <w:rPr>
          <w:rFonts w:eastAsia="Times New Roman"/>
          <w:i/>
          <w:iCs/>
          <w:sz w:val="24"/>
        </w:rPr>
      </w:pPr>
      <w:r w:rsidRPr="00454DA0">
        <w:rPr>
          <w:rFonts w:eastAsia="Times New Roman"/>
          <w:i/>
          <w:sz w:val="24"/>
        </w:rPr>
        <w:t>“(2) Gjykata mund ta konsiderojë kërkesën të papranueshme, nëse kërkesa është qartazi e pabazuar, sepse parashtruesi nuk dëshmon dhe nuk mbështetë në mënyrë të mjaftueshme pretendimin e tij.</w:t>
      </w:r>
      <w:r w:rsidRPr="00454DA0">
        <w:rPr>
          <w:rFonts w:eastAsia="Times New Roman"/>
          <w:i/>
          <w:iCs/>
          <w:sz w:val="24"/>
        </w:rPr>
        <w:t>”</w:t>
      </w:r>
    </w:p>
    <w:p w:rsidR="006501F3" w:rsidRPr="00454DA0" w:rsidRDefault="006501F3" w:rsidP="00EC6A1F">
      <w:pPr>
        <w:tabs>
          <w:tab w:val="left" w:pos="540"/>
        </w:tabs>
        <w:spacing w:line="240" w:lineRule="auto"/>
        <w:rPr>
          <w:rFonts w:eastAsia="Times New Roman" w:cs="Arial"/>
          <w:sz w:val="24"/>
        </w:rPr>
      </w:pPr>
    </w:p>
    <w:p w:rsidR="004E1044" w:rsidRPr="00454DA0" w:rsidRDefault="004E1044" w:rsidP="005E479D">
      <w:pPr>
        <w:numPr>
          <w:ilvl w:val="0"/>
          <w:numId w:val="14"/>
        </w:numPr>
        <w:spacing w:line="240" w:lineRule="auto"/>
        <w:ind w:left="634" w:hanging="634"/>
        <w:rPr>
          <w:bCs/>
          <w:sz w:val="24"/>
        </w:rPr>
      </w:pPr>
      <w:r w:rsidRPr="00454DA0">
        <w:rPr>
          <w:bCs/>
          <w:sz w:val="24"/>
        </w:rPr>
        <w:t xml:space="preserve">Në këtë </w:t>
      </w:r>
      <w:r w:rsidRPr="00454DA0">
        <w:rPr>
          <w:rFonts w:eastAsia="Times New Roman" w:cs="Arial"/>
          <w:sz w:val="24"/>
        </w:rPr>
        <w:t>aspekt</w:t>
      </w:r>
      <w:r w:rsidRPr="00454DA0">
        <w:rPr>
          <w:bCs/>
          <w:sz w:val="24"/>
        </w:rPr>
        <w:t>, Gjykata fillimisht</w:t>
      </w:r>
      <w:r w:rsidRPr="00454DA0">
        <w:rPr>
          <w:rFonts w:eastAsia="Times New Roman"/>
          <w:sz w:val="24"/>
        </w:rPr>
        <w:t xml:space="preserve"> rikujton që parashtruesi i kërkesës pretendon se Gjykata </w:t>
      </w:r>
      <w:r w:rsidRPr="00454DA0">
        <w:rPr>
          <w:rFonts w:eastAsia="Times New Roman" w:cs="Arial"/>
          <w:sz w:val="24"/>
        </w:rPr>
        <w:t>Supreme</w:t>
      </w:r>
      <w:r w:rsidRPr="00454DA0">
        <w:rPr>
          <w:rFonts w:eastAsia="Times New Roman"/>
          <w:sz w:val="24"/>
        </w:rPr>
        <w:t xml:space="preserve">, përmes </w:t>
      </w:r>
      <w:r w:rsidR="006F1A08" w:rsidRPr="00454DA0">
        <w:rPr>
          <w:rFonts w:eastAsia="Times New Roman"/>
          <w:sz w:val="24"/>
        </w:rPr>
        <w:t>Aktgjykimit</w:t>
      </w:r>
      <w:r w:rsidRPr="00454DA0">
        <w:rPr>
          <w:rFonts w:eastAsia="Times New Roman"/>
          <w:sz w:val="24"/>
        </w:rPr>
        <w:t xml:space="preserve"> </w:t>
      </w:r>
      <w:r w:rsidR="006F1A08" w:rsidRPr="00454DA0">
        <w:rPr>
          <w:rFonts w:eastAsia="Times New Roman"/>
          <w:sz w:val="24"/>
        </w:rPr>
        <w:t>[</w:t>
      </w:r>
      <w:r w:rsidR="006F1A08" w:rsidRPr="00454DA0">
        <w:rPr>
          <w:rFonts w:eastAsia="Times New Roman"/>
          <w:bCs/>
          <w:sz w:val="24"/>
        </w:rPr>
        <w:t>Rev.</w:t>
      </w:r>
      <w:r w:rsidR="00B10DCB">
        <w:rPr>
          <w:rFonts w:eastAsia="Times New Roman"/>
          <w:bCs/>
          <w:sz w:val="24"/>
        </w:rPr>
        <w:t xml:space="preserve"> </w:t>
      </w:r>
      <w:r w:rsidR="006F1A08" w:rsidRPr="00454DA0">
        <w:rPr>
          <w:rFonts w:eastAsia="Times New Roman"/>
          <w:bCs/>
          <w:sz w:val="24"/>
        </w:rPr>
        <w:t>nr.</w:t>
      </w:r>
      <w:r w:rsidR="00B10DCB">
        <w:rPr>
          <w:rFonts w:eastAsia="Times New Roman"/>
          <w:bCs/>
          <w:sz w:val="24"/>
        </w:rPr>
        <w:t xml:space="preserve"> </w:t>
      </w:r>
      <w:r w:rsidR="006F1A08" w:rsidRPr="00454DA0">
        <w:rPr>
          <w:rFonts w:eastAsia="Times New Roman"/>
          <w:bCs/>
          <w:sz w:val="24"/>
        </w:rPr>
        <w:t>2/2020</w:t>
      </w:r>
      <w:r w:rsidR="006F1A08" w:rsidRPr="00454DA0">
        <w:rPr>
          <w:rFonts w:eastAsia="Times New Roman"/>
          <w:sz w:val="24"/>
        </w:rPr>
        <w:t xml:space="preserve">] të 19 shkurtit 2020 </w:t>
      </w:r>
      <w:r w:rsidRPr="00454DA0">
        <w:rPr>
          <w:rFonts w:eastAsia="Times New Roman"/>
          <w:sz w:val="24"/>
        </w:rPr>
        <w:lastRenderedPageBreak/>
        <w:t xml:space="preserve">i ka shkelur të drejtat e tij të garantuara me nenet </w:t>
      </w:r>
      <w:r w:rsidR="006F1A08" w:rsidRPr="00454DA0">
        <w:rPr>
          <w:rFonts w:eastAsia="Times New Roman"/>
          <w:sz w:val="24"/>
        </w:rPr>
        <w:t>31, 32 dhe 102</w:t>
      </w:r>
      <w:r w:rsidRPr="00454DA0">
        <w:rPr>
          <w:rFonts w:eastAsia="Times New Roman"/>
          <w:sz w:val="24"/>
        </w:rPr>
        <w:t xml:space="preserve"> të Kushtetutës </w:t>
      </w:r>
      <w:r w:rsidR="00344519" w:rsidRPr="00454DA0">
        <w:rPr>
          <w:rFonts w:eastAsia="Times New Roman"/>
          <w:sz w:val="24"/>
        </w:rPr>
        <w:t xml:space="preserve">si </w:t>
      </w:r>
      <w:r w:rsidRPr="00454DA0">
        <w:rPr>
          <w:rFonts w:eastAsia="Times New Roman"/>
          <w:sz w:val="24"/>
        </w:rPr>
        <w:t>dhe</w:t>
      </w:r>
      <w:r w:rsidR="00344519" w:rsidRPr="00454DA0">
        <w:rPr>
          <w:rFonts w:eastAsia="Times New Roman"/>
          <w:sz w:val="24"/>
        </w:rPr>
        <w:t xml:space="preserve"> me</w:t>
      </w:r>
      <w:r w:rsidR="001C2A3D">
        <w:rPr>
          <w:rFonts w:eastAsia="Times New Roman"/>
          <w:sz w:val="24"/>
        </w:rPr>
        <w:t xml:space="preserve"> nenin 1 të Protokollit I dhe</w:t>
      </w:r>
      <w:r w:rsidRPr="00454DA0">
        <w:rPr>
          <w:rFonts w:eastAsia="Times New Roman"/>
          <w:sz w:val="24"/>
        </w:rPr>
        <w:t xml:space="preserve"> </w:t>
      </w:r>
      <w:r w:rsidR="00344519" w:rsidRPr="00454DA0">
        <w:rPr>
          <w:rFonts w:eastAsia="Times New Roman"/>
          <w:sz w:val="24"/>
        </w:rPr>
        <w:t xml:space="preserve">nenet </w:t>
      </w:r>
      <w:r w:rsidRPr="00454DA0">
        <w:rPr>
          <w:rFonts w:eastAsia="Times New Roman"/>
          <w:sz w:val="24"/>
        </w:rPr>
        <w:t>6</w:t>
      </w:r>
      <w:r w:rsidR="006F1A08" w:rsidRPr="00454DA0">
        <w:rPr>
          <w:rFonts w:eastAsia="Times New Roman"/>
          <w:sz w:val="24"/>
        </w:rPr>
        <w:t xml:space="preserve"> dhe 13</w:t>
      </w:r>
      <w:r w:rsidRPr="00454DA0">
        <w:rPr>
          <w:rFonts w:eastAsia="Times New Roman"/>
          <w:sz w:val="24"/>
        </w:rPr>
        <w:t xml:space="preserve"> të KEDNJ-së. </w:t>
      </w:r>
    </w:p>
    <w:p w:rsidR="004E1044" w:rsidRPr="00454DA0" w:rsidRDefault="004E1044" w:rsidP="005E479D">
      <w:pPr>
        <w:spacing w:line="240" w:lineRule="auto"/>
        <w:ind w:left="634" w:hanging="634"/>
        <w:rPr>
          <w:bCs/>
          <w:sz w:val="24"/>
        </w:rPr>
      </w:pPr>
    </w:p>
    <w:p w:rsidR="004E1044" w:rsidRPr="00454DA0" w:rsidRDefault="00344519" w:rsidP="005E479D">
      <w:pPr>
        <w:numPr>
          <w:ilvl w:val="0"/>
          <w:numId w:val="14"/>
        </w:numPr>
        <w:spacing w:line="240" w:lineRule="auto"/>
        <w:ind w:left="634" w:hanging="634"/>
        <w:rPr>
          <w:bCs/>
          <w:sz w:val="24"/>
        </w:rPr>
      </w:pPr>
      <w:r w:rsidRPr="00454DA0">
        <w:rPr>
          <w:rFonts w:eastAsia="Times New Roman"/>
          <w:sz w:val="24"/>
        </w:rPr>
        <w:t xml:space="preserve">Gjykata rikujton se </w:t>
      </w:r>
      <w:r w:rsidR="004E1044" w:rsidRPr="00454DA0">
        <w:rPr>
          <w:rFonts w:eastAsia="Times New Roman"/>
          <w:sz w:val="24"/>
        </w:rPr>
        <w:t>parashtruesi i kërkesës</w:t>
      </w:r>
      <w:r w:rsidRPr="00454DA0">
        <w:rPr>
          <w:rFonts w:eastAsia="Times New Roman"/>
          <w:sz w:val="24"/>
        </w:rPr>
        <w:t>, në substancë,</w:t>
      </w:r>
      <w:r w:rsidR="004E1044" w:rsidRPr="00454DA0">
        <w:rPr>
          <w:rFonts w:eastAsia="Times New Roman"/>
          <w:sz w:val="24"/>
        </w:rPr>
        <w:t xml:space="preserve"> ankohet se në rastin e tij nuk ka pasur gjykim të drejtë dhe të paanshëm </w:t>
      </w:r>
      <w:r w:rsidR="006F1A08" w:rsidRPr="00454DA0">
        <w:rPr>
          <w:rFonts w:eastAsia="Times New Roman"/>
          <w:sz w:val="24"/>
        </w:rPr>
        <w:t>për arsye se gjykatat e rregullta nuk kanë marrë për bazë faktet e paraqitura dhe nuk kanë shqyrtuar tërësisht ankesat e tij</w:t>
      </w:r>
      <w:r w:rsidR="004E1044" w:rsidRPr="00454DA0">
        <w:rPr>
          <w:rFonts w:eastAsia="Times New Roman"/>
          <w:sz w:val="24"/>
        </w:rPr>
        <w:t>.</w:t>
      </w:r>
      <w:r w:rsidR="00C51807" w:rsidRPr="00454DA0">
        <w:rPr>
          <w:rFonts w:eastAsia="Times New Roman"/>
          <w:sz w:val="24"/>
        </w:rPr>
        <w:t xml:space="preserve"> Po ashtu parashtruesi pretendon se kontratat ishin fiktive dhe të imponuara, dhe se këtu kemi të bëjmë me fajde dhe jo me</w:t>
      </w:r>
      <w:r w:rsidR="007B39EC" w:rsidRPr="00454DA0">
        <w:rPr>
          <w:rFonts w:eastAsia="Times New Roman"/>
          <w:sz w:val="24"/>
        </w:rPr>
        <w:t xml:space="preserve"> huadhënie. Sipas parashtruesit, Gjykata Supreme ka bërë interpretim të gabuar të ligjit kur ka vendosur që të paguhet kamata nga viti 2003, për shkak se sipas tij </w:t>
      </w:r>
      <w:r w:rsidR="00A5435D" w:rsidRPr="00454DA0">
        <w:rPr>
          <w:rFonts w:eastAsia="Times New Roman"/>
          <w:sz w:val="24"/>
        </w:rPr>
        <w:t>padia është bërë në vitin 2014 dhe se gjithmonë kamata aplikohet nga dita e parashtrimit të padisë</w:t>
      </w:r>
      <w:r w:rsidR="007B39EC" w:rsidRPr="00454DA0">
        <w:rPr>
          <w:rFonts w:eastAsia="Times New Roman"/>
          <w:sz w:val="24"/>
        </w:rPr>
        <w:t>.</w:t>
      </w:r>
    </w:p>
    <w:p w:rsidR="004E1044" w:rsidRPr="00454DA0" w:rsidRDefault="004E1044" w:rsidP="005E479D">
      <w:pPr>
        <w:spacing w:line="240" w:lineRule="auto"/>
        <w:ind w:left="634" w:hanging="634"/>
        <w:rPr>
          <w:rFonts w:eastAsia="Times New Roman"/>
          <w:i/>
          <w:sz w:val="24"/>
        </w:rPr>
      </w:pPr>
    </w:p>
    <w:p w:rsidR="004E1044" w:rsidRPr="00454DA0" w:rsidRDefault="004E1044" w:rsidP="005E479D">
      <w:pPr>
        <w:numPr>
          <w:ilvl w:val="0"/>
          <w:numId w:val="14"/>
        </w:numPr>
        <w:spacing w:line="240" w:lineRule="auto"/>
        <w:ind w:left="634" w:hanging="634"/>
        <w:rPr>
          <w:rFonts w:eastAsia="Times New Roman"/>
          <w:i/>
          <w:sz w:val="24"/>
        </w:rPr>
      </w:pPr>
      <w:r w:rsidRPr="00454DA0">
        <w:rPr>
          <w:rFonts w:eastAsia="Times New Roman"/>
          <w:sz w:val="24"/>
        </w:rPr>
        <w:t xml:space="preserve">Lidhur me </w:t>
      </w:r>
      <w:r w:rsidRPr="00454DA0">
        <w:rPr>
          <w:rFonts w:eastAsia="Times New Roman" w:cs="Arial"/>
          <w:sz w:val="24"/>
        </w:rPr>
        <w:t>pretendimet</w:t>
      </w:r>
      <w:r w:rsidRPr="00454DA0">
        <w:rPr>
          <w:rFonts w:eastAsia="Times New Roman"/>
          <w:sz w:val="24"/>
        </w:rPr>
        <w:t xml:space="preserve"> e lartcekura, Gjykata konsideron se parashtruesi i kërkesës</w:t>
      </w:r>
      <w:r w:rsidR="00344519" w:rsidRPr="00454DA0">
        <w:rPr>
          <w:rFonts w:eastAsia="Times New Roman"/>
          <w:sz w:val="24"/>
        </w:rPr>
        <w:t xml:space="preserve"> në thelb thekson vërtetimin e gabuar të gjendjes faktike dhe zbatimin e gabuar të së drejtës materiale dhe procedurale nga gjykatat e rregullta. Gjykata vëren se pretendimet e parashtruesit janë në kundërshtim me dokumentacionin</w:t>
      </w:r>
      <w:r w:rsidR="001C2A3D">
        <w:rPr>
          <w:rFonts w:eastAsia="Times New Roman"/>
          <w:sz w:val="24"/>
        </w:rPr>
        <w:t xml:space="preserve"> e</w:t>
      </w:r>
      <w:r w:rsidR="00F25137">
        <w:rPr>
          <w:rFonts w:eastAsia="Times New Roman"/>
          <w:sz w:val="24"/>
        </w:rPr>
        <w:t xml:space="preserve"> paraqitur nga</w:t>
      </w:r>
      <w:r w:rsidR="00344519" w:rsidRPr="00454DA0">
        <w:rPr>
          <w:rFonts w:eastAsia="Times New Roman"/>
          <w:sz w:val="24"/>
        </w:rPr>
        <w:t xml:space="preserve"> vetë parashtruesi në Gjykatë.</w:t>
      </w:r>
      <w:r w:rsidR="00EC6A1F">
        <w:rPr>
          <w:rFonts w:eastAsia="Times New Roman"/>
          <w:sz w:val="24"/>
        </w:rPr>
        <w:t xml:space="preserve"> </w:t>
      </w:r>
    </w:p>
    <w:p w:rsidR="00344519" w:rsidRPr="00454DA0" w:rsidRDefault="00344519" w:rsidP="005E479D">
      <w:pPr>
        <w:spacing w:line="240" w:lineRule="auto"/>
        <w:ind w:left="634" w:hanging="634"/>
        <w:rPr>
          <w:rFonts w:eastAsia="Times New Roman"/>
          <w:i/>
          <w:sz w:val="24"/>
        </w:rPr>
      </w:pPr>
    </w:p>
    <w:p w:rsidR="00344519" w:rsidRPr="00454DA0" w:rsidRDefault="00344519" w:rsidP="005E479D">
      <w:pPr>
        <w:numPr>
          <w:ilvl w:val="0"/>
          <w:numId w:val="14"/>
        </w:numPr>
        <w:spacing w:line="240" w:lineRule="auto"/>
        <w:ind w:left="634" w:hanging="634"/>
        <w:rPr>
          <w:rFonts w:eastAsia="Times New Roman"/>
          <w:i/>
          <w:sz w:val="24"/>
        </w:rPr>
      </w:pPr>
      <w:r w:rsidRPr="00454DA0">
        <w:rPr>
          <w:rFonts w:eastAsia="Times New Roman"/>
          <w:sz w:val="24"/>
        </w:rPr>
        <w:t>Sa i përket pretendimeve të parashtru</w:t>
      </w:r>
      <w:r w:rsidR="00DF6DEE">
        <w:rPr>
          <w:rFonts w:eastAsia="Times New Roman"/>
          <w:sz w:val="24"/>
        </w:rPr>
        <w:t xml:space="preserve">esit se kamata nga kontrata mbi </w:t>
      </w:r>
      <w:r w:rsidRPr="00454DA0">
        <w:rPr>
          <w:rFonts w:eastAsia="Times New Roman"/>
          <w:sz w:val="24"/>
        </w:rPr>
        <w:t>huan është “</w:t>
      </w:r>
      <w:r w:rsidR="00DF6DEE">
        <w:rPr>
          <w:rFonts w:eastAsia="Times New Roman"/>
          <w:i/>
          <w:sz w:val="24"/>
        </w:rPr>
        <w:t>me f</w:t>
      </w:r>
      <w:r w:rsidRPr="00454DA0">
        <w:rPr>
          <w:rFonts w:eastAsia="Times New Roman"/>
          <w:i/>
          <w:sz w:val="24"/>
        </w:rPr>
        <w:t xml:space="preserve">ajde“ </w:t>
      </w:r>
      <w:r w:rsidR="001C2A3D">
        <w:rPr>
          <w:rFonts w:eastAsia="Times New Roman"/>
          <w:sz w:val="24"/>
        </w:rPr>
        <w:t>dhe se rrjedhimisht</w:t>
      </w:r>
      <w:r w:rsidR="00454DA0" w:rsidRPr="00454DA0">
        <w:rPr>
          <w:rFonts w:eastAsia="Times New Roman"/>
          <w:sz w:val="24"/>
        </w:rPr>
        <w:t xml:space="preserve"> </w:t>
      </w:r>
      <w:r w:rsidRPr="00454DA0">
        <w:rPr>
          <w:rFonts w:eastAsia="Times New Roman"/>
          <w:sz w:val="24"/>
        </w:rPr>
        <w:t>“</w:t>
      </w:r>
      <w:r w:rsidR="00454DA0" w:rsidRPr="00454DA0">
        <w:rPr>
          <w:rFonts w:eastAsia="Times New Roman"/>
          <w:i/>
          <w:sz w:val="24"/>
        </w:rPr>
        <w:t xml:space="preserve">e tërë kontrata është </w:t>
      </w:r>
      <w:r w:rsidR="001C2A3D">
        <w:rPr>
          <w:rFonts w:eastAsia="Times New Roman"/>
          <w:i/>
          <w:sz w:val="24"/>
        </w:rPr>
        <w:t xml:space="preserve">me </w:t>
      </w:r>
      <w:r w:rsidR="00454DA0" w:rsidRPr="00454DA0">
        <w:rPr>
          <w:rFonts w:eastAsia="Times New Roman"/>
          <w:i/>
          <w:sz w:val="24"/>
        </w:rPr>
        <w:t>fajde</w:t>
      </w:r>
      <w:r w:rsidRPr="00454DA0">
        <w:rPr>
          <w:rFonts w:eastAsia="Times New Roman"/>
          <w:i/>
          <w:sz w:val="24"/>
        </w:rPr>
        <w:t>“</w:t>
      </w:r>
      <w:r w:rsidR="00454DA0" w:rsidRPr="00454DA0">
        <w:rPr>
          <w:rFonts w:eastAsia="Times New Roman"/>
          <w:sz w:val="24"/>
        </w:rPr>
        <w:t xml:space="preserve">, Gjykata vëren se këto pretendime të parashtruesit janë të pasakta sepse me Aktgjykimin e shkallës së parë është përcaktuar se parashtruesi është i detyruar të paguajë </w:t>
      </w:r>
      <w:r w:rsidRPr="00454DA0">
        <w:rPr>
          <w:rFonts w:eastAsia="Times New Roman"/>
          <w:i/>
          <w:sz w:val="24"/>
        </w:rPr>
        <w:t>“…</w:t>
      </w:r>
      <w:r w:rsidR="00454DA0" w:rsidRPr="00454DA0">
        <w:rPr>
          <w:rFonts w:eastAsia="Times New Roman"/>
          <w:i/>
          <w:sz w:val="24"/>
        </w:rPr>
        <w:t>kamatën përkatëse ligjore të cilat e paguajnë Bankat Komerciale në Kosovë për mjetet e deponuara në bankë, në afat mbi një vit</w:t>
      </w:r>
      <w:r w:rsidRPr="00454DA0">
        <w:rPr>
          <w:i/>
          <w:sz w:val="24"/>
          <w:lang w:eastAsia="sq-AL"/>
        </w:rPr>
        <w:t>…“</w:t>
      </w:r>
      <w:r w:rsidR="00454DA0" w:rsidRPr="00454DA0">
        <w:rPr>
          <w:i/>
          <w:sz w:val="24"/>
          <w:lang w:eastAsia="sq-AL"/>
        </w:rPr>
        <w:t>.</w:t>
      </w:r>
    </w:p>
    <w:p w:rsidR="00344519" w:rsidRPr="00454DA0" w:rsidRDefault="00344519" w:rsidP="005E479D">
      <w:pPr>
        <w:spacing w:line="240" w:lineRule="auto"/>
        <w:ind w:left="634" w:hanging="634"/>
        <w:rPr>
          <w:rFonts w:eastAsia="Times New Roman"/>
          <w:i/>
          <w:sz w:val="24"/>
        </w:rPr>
      </w:pPr>
    </w:p>
    <w:p w:rsidR="00344519" w:rsidRPr="00454DA0" w:rsidRDefault="00454DA0" w:rsidP="005E479D">
      <w:pPr>
        <w:numPr>
          <w:ilvl w:val="0"/>
          <w:numId w:val="14"/>
        </w:numPr>
        <w:spacing w:line="240" w:lineRule="auto"/>
        <w:ind w:left="634" w:hanging="634"/>
        <w:rPr>
          <w:rFonts w:eastAsia="Times New Roman"/>
          <w:i/>
          <w:sz w:val="24"/>
        </w:rPr>
      </w:pPr>
      <w:r w:rsidRPr="00454DA0">
        <w:rPr>
          <w:sz w:val="24"/>
          <w:lang w:eastAsia="sq-AL"/>
        </w:rPr>
        <w:t>Gjithashtu, parashtruesi pr</w:t>
      </w:r>
      <w:r w:rsidR="00DF6DEE">
        <w:rPr>
          <w:sz w:val="24"/>
          <w:lang w:eastAsia="sq-AL"/>
        </w:rPr>
        <w:t>etendon se gjykata e detyroi</w:t>
      </w:r>
      <w:r w:rsidRPr="00454DA0">
        <w:rPr>
          <w:sz w:val="24"/>
          <w:lang w:eastAsia="sq-AL"/>
        </w:rPr>
        <w:t xml:space="preserve"> atë që të paguajë borxhin dhe kamatën prej vitit 2003, dhe se gjykata</w:t>
      </w:r>
      <w:r w:rsidR="00DF6DEE">
        <w:rPr>
          <w:sz w:val="24"/>
          <w:lang w:eastAsia="sq-AL"/>
        </w:rPr>
        <w:t xml:space="preserve"> nuk e mori</w:t>
      </w:r>
      <w:r w:rsidRPr="00454DA0">
        <w:rPr>
          <w:sz w:val="24"/>
          <w:lang w:eastAsia="sq-AL"/>
        </w:rPr>
        <w:t xml:space="preserve"> parasysh parashkrimin e kërkesës, por Gjykata vëren se këto pretendime të parashtruesit nuk janë të sakta sepse me Aktgjykimin e shkallës së parë është përcaktuar se detyrimi i pagesës së kamatës </w:t>
      </w:r>
      <w:r w:rsidR="00344519" w:rsidRPr="00454DA0">
        <w:rPr>
          <w:rFonts w:eastAsia="Times New Roman"/>
          <w:i/>
          <w:sz w:val="24"/>
        </w:rPr>
        <w:t>“…</w:t>
      </w:r>
      <w:r w:rsidRPr="00454DA0">
        <w:rPr>
          <w:rFonts w:eastAsia="Times New Roman"/>
          <w:i/>
          <w:sz w:val="24"/>
        </w:rPr>
        <w:t xml:space="preserve">fillon të rrjedhë nga data </w:t>
      </w:r>
      <w:r w:rsidRPr="00454DA0">
        <w:rPr>
          <w:i/>
          <w:sz w:val="24"/>
          <w:lang w:eastAsia="sq-AL"/>
        </w:rPr>
        <w:t>24.03.2010, e tutje, gjer në pagimin definitiv</w:t>
      </w:r>
      <w:r w:rsidR="00344519" w:rsidRPr="00454DA0">
        <w:rPr>
          <w:i/>
          <w:sz w:val="24"/>
          <w:lang w:eastAsia="sq-AL"/>
        </w:rPr>
        <w:t>…“</w:t>
      </w:r>
      <w:r w:rsidRPr="00454DA0">
        <w:rPr>
          <w:i/>
          <w:sz w:val="24"/>
          <w:lang w:eastAsia="sq-AL"/>
        </w:rPr>
        <w:t>.</w:t>
      </w:r>
    </w:p>
    <w:p w:rsidR="004E1044" w:rsidRPr="00454DA0" w:rsidRDefault="004E1044" w:rsidP="005E479D">
      <w:pPr>
        <w:tabs>
          <w:tab w:val="left" w:pos="567"/>
        </w:tabs>
        <w:spacing w:line="240" w:lineRule="auto"/>
        <w:ind w:left="634" w:hanging="634"/>
        <w:rPr>
          <w:rFonts w:eastAsia="Times New Roman"/>
          <w:i/>
          <w:sz w:val="24"/>
        </w:rPr>
      </w:pPr>
    </w:p>
    <w:p w:rsidR="004E1044" w:rsidRPr="00454DA0" w:rsidRDefault="004E1044" w:rsidP="005E479D">
      <w:pPr>
        <w:numPr>
          <w:ilvl w:val="0"/>
          <w:numId w:val="14"/>
        </w:numPr>
        <w:spacing w:line="240" w:lineRule="auto"/>
        <w:ind w:left="634" w:hanging="634"/>
        <w:rPr>
          <w:rFonts w:eastAsia="Times New Roman"/>
          <w:iCs/>
          <w:sz w:val="24"/>
        </w:rPr>
      </w:pPr>
      <w:r w:rsidRPr="00454DA0">
        <w:rPr>
          <w:rFonts w:eastAsia="Times New Roman"/>
          <w:sz w:val="24"/>
        </w:rPr>
        <w:t xml:space="preserve">Në </w:t>
      </w:r>
      <w:r w:rsidRPr="00454DA0">
        <w:rPr>
          <w:rFonts w:eastAsia="Times New Roman"/>
          <w:bCs/>
          <w:sz w:val="24"/>
        </w:rPr>
        <w:t>këtë</w:t>
      </w:r>
      <w:r w:rsidRPr="00454DA0">
        <w:rPr>
          <w:rFonts w:eastAsia="Times New Roman"/>
          <w:sz w:val="24"/>
        </w:rPr>
        <w:t xml:space="preserve"> drejtim, </w:t>
      </w:r>
      <w:r w:rsidRPr="00454DA0">
        <w:rPr>
          <w:rFonts w:eastAsia="Times New Roman" w:cs="Arial"/>
          <w:sz w:val="24"/>
        </w:rPr>
        <w:t>Gjykata</w:t>
      </w:r>
      <w:r w:rsidRPr="00454DA0">
        <w:rPr>
          <w:rFonts w:eastAsia="Times New Roman"/>
          <w:sz w:val="24"/>
        </w:rPr>
        <w:t xml:space="preserve"> thekson se nuk është detyrë e saj që të merret me gabimet e ligjit që pretendohet të jenë bërë nga gjykatat e rregullta (ligjshmërisë), përveç dhe për aq sa gabimet e tilla mund të kenë shkelur të drejtat dhe </w:t>
      </w:r>
      <w:r w:rsidRPr="00454DA0">
        <w:rPr>
          <w:rFonts w:eastAsia="Times New Roman" w:cs="Arial"/>
          <w:sz w:val="24"/>
        </w:rPr>
        <w:t>liritë</w:t>
      </w:r>
      <w:r w:rsidRPr="00454DA0">
        <w:rPr>
          <w:rFonts w:eastAsia="Times New Roman"/>
          <w:sz w:val="24"/>
        </w:rPr>
        <w:t xml:space="preserve"> themelore të mbrojtura me Kushtetutë (kushtetutshmërinë). Nëse do të ishte ndryshe, Gjykata do të vepronte si gjykatë e “</w:t>
      </w:r>
      <w:r w:rsidRPr="00454DA0">
        <w:rPr>
          <w:rFonts w:eastAsia="Times New Roman"/>
          <w:i/>
          <w:sz w:val="24"/>
        </w:rPr>
        <w:t>shkallës së katërt</w:t>
      </w:r>
      <w:r w:rsidRPr="00454DA0">
        <w:rPr>
          <w:rFonts w:eastAsia="Times New Roman"/>
          <w:sz w:val="24"/>
        </w:rPr>
        <w:t>”, që do të rezultonte në tejkalimin e kufijve të vendosur në juridiksionin e saj. Në përputhje me praktikën e GJEDNJ dhe po ashtu edhe me praktikën e saj tanimë të konsoliduar, Gjykata rithekson se është roli i gjykatave të rregullta t’i interpretojnë dhe zbatojnë rregullat përkatëse të ligjit procedural dhe material dhe se nuk mund të bëhen vlerësime abstrakte se pse një gjykatë e rregullt ka vendosur në një mënyr</w:t>
      </w:r>
      <w:r w:rsidR="001C2A3D">
        <w:rPr>
          <w:rFonts w:eastAsia="Times New Roman"/>
          <w:sz w:val="24"/>
        </w:rPr>
        <w:t>ë të caktuar e jo në një tjetër</w:t>
      </w:r>
      <w:r w:rsidRPr="00454DA0">
        <w:rPr>
          <w:rFonts w:eastAsia="Times New Roman"/>
          <w:sz w:val="24"/>
        </w:rPr>
        <w:t xml:space="preserve"> (Shih, rasti </w:t>
      </w:r>
      <w:r w:rsidRPr="00454DA0">
        <w:rPr>
          <w:rFonts w:eastAsia="Times New Roman"/>
          <w:i/>
          <w:sz w:val="24"/>
        </w:rPr>
        <w:t>García Ruiz kundër Spanjës</w:t>
      </w:r>
      <w:r w:rsidRPr="00454DA0">
        <w:rPr>
          <w:rFonts w:eastAsia="Times New Roman"/>
          <w:sz w:val="24"/>
        </w:rPr>
        <w:t>, GJEDNJ nr. 30544/96,</w:t>
      </w:r>
      <w:r w:rsidRPr="00454DA0">
        <w:rPr>
          <w:rFonts w:eastAsia="Calibri"/>
          <w:sz w:val="24"/>
        </w:rPr>
        <w:t xml:space="preserve"> i 21 janarit 1999, par. 28</w:t>
      </w:r>
      <w:r w:rsidR="00E135B1">
        <w:rPr>
          <w:rFonts w:eastAsia="Calibri"/>
          <w:sz w:val="24"/>
        </w:rPr>
        <w:t>-30</w:t>
      </w:r>
      <w:r w:rsidRPr="00454DA0">
        <w:rPr>
          <w:rFonts w:eastAsia="Calibri"/>
          <w:sz w:val="24"/>
        </w:rPr>
        <w:t xml:space="preserve"> dhe shih, gjithashtu rastin: KI70/11, parashtrues të kërkesës </w:t>
      </w:r>
      <w:r w:rsidRPr="00454DA0">
        <w:rPr>
          <w:rFonts w:eastAsia="Calibri"/>
          <w:i/>
          <w:iCs/>
          <w:sz w:val="24"/>
        </w:rPr>
        <w:t xml:space="preserve">Faik Hima, Magbule Hima dhe Bestar Hima, </w:t>
      </w:r>
      <w:r w:rsidRPr="00454DA0">
        <w:rPr>
          <w:rFonts w:eastAsia="Calibri"/>
          <w:sz w:val="24"/>
        </w:rPr>
        <w:t>Aktvendim për papranueshmëri, i 16 dhjetorit 2011</w:t>
      </w:r>
      <w:r w:rsidR="00E135B1">
        <w:rPr>
          <w:rFonts w:eastAsia="Calibri"/>
          <w:sz w:val="24"/>
        </w:rPr>
        <w:t>, paragrafët 29-30</w:t>
      </w:r>
      <w:r w:rsidRPr="00454DA0">
        <w:rPr>
          <w:rFonts w:eastAsia="Calibri"/>
          <w:sz w:val="24"/>
        </w:rPr>
        <w:t>).</w:t>
      </w:r>
    </w:p>
    <w:p w:rsidR="004E1044" w:rsidRPr="00454DA0" w:rsidRDefault="004E1044" w:rsidP="005E479D">
      <w:pPr>
        <w:spacing w:line="240" w:lineRule="auto"/>
        <w:ind w:left="634" w:hanging="634"/>
        <w:rPr>
          <w:rFonts w:eastAsia="Times New Roman"/>
          <w:i/>
          <w:sz w:val="24"/>
        </w:rPr>
      </w:pPr>
    </w:p>
    <w:p w:rsidR="004E1044" w:rsidRPr="00454DA0" w:rsidRDefault="004E1044" w:rsidP="005E479D">
      <w:pPr>
        <w:numPr>
          <w:ilvl w:val="0"/>
          <w:numId w:val="14"/>
        </w:numPr>
        <w:spacing w:line="240" w:lineRule="auto"/>
        <w:ind w:left="634" w:hanging="634"/>
        <w:rPr>
          <w:rFonts w:eastAsia="Times New Roman"/>
          <w:i/>
          <w:sz w:val="24"/>
        </w:rPr>
      </w:pPr>
      <w:r w:rsidRPr="00454DA0">
        <w:rPr>
          <w:rFonts w:eastAsia="Times New Roman"/>
          <w:sz w:val="24"/>
        </w:rPr>
        <w:t xml:space="preserve">Gjykata Kushtetuese vetëm mund të shqyrtojë nëse në një proces provat janë paraqitur në mënyrë të </w:t>
      </w:r>
      <w:r w:rsidRPr="00454DA0">
        <w:rPr>
          <w:rFonts w:eastAsia="Times New Roman" w:cs="Arial"/>
          <w:sz w:val="24"/>
        </w:rPr>
        <w:t>drejtë</w:t>
      </w:r>
      <w:r w:rsidRPr="00454DA0">
        <w:rPr>
          <w:rFonts w:eastAsia="Times New Roman"/>
          <w:sz w:val="24"/>
        </w:rPr>
        <w:t xml:space="preserve"> dhe nëse procedurat në përgjithësi, të shikuara në </w:t>
      </w:r>
      <w:r w:rsidRPr="00454DA0">
        <w:rPr>
          <w:rFonts w:eastAsia="Times New Roman"/>
          <w:sz w:val="24"/>
        </w:rPr>
        <w:lastRenderedPageBreak/>
        <w:t xml:space="preserve">tërësinë e tyre, janë zhvilluar </w:t>
      </w:r>
      <w:r w:rsidRPr="00454DA0">
        <w:rPr>
          <w:rFonts w:eastAsia="Times New Roman" w:cs="Arial"/>
          <w:sz w:val="24"/>
        </w:rPr>
        <w:t>në</w:t>
      </w:r>
      <w:r w:rsidRPr="00454DA0">
        <w:rPr>
          <w:rFonts w:eastAsia="Times New Roman"/>
          <w:sz w:val="24"/>
        </w:rPr>
        <w:t xml:space="preserve"> mënyrë të atillë që parashtruesi të ketë pasur gjykim të drejtë (Shih, ndër autoritete të tjera, rastin </w:t>
      </w:r>
      <w:r w:rsidRPr="00454DA0">
        <w:rPr>
          <w:rFonts w:eastAsia="Times New Roman"/>
          <w:i/>
          <w:sz w:val="24"/>
        </w:rPr>
        <w:t>Edwards kundër Mbretërisë së Bashkuar</w:t>
      </w:r>
      <w:r w:rsidRPr="00454DA0">
        <w:rPr>
          <w:rFonts w:eastAsia="Times New Roman"/>
          <w:sz w:val="24"/>
        </w:rPr>
        <w:t xml:space="preserve">, Nr. 13071/87, </w:t>
      </w:r>
      <w:r w:rsidR="00E135B1">
        <w:rPr>
          <w:rFonts w:eastAsia="Times New Roman"/>
          <w:sz w:val="24"/>
        </w:rPr>
        <w:t>aktgjykim i 16 dhjetorit 1992,paragrafi 34</w:t>
      </w:r>
      <w:r w:rsidRPr="00454DA0">
        <w:rPr>
          <w:rFonts w:eastAsia="Times New Roman"/>
          <w:sz w:val="24"/>
        </w:rPr>
        <w:t xml:space="preserve">). </w:t>
      </w:r>
      <w:r w:rsidRPr="00454DA0">
        <w:rPr>
          <w:rFonts w:eastAsia="Times New Roman"/>
          <w:sz w:val="24"/>
        </w:rPr>
        <w:cr/>
      </w:r>
    </w:p>
    <w:p w:rsidR="004E1044" w:rsidRPr="00454DA0" w:rsidRDefault="004E1044" w:rsidP="005E479D">
      <w:pPr>
        <w:numPr>
          <w:ilvl w:val="0"/>
          <w:numId w:val="14"/>
        </w:numPr>
        <w:spacing w:line="240" w:lineRule="auto"/>
        <w:ind w:left="634" w:hanging="634"/>
        <w:rPr>
          <w:rFonts w:eastAsia="Times New Roman"/>
          <w:i/>
          <w:sz w:val="24"/>
        </w:rPr>
      </w:pPr>
      <w:r w:rsidRPr="00454DA0">
        <w:rPr>
          <w:rFonts w:eastAsia="Times New Roman"/>
          <w:sz w:val="24"/>
        </w:rPr>
        <w:t xml:space="preserve">Bazuar në shkresat e lëndës, Gjykata vëren se arsyetimi i dhënë në Aktvendimin e Gjykatës Supreme është i qartë dhe pas shqyrtimit të të gjitha procedurave, Gjykata </w:t>
      </w:r>
      <w:r w:rsidRPr="00454DA0">
        <w:rPr>
          <w:rFonts w:eastAsia="Times New Roman" w:cs="Arial"/>
          <w:sz w:val="24"/>
        </w:rPr>
        <w:t>gjithashtu</w:t>
      </w:r>
      <w:r w:rsidRPr="00454DA0">
        <w:rPr>
          <w:rFonts w:eastAsia="Times New Roman"/>
          <w:sz w:val="24"/>
        </w:rPr>
        <w:t xml:space="preserve"> gjeti që procedurat para Gjykatës së Apelit dhe asaj Themelore nuk </w:t>
      </w:r>
      <w:r w:rsidR="001C2A3D">
        <w:rPr>
          <w:rFonts w:eastAsia="Times New Roman"/>
          <w:sz w:val="24"/>
        </w:rPr>
        <w:t>ishin të padrejta apo arbitrare</w:t>
      </w:r>
      <w:r w:rsidRPr="00454DA0">
        <w:rPr>
          <w:rFonts w:eastAsia="Times New Roman"/>
          <w:sz w:val="24"/>
        </w:rPr>
        <w:t xml:space="preserve"> (Shih rastin </w:t>
      </w:r>
      <w:r w:rsidRPr="00454DA0">
        <w:rPr>
          <w:rFonts w:eastAsia="Times New Roman"/>
          <w:i/>
          <w:sz w:val="24"/>
        </w:rPr>
        <w:t>Shub kundër Lituanisë</w:t>
      </w:r>
      <w:r w:rsidRPr="00454DA0">
        <w:rPr>
          <w:rFonts w:eastAsia="Times New Roman"/>
          <w:sz w:val="24"/>
        </w:rPr>
        <w:t xml:space="preserve">, Nr. 17064/06, Vendimi i GJEDNJ-së, i 30 qershorit 2009). </w:t>
      </w:r>
    </w:p>
    <w:p w:rsidR="004E1044" w:rsidRPr="00454DA0" w:rsidRDefault="004E1044" w:rsidP="005E479D">
      <w:pPr>
        <w:tabs>
          <w:tab w:val="left" w:pos="567"/>
        </w:tabs>
        <w:spacing w:line="240" w:lineRule="auto"/>
        <w:ind w:left="634" w:hanging="634"/>
        <w:rPr>
          <w:rFonts w:eastAsia="Times New Roman"/>
          <w:i/>
          <w:sz w:val="24"/>
        </w:rPr>
      </w:pPr>
    </w:p>
    <w:p w:rsidR="004E1044" w:rsidRPr="00454DA0" w:rsidRDefault="004E1044" w:rsidP="005E479D">
      <w:pPr>
        <w:numPr>
          <w:ilvl w:val="0"/>
          <w:numId w:val="14"/>
        </w:numPr>
        <w:spacing w:line="240" w:lineRule="auto"/>
        <w:ind w:left="634" w:hanging="634"/>
        <w:rPr>
          <w:rFonts w:eastAsia="Times New Roman"/>
          <w:i/>
          <w:sz w:val="24"/>
        </w:rPr>
      </w:pPr>
      <w:r w:rsidRPr="00454DA0">
        <w:rPr>
          <w:rFonts w:eastAsia="Times New Roman"/>
          <w:bCs/>
          <w:iCs/>
          <w:sz w:val="24"/>
        </w:rPr>
        <w:t xml:space="preserve">Në rrethanat e rastit konkret në mënyrë që edhe më konkretisht të elaborohen parimet e </w:t>
      </w:r>
      <w:r w:rsidRPr="00454DA0">
        <w:rPr>
          <w:rFonts w:eastAsia="Times New Roman" w:cs="Arial"/>
          <w:sz w:val="24"/>
        </w:rPr>
        <w:t>përgjithshme</w:t>
      </w:r>
      <w:r w:rsidRPr="00454DA0">
        <w:rPr>
          <w:rFonts w:eastAsia="Times New Roman"/>
          <w:bCs/>
          <w:iCs/>
          <w:sz w:val="24"/>
        </w:rPr>
        <w:t xml:space="preserve"> të gjykimit kushtetues, Gjykata vëren se </w:t>
      </w:r>
      <w:r w:rsidR="002A2617" w:rsidRPr="00454DA0">
        <w:rPr>
          <w:rFonts w:eastAsia="Times New Roman"/>
          <w:bCs/>
          <w:iCs/>
          <w:sz w:val="24"/>
        </w:rPr>
        <w:t>të gjitha gjykatat e rregullta</w:t>
      </w:r>
      <w:r w:rsidR="008D6706" w:rsidRPr="00454DA0">
        <w:rPr>
          <w:rFonts w:eastAsia="Times New Roman"/>
          <w:bCs/>
          <w:iCs/>
          <w:sz w:val="24"/>
        </w:rPr>
        <w:t xml:space="preserve"> kishin adresuar të gjitha pretendimet e parashtruesit të kërkesës të parashtruara me përgjigje në padi, ankesë dhe revizion.</w:t>
      </w:r>
    </w:p>
    <w:p w:rsidR="008D6706" w:rsidRPr="00454DA0" w:rsidRDefault="008D6706" w:rsidP="005E479D">
      <w:pPr>
        <w:pStyle w:val="ListParagraph"/>
        <w:spacing w:line="240" w:lineRule="auto"/>
        <w:ind w:left="634" w:hanging="634"/>
        <w:rPr>
          <w:rFonts w:eastAsia="Times New Roman"/>
          <w:i/>
          <w:sz w:val="24"/>
        </w:rPr>
      </w:pPr>
    </w:p>
    <w:p w:rsidR="008D6706" w:rsidRPr="00454DA0" w:rsidRDefault="008D6706" w:rsidP="005E479D">
      <w:pPr>
        <w:numPr>
          <w:ilvl w:val="0"/>
          <w:numId w:val="14"/>
        </w:numPr>
        <w:spacing w:line="240" w:lineRule="auto"/>
        <w:ind w:left="634" w:hanging="634"/>
        <w:rPr>
          <w:rFonts w:eastAsia="Times New Roman"/>
          <w:i/>
          <w:sz w:val="24"/>
        </w:rPr>
      </w:pPr>
      <w:r w:rsidRPr="00454DA0">
        <w:rPr>
          <w:rFonts w:eastAsia="Calibri"/>
          <w:sz w:val="24"/>
        </w:rPr>
        <w:t>Për sa i përket pretendimeve të parashtruesit të kërkesës, Gjykata Themelore, përmes Aktgjykimit të saj [C.</w:t>
      </w:r>
      <w:r w:rsidR="00B10DCB">
        <w:rPr>
          <w:rFonts w:eastAsia="Calibri"/>
          <w:sz w:val="24"/>
        </w:rPr>
        <w:t xml:space="preserve"> </w:t>
      </w:r>
      <w:r w:rsidRPr="00454DA0">
        <w:rPr>
          <w:rFonts w:eastAsia="Calibri"/>
          <w:sz w:val="24"/>
        </w:rPr>
        <w:t>nr.</w:t>
      </w:r>
      <w:r w:rsidR="00B10DCB">
        <w:rPr>
          <w:rFonts w:eastAsia="Calibri"/>
          <w:sz w:val="24"/>
        </w:rPr>
        <w:t xml:space="preserve"> </w:t>
      </w:r>
      <w:r w:rsidRPr="00454DA0">
        <w:rPr>
          <w:rFonts w:eastAsia="Calibri"/>
          <w:sz w:val="24"/>
        </w:rPr>
        <w:t>301/14] të 2 marsit 2015, ndër të tjera, kishte theksuar:</w:t>
      </w:r>
      <w:r w:rsidR="00EC6A1F">
        <w:rPr>
          <w:rFonts w:eastAsia="Calibri"/>
          <w:sz w:val="24"/>
        </w:rPr>
        <w:t xml:space="preserve"> </w:t>
      </w:r>
    </w:p>
    <w:p w:rsidR="008D6706" w:rsidRPr="00454DA0" w:rsidRDefault="008D6706" w:rsidP="00EC6A1F">
      <w:pPr>
        <w:spacing w:line="240" w:lineRule="auto"/>
        <w:ind w:left="630"/>
        <w:rPr>
          <w:rFonts w:eastAsia="Times New Roman"/>
          <w:i/>
          <w:sz w:val="24"/>
        </w:rPr>
      </w:pPr>
    </w:p>
    <w:p w:rsidR="003A5406" w:rsidRPr="00B10DCB" w:rsidRDefault="00A5435D" w:rsidP="00EC6A1F">
      <w:pPr>
        <w:spacing w:line="240" w:lineRule="auto"/>
        <w:ind w:left="990"/>
        <w:rPr>
          <w:rFonts w:eastAsia="Calibri"/>
          <w:i/>
          <w:sz w:val="24"/>
        </w:rPr>
      </w:pPr>
      <w:r w:rsidRPr="00454DA0">
        <w:rPr>
          <w:rFonts w:eastAsia="Calibri"/>
          <w:i/>
          <w:sz w:val="24"/>
        </w:rPr>
        <w:t>“</w:t>
      </w:r>
      <w:r w:rsidR="008D6706" w:rsidRPr="00454DA0">
        <w:rPr>
          <w:rFonts w:eastAsia="Calibri"/>
          <w:i/>
          <w:sz w:val="24"/>
        </w:rPr>
        <w:t>Nga Kontrata e m</w:t>
      </w:r>
      <w:r w:rsidR="00B10DCB">
        <w:rPr>
          <w:rFonts w:eastAsia="Calibri"/>
          <w:i/>
          <w:sz w:val="24"/>
        </w:rPr>
        <w:t>jeteve monetare e lidhur me datë</w:t>
      </w:r>
      <w:r w:rsidR="008D6706" w:rsidRPr="00454DA0">
        <w:rPr>
          <w:rFonts w:eastAsia="Calibri"/>
          <w:i/>
          <w:sz w:val="24"/>
        </w:rPr>
        <w:t xml:space="preserve"> 26.02 </w:t>
      </w:r>
      <w:r w:rsidR="00B10DCB">
        <w:rPr>
          <w:rFonts w:eastAsia="Calibri"/>
          <w:i/>
          <w:sz w:val="24"/>
        </w:rPr>
        <w:t>.2008, në mes të</w:t>
      </w:r>
      <w:r w:rsidR="008D6706" w:rsidRPr="00454DA0">
        <w:rPr>
          <w:rFonts w:eastAsia="Calibri"/>
          <w:i/>
          <w:sz w:val="24"/>
        </w:rPr>
        <w:t xml:space="preserve"> kontraktueseve </w:t>
      </w:r>
      <w:r w:rsidR="00B10DCB">
        <w:rPr>
          <w:rFonts w:eastAsia="Calibri"/>
          <w:i/>
          <w:sz w:val="24"/>
        </w:rPr>
        <w:t>Afrim Kumnova, në</w:t>
      </w:r>
      <w:r w:rsidR="008D6706" w:rsidRPr="00454DA0">
        <w:rPr>
          <w:rFonts w:eastAsia="Calibri"/>
          <w:i/>
          <w:sz w:val="24"/>
        </w:rPr>
        <w:t xml:space="preserve"> </w:t>
      </w:r>
      <w:r w:rsidR="003A5406" w:rsidRPr="00454DA0">
        <w:rPr>
          <w:rFonts w:eastAsia="Calibri"/>
          <w:i/>
          <w:sz w:val="24"/>
        </w:rPr>
        <w:t>cilësi</w:t>
      </w:r>
      <w:r w:rsidR="008D6706" w:rsidRPr="00454DA0">
        <w:rPr>
          <w:rFonts w:eastAsia="Calibri"/>
          <w:i/>
          <w:sz w:val="24"/>
        </w:rPr>
        <w:t xml:space="preserve"> e </w:t>
      </w:r>
      <w:r w:rsidR="003A5406" w:rsidRPr="00454DA0">
        <w:rPr>
          <w:rFonts w:eastAsia="Calibri"/>
          <w:i/>
          <w:sz w:val="24"/>
        </w:rPr>
        <w:t>huadhënësit</w:t>
      </w:r>
      <w:r w:rsidR="00B10DCB">
        <w:rPr>
          <w:rFonts w:eastAsia="Calibri"/>
          <w:i/>
          <w:sz w:val="24"/>
        </w:rPr>
        <w:t xml:space="preserve"> (paditë</w:t>
      </w:r>
      <w:r w:rsidR="008D6706" w:rsidRPr="00454DA0">
        <w:rPr>
          <w:rFonts w:eastAsia="Calibri"/>
          <w:i/>
          <w:sz w:val="24"/>
        </w:rPr>
        <w:t>sit ne rastin kon</w:t>
      </w:r>
      <w:r w:rsidR="00B10DCB">
        <w:rPr>
          <w:rFonts w:eastAsia="Calibri"/>
          <w:i/>
          <w:sz w:val="24"/>
        </w:rPr>
        <w:t>kret) dhe të</w:t>
      </w:r>
      <w:r w:rsidR="008D6706" w:rsidRPr="00454DA0">
        <w:rPr>
          <w:rFonts w:eastAsia="Calibri"/>
          <w:i/>
          <w:sz w:val="24"/>
        </w:rPr>
        <w:t xml:space="preserve"> Asllan Meka, Enver Meka, Saranda Meka, Shahindere Koshi (e </w:t>
      </w:r>
      <w:r w:rsidR="003A5406" w:rsidRPr="00454DA0">
        <w:rPr>
          <w:rFonts w:eastAsia="Calibri"/>
          <w:i/>
          <w:sz w:val="24"/>
        </w:rPr>
        <w:t>vajzërisë</w:t>
      </w:r>
      <w:r w:rsidR="008D6706" w:rsidRPr="00454DA0">
        <w:rPr>
          <w:rFonts w:eastAsia="Calibri"/>
          <w:i/>
          <w:sz w:val="24"/>
        </w:rPr>
        <w:t xml:space="preserve"> Meka), nga Gjakova dhe Zyrafa Meka - tani ish nga Gjakova si </w:t>
      </w:r>
      <w:r w:rsidR="003A5406" w:rsidRPr="00454DA0">
        <w:rPr>
          <w:rFonts w:eastAsia="Calibri"/>
          <w:i/>
          <w:sz w:val="24"/>
        </w:rPr>
        <w:t>huamarrës</w:t>
      </w:r>
      <w:r w:rsidR="008D6706" w:rsidRPr="00454DA0">
        <w:rPr>
          <w:rFonts w:eastAsia="Calibri"/>
          <w:i/>
          <w:sz w:val="24"/>
        </w:rPr>
        <w:t xml:space="preserve"> (te paditurit ne rastin konkret), - me </w:t>
      </w:r>
      <w:r w:rsidR="003A5406" w:rsidRPr="00454DA0">
        <w:rPr>
          <w:rFonts w:eastAsia="Calibri"/>
          <w:i/>
          <w:sz w:val="24"/>
        </w:rPr>
        <w:t>përjashtim</w:t>
      </w:r>
      <w:r w:rsidR="00B10DCB">
        <w:rPr>
          <w:rFonts w:eastAsia="Calibri"/>
          <w:i/>
          <w:sz w:val="24"/>
        </w:rPr>
        <w:t xml:space="preserve"> të tani të</w:t>
      </w:r>
      <w:r w:rsidR="008D6706" w:rsidRPr="00454DA0">
        <w:rPr>
          <w:rFonts w:eastAsia="Calibri"/>
          <w:i/>
          <w:sz w:val="24"/>
        </w:rPr>
        <w:t xml:space="preserve"> </w:t>
      </w:r>
      <w:r w:rsidR="003A5406" w:rsidRPr="00454DA0">
        <w:rPr>
          <w:rFonts w:eastAsia="Calibri"/>
          <w:i/>
          <w:sz w:val="24"/>
        </w:rPr>
        <w:t>ndjerës</w:t>
      </w:r>
      <w:r w:rsidR="008D6706" w:rsidRPr="00454DA0">
        <w:rPr>
          <w:rFonts w:eastAsia="Calibri"/>
          <w:i/>
          <w:sz w:val="24"/>
        </w:rPr>
        <w:t xml:space="preserve"> Zyrafa </w:t>
      </w:r>
      <w:r w:rsidR="00B10DCB">
        <w:rPr>
          <w:rFonts w:eastAsia="Calibri"/>
          <w:i/>
          <w:sz w:val="24"/>
        </w:rPr>
        <w:t>Meka, e cila në</w:t>
      </w:r>
      <w:r w:rsidR="008D6706" w:rsidRPr="00454DA0">
        <w:rPr>
          <w:rFonts w:eastAsia="Calibri"/>
          <w:i/>
          <w:sz w:val="24"/>
        </w:rPr>
        <w:t xml:space="preserve"> </w:t>
      </w:r>
      <w:r w:rsidR="00B10DCB" w:rsidRPr="00454DA0">
        <w:rPr>
          <w:rFonts w:eastAsia="Calibri"/>
          <w:i/>
          <w:sz w:val="24"/>
        </w:rPr>
        <w:t>ndërkohe</w:t>
      </w:r>
      <w:r w:rsidR="00B10DCB">
        <w:rPr>
          <w:rFonts w:eastAsia="Calibri"/>
          <w:i/>
          <w:sz w:val="24"/>
        </w:rPr>
        <w:t xml:space="preserve"> ka vdekur dhe të cilë</w:t>
      </w:r>
      <w:r w:rsidR="008D6706" w:rsidRPr="00454DA0">
        <w:rPr>
          <w:rFonts w:eastAsia="Calibri"/>
          <w:i/>
          <w:sz w:val="24"/>
        </w:rPr>
        <w:t xml:space="preserve">n e pas </w:t>
      </w:r>
      <w:r w:rsidR="003A5406" w:rsidRPr="00454DA0">
        <w:rPr>
          <w:rFonts w:eastAsia="Calibri"/>
          <w:i/>
          <w:sz w:val="24"/>
        </w:rPr>
        <w:t>jetojnë</w:t>
      </w:r>
      <w:r w:rsidR="00B10DCB">
        <w:rPr>
          <w:rFonts w:eastAsia="Calibri"/>
          <w:i/>
          <w:sz w:val="24"/>
        </w:rPr>
        <w:t xml:space="preserve"> të</w:t>
      </w:r>
      <w:r w:rsidR="008D6706" w:rsidRPr="00454DA0">
        <w:rPr>
          <w:rFonts w:eastAsia="Calibri"/>
          <w:i/>
          <w:sz w:val="24"/>
        </w:rPr>
        <w:t xml:space="preserve"> paditurit 1-4, </w:t>
      </w:r>
      <w:r w:rsidR="003A5406" w:rsidRPr="00454DA0">
        <w:rPr>
          <w:rFonts w:eastAsia="Calibri"/>
          <w:i/>
          <w:sz w:val="24"/>
        </w:rPr>
        <w:t>vërtetohet</w:t>
      </w:r>
      <w:r w:rsidR="008D6706" w:rsidRPr="00454DA0">
        <w:rPr>
          <w:rFonts w:eastAsia="Calibri"/>
          <w:i/>
          <w:sz w:val="24"/>
        </w:rPr>
        <w:t xml:space="preserve"> se huadhënësi Afrim iu ka </w:t>
      </w:r>
      <w:r w:rsidR="003A5406" w:rsidRPr="00454DA0">
        <w:rPr>
          <w:rFonts w:eastAsia="Calibri"/>
          <w:i/>
          <w:sz w:val="24"/>
        </w:rPr>
        <w:t>dhënë</w:t>
      </w:r>
      <w:r w:rsidR="008D6706" w:rsidRPr="00454DA0">
        <w:rPr>
          <w:rFonts w:eastAsia="Calibri"/>
          <w:i/>
          <w:sz w:val="24"/>
        </w:rPr>
        <w:t xml:space="preserve"> hua </w:t>
      </w:r>
      <w:r w:rsidR="003A5406" w:rsidRPr="00454DA0">
        <w:rPr>
          <w:rFonts w:eastAsia="Calibri"/>
          <w:i/>
          <w:sz w:val="24"/>
        </w:rPr>
        <w:t>huadhënësve</w:t>
      </w:r>
      <w:r w:rsidR="00B10DCB">
        <w:rPr>
          <w:rFonts w:eastAsia="Calibri"/>
          <w:i/>
          <w:sz w:val="24"/>
        </w:rPr>
        <w:t xml:space="preserve"> të lartë</w:t>
      </w:r>
      <w:r w:rsidR="008D6706" w:rsidRPr="00454DA0">
        <w:rPr>
          <w:rFonts w:eastAsia="Calibri"/>
          <w:i/>
          <w:sz w:val="24"/>
        </w:rPr>
        <w:t xml:space="preserve"> </w:t>
      </w:r>
      <w:r w:rsidR="003A5406" w:rsidRPr="00454DA0">
        <w:rPr>
          <w:rFonts w:eastAsia="Calibri"/>
          <w:i/>
          <w:sz w:val="24"/>
        </w:rPr>
        <w:t>përmendur</w:t>
      </w:r>
      <w:r w:rsidR="00B10DCB">
        <w:rPr>
          <w:rFonts w:eastAsia="Calibri"/>
          <w:i/>
          <w:sz w:val="24"/>
        </w:rPr>
        <w:t xml:space="preserve"> shumë</w:t>
      </w:r>
      <w:r w:rsidR="008D6706" w:rsidRPr="00454DA0">
        <w:rPr>
          <w:rFonts w:eastAsia="Calibri"/>
          <w:i/>
          <w:sz w:val="24"/>
        </w:rPr>
        <w:t xml:space="preserve">n prej </w:t>
      </w:r>
      <w:r w:rsidR="00B10DCB">
        <w:rPr>
          <w:rFonts w:eastAsia="Calibri"/>
          <w:i/>
          <w:sz w:val="24"/>
        </w:rPr>
        <w:t>35.000,00 €, me afat të</w:t>
      </w:r>
      <w:r w:rsidR="008D6706" w:rsidRPr="00454DA0">
        <w:rPr>
          <w:rFonts w:eastAsia="Calibri"/>
          <w:i/>
          <w:sz w:val="24"/>
        </w:rPr>
        <w:t xml:space="preserve"> kthimit pas </w:t>
      </w:r>
      <w:r w:rsidR="00306B12" w:rsidRPr="00454DA0">
        <w:rPr>
          <w:rFonts w:eastAsia="Calibri"/>
          <w:i/>
          <w:sz w:val="24"/>
        </w:rPr>
        <w:t>një</w:t>
      </w:r>
      <w:r w:rsidR="008D6706" w:rsidRPr="00454DA0">
        <w:rPr>
          <w:rFonts w:eastAsia="Calibri"/>
          <w:i/>
          <w:sz w:val="24"/>
        </w:rPr>
        <w:t xml:space="preserve"> viti, nga dita e </w:t>
      </w:r>
      <w:r w:rsidR="003A5406" w:rsidRPr="00454DA0">
        <w:rPr>
          <w:rFonts w:eastAsia="Calibri"/>
          <w:i/>
          <w:sz w:val="24"/>
        </w:rPr>
        <w:t>nënshkrimit</w:t>
      </w:r>
      <w:r w:rsidR="00B10DCB">
        <w:rPr>
          <w:rFonts w:eastAsia="Calibri"/>
          <w:i/>
          <w:sz w:val="24"/>
        </w:rPr>
        <w:t xml:space="preserve"> të</w:t>
      </w:r>
      <w:r w:rsidR="008D6706" w:rsidRPr="00454DA0">
        <w:rPr>
          <w:rFonts w:eastAsia="Calibri"/>
          <w:i/>
          <w:sz w:val="24"/>
        </w:rPr>
        <w:t xml:space="preserve"> </w:t>
      </w:r>
      <w:r w:rsidR="003A5406" w:rsidRPr="00454DA0">
        <w:rPr>
          <w:rFonts w:eastAsia="Calibri"/>
          <w:i/>
          <w:sz w:val="24"/>
        </w:rPr>
        <w:t>kontratës</w:t>
      </w:r>
      <w:r w:rsidR="00B10DCB">
        <w:rPr>
          <w:rFonts w:eastAsia="Calibri"/>
          <w:i/>
          <w:sz w:val="24"/>
        </w:rPr>
        <w:t xml:space="preserve"> së lartë</w:t>
      </w:r>
      <w:r w:rsidR="008D6706" w:rsidRPr="00454DA0">
        <w:rPr>
          <w:rFonts w:eastAsia="Calibri"/>
          <w:i/>
          <w:sz w:val="24"/>
        </w:rPr>
        <w:t xml:space="preserve"> cituar. Kontrat</w:t>
      </w:r>
      <w:r w:rsidR="00B10DCB">
        <w:rPr>
          <w:rFonts w:eastAsia="Calibri"/>
          <w:i/>
          <w:sz w:val="24"/>
        </w:rPr>
        <w:t>a lëndore është firmosur nga të</w:t>
      </w:r>
      <w:r w:rsidR="008D6706" w:rsidRPr="00454DA0">
        <w:rPr>
          <w:rFonts w:eastAsia="Calibri"/>
          <w:i/>
          <w:sz w:val="24"/>
        </w:rPr>
        <w:t xml:space="preserve"> </w:t>
      </w:r>
      <w:r w:rsidR="003A5406" w:rsidRPr="00454DA0">
        <w:rPr>
          <w:rFonts w:eastAsia="Calibri"/>
          <w:i/>
          <w:sz w:val="24"/>
        </w:rPr>
        <w:t xml:space="preserve">gjithë kontraktuesit, dhe </w:t>
      </w:r>
      <w:r w:rsidR="00B10DCB">
        <w:rPr>
          <w:rFonts w:eastAsia="Calibri"/>
          <w:i/>
          <w:sz w:val="24"/>
        </w:rPr>
        <w:t>çështja e nënshkrimit të</w:t>
      </w:r>
      <w:r w:rsidR="008D6706" w:rsidRPr="00454DA0">
        <w:rPr>
          <w:rFonts w:eastAsia="Calibri"/>
          <w:i/>
          <w:sz w:val="24"/>
        </w:rPr>
        <w:t xml:space="preserve"> tyre nuk kontestohej fare nga </w:t>
      </w:r>
      <w:r w:rsidR="003A5406" w:rsidRPr="00454DA0">
        <w:rPr>
          <w:rFonts w:eastAsia="Calibri"/>
          <w:i/>
          <w:sz w:val="24"/>
        </w:rPr>
        <w:t>palët</w:t>
      </w:r>
      <w:r w:rsidR="00B10DCB">
        <w:rPr>
          <w:rFonts w:eastAsia="Calibri"/>
          <w:i/>
          <w:sz w:val="24"/>
        </w:rPr>
        <w:t xml:space="preserve"> në procedurë gjate shqyrtimit të</w:t>
      </w:r>
      <w:r w:rsidR="008D6706" w:rsidRPr="00454DA0">
        <w:rPr>
          <w:rFonts w:eastAsia="Calibri"/>
          <w:i/>
          <w:sz w:val="24"/>
        </w:rPr>
        <w:t xml:space="preserve"> kësaj ç</w:t>
      </w:r>
      <w:r w:rsidR="003A5406" w:rsidRPr="00454DA0">
        <w:rPr>
          <w:rFonts w:eastAsia="Calibri"/>
          <w:i/>
          <w:sz w:val="24"/>
        </w:rPr>
        <w:t>ështje</w:t>
      </w:r>
      <w:r w:rsidR="008D6706" w:rsidRPr="00454DA0">
        <w:rPr>
          <w:rFonts w:eastAsia="Calibri"/>
          <w:i/>
          <w:sz w:val="24"/>
        </w:rPr>
        <w:t>.</w:t>
      </w:r>
      <w:r w:rsidR="003A5406" w:rsidRPr="00454DA0">
        <w:rPr>
          <w:rFonts w:ascii="Times New Roman" w:hAnsi="Times New Roman"/>
          <w:sz w:val="23"/>
          <w:szCs w:val="23"/>
        </w:rPr>
        <w:t xml:space="preserve"> </w:t>
      </w:r>
    </w:p>
    <w:p w:rsidR="00C00B63" w:rsidRPr="00454DA0" w:rsidRDefault="00C00B63" w:rsidP="00EC6A1F">
      <w:pPr>
        <w:spacing w:line="240" w:lineRule="auto"/>
        <w:ind w:left="990"/>
        <w:rPr>
          <w:rFonts w:ascii="Times New Roman" w:hAnsi="Times New Roman"/>
          <w:sz w:val="23"/>
          <w:szCs w:val="23"/>
        </w:rPr>
      </w:pPr>
    </w:p>
    <w:p w:rsidR="00306B12" w:rsidRPr="00454DA0" w:rsidRDefault="00306B12" w:rsidP="00EC6A1F">
      <w:pPr>
        <w:spacing w:line="240" w:lineRule="auto"/>
        <w:ind w:left="990"/>
        <w:rPr>
          <w:sz w:val="24"/>
        </w:rPr>
      </w:pPr>
      <w:r w:rsidRPr="00454DA0">
        <w:rPr>
          <w:i/>
          <w:sz w:val="24"/>
        </w:rPr>
        <w:t>Kjo Gjykatë në rastin konkret konsideron se të paditurit deri në momentin e s</w:t>
      </w:r>
      <w:r w:rsidR="00B10DCB">
        <w:rPr>
          <w:i/>
          <w:sz w:val="24"/>
        </w:rPr>
        <w:t>hqyrtimit kryesor me asnjë provë</w:t>
      </w:r>
      <w:r w:rsidRPr="00454DA0">
        <w:rPr>
          <w:i/>
          <w:sz w:val="24"/>
        </w:rPr>
        <w:t xml:space="preserve"> materiale nuk argumentuan faktin se ia kanë paguar paditësit shumën e monetave. Pra duke u nisur nga</w:t>
      </w:r>
      <w:r w:rsidR="00C00B63" w:rsidRPr="00454DA0">
        <w:rPr>
          <w:i/>
          <w:sz w:val="24"/>
        </w:rPr>
        <w:t xml:space="preserve"> parimi</w:t>
      </w:r>
      <w:r w:rsidRPr="00454DA0">
        <w:rPr>
          <w:i/>
          <w:sz w:val="24"/>
        </w:rPr>
        <w:t xml:space="preserve"> juridik </w:t>
      </w:r>
      <w:r w:rsidR="00C00B63" w:rsidRPr="00454DA0">
        <w:rPr>
          <w:i/>
          <w:sz w:val="24"/>
        </w:rPr>
        <w:t>se: Kontrata</w:t>
      </w:r>
      <w:r w:rsidRPr="00454DA0">
        <w:rPr>
          <w:i/>
          <w:sz w:val="24"/>
        </w:rPr>
        <w:t xml:space="preserve"> është ligj për palët (“pacta su</w:t>
      </w:r>
      <w:r w:rsidR="00B10DCB">
        <w:rPr>
          <w:i/>
          <w:sz w:val="24"/>
        </w:rPr>
        <w:t>nd servanda”) rezulton se të një</w:t>
      </w:r>
      <w:r w:rsidRPr="00454DA0">
        <w:rPr>
          <w:i/>
          <w:sz w:val="24"/>
        </w:rPr>
        <w:t>jtit kanë obligim ligjor që paditësit t’ia kthejnë shumën e marrë hua, lartësinë prej 35.000,00 euro, së</w:t>
      </w:r>
      <w:r w:rsidR="00B10DCB">
        <w:rPr>
          <w:i/>
          <w:sz w:val="24"/>
        </w:rPr>
        <w:t xml:space="preserve"> </w:t>
      </w:r>
      <w:r w:rsidRPr="00454DA0">
        <w:rPr>
          <w:i/>
          <w:sz w:val="24"/>
        </w:rPr>
        <w:t>bashku me kamatën gjegjëse ligjore dhe shpenzimet aksesore siç janë përcaktuar në dispozitivin e këtij aktgjykimi. Në favor të këtij konstatimi të Gjykatë</w:t>
      </w:r>
      <w:r w:rsidR="00B10DCB">
        <w:rPr>
          <w:i/>
          <w:sz w:val="24"/>
        </w:rPr>
        <w:t>s qëndron edhe fakti se këtu të</w:t>
      </w:r>
      <w:r w:rsidRPr="00454DA0">
        <w:rPr>
          <w:i/>
          <w:sz w:val="24"/>
        </w:rPr>
        <w:t xml:space="preserve"> paditurit në asnjë mënyrë dhe në asnjë</w:t>
      </w:r>
      <w:r w:rsidR="00C00B63" w:rsidRPr="00454DA0">
        <w:rPr>
          <w:i/>
          <w:sz w:val="24"/>
        </w:rPr>
        <w:t xml:space="preserve"> rrethanë nuk e kontestonin faktin e nënshkrimit të tyre në kontratën lëndore edhe në dëftesën nr.</w:t>
      </w:r>
      <w:r w:rsidR="00B10DCB">
        <w:rPr>
          <w:i/>
          <w:sz w:val="24"/>
        </w:rPr>
        <w:t xml:space="preserve"> 01/2008 të datës 26.02.2008 ku i</w:t>
      </w:r>
      <w:r w:rsidR="00C00B63" w:rsidRPr="00454DA0">
        <w:rPr>
          <w:i/>
          <w:sz w:val="24"/>
        </w:rPr>
        <w:t xml:space="preserve"> kanë pranuar monetat e dhëna hua nga paditësi</w:t>
      </w:r>
      <w:r w:rsidR="00C00B63" w:rsidRPr="00454DA0">
        <w:rPr>
          <w:sz w:val="24"/>
        </w:rPr>
        <w:t>”.</w:t>
      </w:r>
      <w:r w:rsidRPr="00454DA0">
        <w:rPr>
          <w:sz w:val="24"/>
        </w:rPr>
        <w:t xml:space="preserve"> </w:t>
      </w:r>
    </w:p>
    <w:p w:rsidR="003A5406" w:rsidRPr="00454DA0" w:rsidRDefault="003A5406" w:rsidP="00EC6A1F">
      <w:pPr>
        <w:spacing w:line="240" w:lineRule="auto"/>
        <w:rPr>
          <w:rFonts w:ascii="Times New Roman" w:hAnsi="Times New Roman"/>
          <w:sz w:val="23"/>
          <w:szCs w:val="23"/>
        </w:rPr>
      </w:pPr>
    </w:p>
    <w:p w:rsidR="00155564" w:rsidRPr="00454DA0" w:rsidRDefault="00155564" w:rsidP="00EC6A1F">
      <w:pPr>
        <w:numPr>
          <w:ilvl w:val="0"/>
          <w:numId w:val="14"/>
        </w:numPr>
        <w:spacing w:line="240" w:lineRule="auto"/>
        <w:ind w:left="634" w:hanging="634"/>
        <w:contextualSpacing/>
        <w:rPr>
          <w:rFonts w:eastAsia="Calibri"/>
          <w:sz w:val="24"/>
        </w:rPr>
      </w:pPr>
      <w:r w:rsidRPr="00454DA0">
        <w:rPr>
          <w:rFonts w:eastAsia="Calibri"/>
          <w:sz w:val="24"/>
        </w:rPr>
        <w:t>Duke adresuar pretendimet e ng</w:t>
      </w:r>
      <w:r w:rsidR="00B10DCB">
        <w:rPr>
          <w:rFonts w:eastAsia="Calibri"/>
          <w:sz w:val="24"/>
        </w:rPr>
        <w:t>r</w:t>
      </w:r>
      <w:r w:rsidRPr="00454DA0">
        <w:rPr>
          <w:rFonts w:eastAsia="Calibri"/>
          <w:sz w:val="24"/>
        </w:rPr>
        <w:t>itura me ankesë, Gjykata e Apelit, përmes Aktgjykimit të saj [CA.</w:t>
      </w:r>
      <w:r w:rsidR="00B10DCB">
        <w:rPr>
          <w:rFonts w:eastAsia="Calibri"/>
          <w:sz w:val="24"/>
        </w:rPr>
        <w:t xml:space="preserve"> </w:t>
      </w:r>
      <w:r w:rsidRPr="00454DA0">
        <w:rPr>
          <w:rFonts w:eastAsia="Calibri"/>
          <w:sz w:val="24"/>
        </w:rPr>
        <w:t>nr.</w:t>
      </w:r>
      <w:r w:rsidR="00B10DCB">
        <w:rPr>
          <w:rFonts w:eastAsia="Calibri"/>
          <w:sz w:val="24"/>
        </w:rPr>
        <w:t xml:space="preserve"> </w:t>
      </w:r>
      <w:r w:rsidRPr="00454DA0">
        <w:rPr>
          <w:rFonts w:eastAsia="Calibri"/>
          <w:sz w:val="24"/>
        </w:rPr>
        <w:t xml:space="preserve">1774/2015] të 8 nëntorit 2019, ndër të tjera, kishte theksuar: </w:t>
      </w:r>
    </w:p>
    <w:p w:rsidR="00155564" w:rsidRPr="00454DA0" w:rsidRDefault="00155564" w:rsidP="00EC6A1F">
      <w:pPr>
        <w:spacing w:line="240" w:lineRule="auto"/>
        <w:contextualSpacing/>
        <w:rPr>
          <w:rFonts w:eastAsia="Calibri"/>
          <w:sz w:val="24"/>
        </w:rPr>
      </w:pPr>
    </w:p>
    <w:p w:rsidR="00155564" w:rsidRPr="00454DA0" w:rsidRDefault="00006493" w:rsidP="00EC6A1F">
      <w:pPr>
        <w:spacing w:line="240" w:lineRule="auto"/>
        <w:ind w:left="994"/>
        <w:rPr>
          <w:rFonts w:eastAsia="Calibri"/>
          <w:i/>
          <w:sz w:val="24"/>
        </w:rPr>
      </w:pPr>
      <w:r w:rsidRPr="00454DA0">
        <w:rPr>
          <w:rFonts w:eastAsia="Calibri"/>
          <w:sz w:val="24"/>
        </w:rPr>
        <w:t>“</w:t>
      </w:r>
      <w:r w:rsidRPr="00454DA0">
        <w:rPr>
          <w:rFonts w:eastAsia="Calibri"/>
          <w:i/>
          <w:sz w:val="24"/>
        </w:rPr>
        <w:t>Kolegji</w:t>
      </w:r>
      <w:r w:rsidR="001C2A3D">
        <w:rPr>
          <w:rFonts w:eastAsia="Calibri"/>
          <w:i/>
          <w:sz w:val="24"/>
        </w:rPr>
        <w:t>,</w:t>
      </w:r>
      <w:r w:rsidRPr="00454DA0">
        <w:rPr>
          <w:rFonts w:eastAsia="Calibri"/>
          <w:i/>
          <w:sz w:val="24"/>
        </w:rPr>
        <w:t xml:space="preserve"> konstaton se gjykata e shkallës së parë gjatë zbatimit të procedurës kontestimore, nuk ka bërë shkelje thelbësore të dispozitave të </w:t>
      </w:r>
      <w:r w:rsidRPr="00454DA0">
        <w:rPr>
          <w:rFonts w:eastAsia="Calibri"/>
          <w:i/>
          <w:sz w:val="24"/>
        </w:rPr>
        <w:lastRenderedPageBreak/>
        <w:t>procedurës kontestimore nga neni 182.2 b), g), j), k) dhe m) të LPK-së, për të cilat gjykata e shkallës së dytë kujdeset sipas detyrës zyrtare, e as shkelje tjera procedural që do të ishin me ndikim në vendim</w:t>
      </w:r>
      <w:r w:rsidR="001C2A3D">
        <w:rPr>
          <w:rFonts w:eastAsia="Calibri"/>
          <w:i/>
          <w:sz w:val="24"/>
        </w:rPr>
        <w:t>m</w:t>
      </w:r>
      <w:r w:rsidRPr="00454DA0">
        <w:rPr>
          <w:rFonts w:eastAsia="Calibri"/>
          <w:i/>
          <w:sz w:val="24"/>
        </w:rPr>
        <w:t>arrje të drejtë në këtë çështje juridike.</w:t>
      </w:r>
    </w:p>
    <w:p w:rsidR="00006493" w:rsidRPr="00454DA0" w:rsidRDefault="00006493" w:rsidP="00EC6A1F">
      <w:pPr>
        <w:spacing w:line="240" w:lineRule="auto"/>
        <w:ind w:left="994"/>
        <w:rPr>
          <w:rFonts w:eastAsia="Calibri"/>
          <w:i/>
          <w:sz w:val="24"/>
        </w:rPr>
      </w:pPr>
    </w:p>
    <w:p w:rsidR="00006493" w:rsidRPr="00454DA0" w:rsidRDefault="00006493" w:rsidP="00EC6A1F">
      <w:pPr>
        <w:spacing w:line="240" w:lineRule="auto"/>
        <w:ind w:left="994"/>
        <w:rPr>
          <w:rFonts w:eastAsia="Calibri"/>
          <w:i/>
          <w:sz w:val="24"/>
        </w:rPr>
      </w:pPr>
      <w:r w:rsidRPr="00454DA0">
        <w:rPr>
          <w:rFonts w:eastAsia="Calibri"/>
          <w:i/>
          <w:sz w:val="24"/>
        </w:rPr>
        <w:t>Kolegji, vlerëson se të paditurit, pr</w:t>
      </w:r>
      <w:r w:rsidR="00B10DCB">
        <w:rPr>
          <w:rFonts w:eastAsia="Calibri"/>
          <w:i/>
          <w:sz w:val="24"/>
        </w:rPr>
        <w:t>etendimet e tyre ankimore, nuk i</w:t>
      </w:r>
      <w:r w:rsidRPr="00454DA0">
        <w:rPr>
          <w:rFonts w:eastAsia="Calibri"/>
          <w:i/>
          <w:sz w:val="24"/>
        </w:rPr>
        <w:t xml:space="preserve"> provuan me fakte relevante, të besueshme dhe të mjaftueshme, edhe pë</w:t>
      </w:r>
      <w:r w:rsidR="00B10DCB">
        <w:rPr>
          <w:rFonts w:eastAsia="Calibri"/>
          <w:i/>
          <w:sz w:val="24"/>
        </w:rPr>
        <w:t>rkundër faktit se e kishin barrën e provë</w:t>
      </w:r>
      <w:r w:rsidRPr="00454DA0">
        <w:rPr>
          <w:rFonts w:eastAsia="Calibri"/>
          <w:i/>
          <w:sz w:val="24"/>
        </w:rPr>
        <w:t>s, andaj ankesa e tyre është e pa themeltë dhe si e tillë u refuzua”.</w:t>
      </w:r>
    </w:p>
    <w:p w:rsidR="00006493" w:rsidRPr="00454DA0" w:rsidRDefault="00006493" w:rsidP="00EC6A1F">
      <w:pPr>
        <w:spacing w:line="240" w:lineRule="auto"/>
        <w:ind w:left="630"/>
        <w:rPr>
          <w:rFonts w:eastAsia="Times New Roman"/>
          <w:sz w:val="24"/>
          <w:highlight w:val="yellow"/>
        </w:rPr>
      </w:pPr>
    </w:p>
    <w:p w:rsidR="004E1044" w:rsidRPr="00454DA0" w:rsidRDefault="004E1044" w:rsidP="00EC6A1F">
      <w:pPr>
        <w:numPr>
          <w:ilvl w:val="0"/>
          <w:numId w:val="14"/>
        </w:numPr>
        <w:spacing w:line="240" w:lineRule="auto"/>
        <w:ind w:left="634" w:hanging="634"/>
        <w:rPr>
          <w:rFonts w:eastAsia="Times New Roman"/>
          <w:sz w:val="24"/>
        </w:rPr>
      </w:pPr>
      <w:r w:rsidRPr="00454DA0">
        <w:rPr>
          <w:rFonts w:eastAsia="Times New Roman"/>
          <w:bCs/>
          <w:sz w:val="24"/>
        </w:rPr>
        <w:t xml:space="preserve">Më </w:t>
      </w:r>
      <w:r w:rsidRPr="00454DA0">
        <w:rPr>
          <w:rFonts w:eastAsia="Times New Roman" w:cs="Arial"/>
          <w:sz w:val="24"/>
        </w:rPr>
        <w:t>saktësisht</w:t>
      </w:r>
      <w:r w:rsidRPr="00454DA0">
        <w:rPr>
          <w:rFonts w:eastAsia="Times New Roman"/>
          <w:bCs/>
          <w:sz w:val="24"/>
        </w:rPr>
        <w:t xml:space="preserve">, </w:t>
      </w:r>
      <w:r w:rsidRPr="00454DA0">
        <w:rPr>
          <w:rFonts w:eastAsia="Times New Roman" w:cs="Arial"/>
          <w:sz w:val="24"/>
        </w:rPr>
        <w:t>Gjykata</w:t>
      </w:r>
      <w:r w:rsidRPr="00454DA0">
        <w:rPr>
          <w:rFonts w:eastAsia="Times New Roman"/>
          <w:bCs/>
          <w:sz w:val="24"/>
        </w:rPr>
        <w:t xml:space="preserve"> </w:t>
      </w:r>
      <w:r w:rsidRPr="00454DA0">
        <w:rPr>
          <w:rFonts w:eastAsia="Times New Roman"/>
          <w:sz w:val="24"/>
        </w:rPr>
        <w:t>Supreme</w:t>
      </w:r>
      <w:r w:rsidRPr="00454DA0">
        <w:rPr>
          <w:rFonts w:eastAsia="Times New Roman"/>
          <w:bCs/>
          <w:sz w:val="24"/>
        </w:rPr>
        <w:t xml:space="preserve"> në </w:t>
      </w:r>
      <w:r w:rsidR="002A2617" w:rsidRPr="00454DA0">
        <w:rPr>
          <w:rFonts w:eastAsia="Times New Roman"/>
          <w:bCs/>
          <w:sz w:val="24"/>
        </w:rPr>
        <w:t>Aktgjykimin</w:t>
      </w:r>
      <w:r w:rsidR="00EC6A1F">
        <w:rPr>
          <w:rFonts w:eastAsia="Times New Roman"/>
          <w:bCs/>
          <w:sz w:val="24"/>
        </w:rPr>
        <w:t xml:space="preserve"> </w:t>
      </w:r>
      <w:r w:rsidRPr="00454DA0">
        <w:rPr>
          <w:rFonts w:eastAsia="Times New Roman"/>
          <w:bCs/>
          <w:sz w:val="24"/>
        </w:rPr>
        <w:t>e saj kishte theksuar si në vijim:</w:t>
      </w:r>
    </w:p>
    <w:p w:rsidR="004E1044" w:rsidRPr="00454DA0" w:rsidRDefault="004E1044" w:rsidP="00EC6A1F">
      <w:pPr>
        <w:spacing w:line="240" w:lineRule="auto"/>
        <w:rPr>
          <w:rFonts w:eastAsia="Times New Roman"/>
          <w:sz w:val="24"/>
        </w:rPr>
      </w:pPr>
    </w:p>
    <w:p w:rsidR="004E1044" w:rsidRPr="00454DA0" w:rsidRDefault="004E1044" w:rsidP="00EC6A1F">
      <w:pPr>
        <w:spacing w:line="240" w:lineRule="auto"/>
        <w:ind w:left="990"/>
        <w:rPr>
          <w:rFonts w:eastAsia="Times New Roman"/>
          <w:sz w:val="24"/>
        </w:rPr>
      </w:pPr>
      <w:r w:rsidRPr="00454DA0">
        <w:rPr>
          <w:rFonts w:eastAsia="Times New Roman"/>
          <w:bCs/>
          <w:i/>
          <w:sz w:val="24"/>
        </w:rPr>
        <w:t>“</w:t>
      </w:r>
      <w:r w:rsidR="00006493" w:rsidRPr="00454DA0">
        <w:rPr>
          <w:rFonts w:eastAsia="Times New Roman"/>
          <w:bCs/>
          <w:i/>
          <w:sz w:val="24"/>
        </w:rPr>
        <w:t xml:space="preserve">Gjykata Supreme e Kosovës i ka vlerësuar si të pabazuara thëniet e të paditurit në revizion, se aktgjykimi </w:t>
      </w:r>
      <w:r w:rsidR="00743CA6" w:rsidRPr="00454DA0">
        <w:rPr>
          <w:rFonts w:eastAsia="Times New Roman"/>
          <w:bCs/>
          <w:i/>
          <w:sz w:val="24"/>
        </w:rPr>
        <w:t>i goditur është marrë në shkelje thelbësore të dispozitave të procedurës kontestimore nga neni 182.2(n), ngase siç theksohet dispozitivi i aktgjykimit është i pakuptimt</w:t>
      </w:r>
      <w:r w:rsidR="00B10DCB">
        <w:rPr>
          <w:rFonts w:eastAsia="Times New Roman"/>
          <w:bCs/>
          <w:i/>
          <w:sz w:val="24"/>
        </w:rPr>
        <w:t>ë</w:t>
      </w:r>
      <w:r w:rsidR="00743CA6" w:rsidRPr="00454DA0">
        <w:rPr>
          <w:rFonts w:eastAsia="Times New Roman"/>
          <w:bCs/>
          <w:i/>
          <w:sz w:val="24"/>
        </w:rPr>
        <w:t xml:space="preserve"> dhe ka të meta për shkak të cilave nuk mund të ekzaminohet dhe se dispozitivi është në kundërshtim me arsyet, përkatësisht aktgjykimi i atakuar nuk ka arsye mbi faktet vendimt</w:t>
      </w:r>
      <w:r w:rsidR="00B10DCB">
        <w:rPr>
          <w:rFonts w:eastAsia="Times New Roman"/>
          <w:bCs/>
          <w:i/>
          <w:sz w:val="24"/>
        </w:rPr>
        <w:t xml:space="preserve">are. Sipas vlerësimit të </w:t>
      </w:r>
      <w:r w:rsidR="00743CA6" w:rsidRPr="00454DA0">
        <w:rPr>
          <w:rFonts w:eastAsia="Times New Roman"/>
          <w:bCs/>
          <w:i/>
          <w:sz w:val="24"/>
        </w:rPr>
        <w:t>gjykatës së revizionit, aktgjykimi i goditur nuk është përfshir</w:t>
      </w:r>
      <w:r w:rsidR="00B10DCB">
        <w:rPr>
          <w:rFonts w:eastAsia="Times New Roman"/>
          <w:bCs/>
          <w:i/>
          <w:sz w:val="24"/>
        </w:rPr>
        <w:t>ë</w:t>
      </w:r>
      <w:r w:rsidR="00743CA6" w:rsidRPr="00454DA0">
        <w:rPr>
          <w:rFonts w:eastAsia="Times New Roman"/>
          <w:bCs/>
          <w:i/>
          <w:sz w:val="24"/>
        </w:rPr>
        <w:t xml:space="preserve"> me shkelje të tilla të procedurës, sepse dispozitivi i aktgjykimit është në pajtim me provat e administruara, kur gjykata ankimore ka gjetur se të paditurit nuk kanë përmbushur detyrimin e tyre nga kontrata e huas, ngase nuk ia kanë kthyer paditësit shumën prej 35.000 euro</w:t>
      </w:r>
      <w:r w:rsidR="005823C4" w:rsidRPr="00454DA0">
        <w:rPr>
          <w:rFonts w:eastAsia="Times New Roman"/>
          <w:bCs/>
          <w:i/>
          <w:sz w:val="24"/>
        </w:rPr>
        <w:t>, në afatin e caktuar në kontratë.</w:t>
      </w:r>
      <w:r w:rsidR="00B10DCB">
        <w:rPr>
          <w:rFonts w:eastAsia="Times New Roman"/>
          <w:bCs/>
          <w:i/>
          <w:sz w:val="24"/>
        </w:rPr>
        <w:t xml:space="preserve"> </w:t>
      </w:r>
      <w:r w:rsidR="005823C4" w:rsidRPr="00454DA0">
        <w:rPr>
          <w:rFonts w:eastAsia="Times New Roman"/>
          <w:bCs/>
          <w:i/>
          <w:sz w:val="24"/>
        </w:rPr>
        <w:t>Të paditurit me asnjë provë nuk kanë argumentuar faktin se paditësit ia kanë kthyer shumën e huazuar. Me nenin 557 janë përcaktuar kushtet thelbësore për lidhjen e kontratës mbi huan</w:t>
      </w:r>
      <w:r w:rsidR="00B10DCB">
        <w:rPr>
          <w:rFonts w:eastAsia="Times New Roman"/>
          <w:bCs/>
          <w:i/>
          <w:sz w:val="24"/>
        </w:rPr>
        <w:t xml:space="preserve"> dhe atë: “Me kontratën e huas</w:t>
      </w:r>
      <w:r w:rsidR="005823C4" w:rsidRPr="00454DA0">
        <w:rPr>
          <w:rFonts w:eastAsia="Times New Roman"/>
          <w:bCs/>
          <w:i/>
          <w:sz w:val="24"/>
        </w:rPr>
        <w:t xml:space="preserve"> obligohet huadhënësi t’ia dorëzojë në pronësi, respektivisht në deponim huamarrësit shumën e caktuar të hollash ose sasinë e caktuar të sendeve të tjera të zëvendësueshme, ndërsa huamarrësi obligohet t’i kthejë pas një kohe të caktuar të njëjtën shumë të hollash, respektivisht të njëjtën sasi sende</w:t>
      </w:r>
      <w:r w:rsidR="00B10DCB">
        <w:rPr>
          <w:rFonts w:eastAsia="Times New Roman"/>
          <w:bCs/>
          <w:i/>
          <w:sz w:val="24"/>
        </w:rPr>
        <w:t>sh të llojit dhe cilësisë së një</w:t>
      </w:r>
      <w:r w:rsidR="005823C4" w:rsidRPr="00454DA0">
        <w:rPr>
          <w:rFonts w:eastAsia="Times New Roman"/>
          <w:bCs/>
          <w:i/>
          <w:sz w:val="24"/>
        </w:rPr>
        <w:t>jtë</w:t>
      </w:r>
      <w:r w:rsidR="00B10DCB">
        <w:rPr>
          <w:rFonts w:eastAsia="Times New Roman"/>
          <w:bCs/>
          <w:i/>
          <w:sz w:val="24"/>
        </w:rPr>
        <w:t xml:space="preserve"> </w:t>
      </w:r>
      <w:r w:rsidR="005823C4" w:rsidRPr="00454DA0">
        <w:rPr>
          <w:rFonts w:eastAsia="Times New Roman"/>
          <w:bCs/>
          <w:i/>
          <w:sz w:val="24"/>
        </w:rPr>
        <w:t>mbi sendet e marra huamarrësi fiton të drejtën e disponimit respektivisht të drejtën e pronësisë”. Nga kontrata e lidhur në mes ndërgjyqësve del se paditësi si huadhënës u ka dhënë të paditur</w:t>
      </w:r>
      <w:r w:rsidR="00E250EB" w:rsidRPr="00454DA0">
        <w:rPr>
          <w:rFonts w:eastAsia="Times New Roman"/>
          <w:bCs/>
          <w:i/>
          <w:sz w:val="24"/>
        </w:rPr>
        <w:t>ve shumën e të hollave, me obligim që në afatin e caktuar t’ia kthejnë dhe se me këtë paditësi ka përmbushur detyrimin ndaj të paditurve, ndërsa të paditurit</w:t>
      </w:r>
      <w:r w:rsidR="00B10DCB">
        <w:rPr>
          <w:rFonts w:eastAsia="Times New Roman"/>
          <w:bCs/>
          <w:i/>
          <w:sz w:val="24"/>
        </w:rPr>
        <w:t xml:space="preserve"> me moskthimin e shumës së huas</w:t>
      </w:r>
      <w:r w:rsidR="00E250EB" w:rsidRPr="00454DA0">
        <w:rPr>
          <w:rFonts w:eastAsia="Times New Roman"/>
          <w:bCs/>
          <w:i/>
          <w:sz w:val="24"/>
        </w:rPr>
        <w:t>, nuk kanë përmbushur detyrimin ndaj paditësit dhe janë të obliguar që t’ia kthejnë huan me shumë prej 35.000 euro”.</w:t>
      </w:r>
      <w:r w:rsidR="005823C4" w:rsidRPr="00454DA0">
        <w:rPr>
          <w:rFonts w:eastAsia="Times New Roman"/>
          <w:bCs/>
          <w:i/>
          <w:sz w:val="24"/>
        </w:rPr>
        <w:t xml:space="preserve"> </w:t>
      </w:r>
    </w:p>
    <w:p w:rsidR="004E1044" w:rsidRPr="00454DA0" w:rsidRDefault="004E1044" w:rsidP="00EC6A1F">
      <w:pPr>
        <w:tabs>
          <w:tab w:val="left" w:pos="567"/>
        </w:tabs>
        <w:spacing w:line="240" w:lineRule="auto"/>
        <w:rPr>
          <w:rFonts w:eastAsia="Times New Roman"/>
          <w:i/>
          <w:sz w:val="24"/>
        </w:rPr>
      </w:pPr>
    </w:p>
    <w:p w:rsidR="00E250EB" w:rsidRPr="00454DA0" w:rsidRDefault="00E250EB" w:rsidP="005E479D">
      <w:pPr>
        <w:numPr>
          <w:ilvl w:val="0"/>
          <w:numId w:val="14"/>
        </w:numPr>
        <w:spacing w:line="240" w:lineRule="auto"/>
        <w:ind w:left="634" w:hanging="634"/>
        <w:rPr>
          <w:rFonts w:eastAsia="Times New Roman"/>
          <w:iCs/>
          <w:sz w:val="24"/>
        </w:rPr>
      </w:pPr>
      <w:r w:rsidRPr="00454DA0">
        <w:rPr>
          <w:rFonts w:eastAsia="Times New Roman"/>
          <w:iCs/>
          <w:sz w:val="24"/>
        </w:rPr>
        <w:t xml:space="preserve">Rrjedhimisht dhe siç është elaboruar më lartë, Gjykata vëren që të gjitha gjykatat e rregullta kishin adresuar pretendimet e parashtruesit të kërkesës dhe kishin konstatuar se shuma prej 35.000 (tridhjetë e pesë </w:t>
      </w:r>
      <w:r w:rsidR="00A5435D" w:rsidRPr="00454DA0">
        <w:rPr>
          <w:rFonts w:eastAsia="Times New Roman"/>
          <w:iCs/>
          <w:sz w:val="24"/>
        </w:rPr>
        <w:t>mijë</w:t>
      </w:r>
      <w:r w:rsidRPr="00454DA0">
        <w:rPr>
          <w:rFonts w:eastAsia="Times New Roman"/>
          <w:iCs/>
          <w:sz w:val="24"/>
        </w:rPr>
        <w:t xml:space="preserve">) euro ishte marrë hua nga ana e parashtruesit të kërkesës dhe personave </w:t>
      </w:r>
      <w:r w:rsidR="00F43616" w:rsidRPr="00454DA0">
        <w:rPr>
          <w:rFonts w:eastAsia="Times New Roman"/>
          <w:bCs/>
          <w:iCs/>
          <w:sz w:val="24"/>
        </w:rPr>
        <w:t>E.M, S.M dhe SH.K.M nga paditësi A.K, gjë që vërtetohet përmes kontratës së lidhur mes tyre dhe dëftesës së dorëzimit të të hollave, dhe se kjo shumë duhet ti kthehet huadhënësit.</w:t>
      </w:r>
    </w:p>
    <w:p w:rsidR="00F43616" w:rsidRPr="00454DA0" w:rsidRDefault="00F43616" w:rsidP="00EC6A1F">
      <w:pPr>
        <w:spacing w:line="240" w:lineRule="auto"/>
        <w:ind w:left="630" w:hanging="634"/>
        <w:rPr>
          <w:rFonts w:eastAsia="Times New Roman"/>
          <w:iCs/>
          <w:sz w:val="24"/>
        </w:rPr>
      </w:pPr>
    </w:p>
    <w:p w:rsidR="004E1044" w:rsidRPr="00454DA0" w:rsidRDefault="004E1044" w:rsidP="005E479D">
      <w:pPr>
        <w:numPr>
          <w:ilvl w:val="0"/>
          <w:numId w:val="14"/>
        </w:numPr>
        <w:spacing w:line="240" w:lineRule="auto"/>
        <w:ind w:left="634" w:hanging="634"/>
        <w:rPr>
          <w:rFonts w:eastAsia="Times New Roman"/>
          <w:iCs/>
          <w:sz w:val="24"/>
        </w:rPr>
      </w:pPr>
      <w:r w:rsidRPr="00454DA0">
        <w:rPr>
          <w:rFonts w:eastAsia="Times New Roman"/>
          <w:sz w:val="24"/>
        </w:rPr>
        <w:t xml:space="preserve">Në këtë aspekt, </w:t>
      </w:r>
      <w:r w:rsidRPr="00454DA0">
        <w:rPr>
          <w:rFonts w:eastAsia="Times New Roman"/>
          <w:bCs/>
          <w:sz w:val="24"/>
        </w:rPr>
        <w:t>Gjykata</w:t>
      </w:r>
      <w:r w:rsidRPr="00454DA0">
        <w:rPr>
          <w:rFonts w:eastAsia="Times New Roman"/>
          <w:sz w:val="24"/>
        </w:rPr>
        <w:t xml:space="preserve"> më tej konsideron se parashtruesi i kërkesës nuk ka dëshmuar se procedurat në Gjykatën Supreme apo në gjykatat e tjera të rregullta kanë </w:t>
      </w:r>
      <w:r w:rsidRPr="00454DA0">
        <w:rPr>
          <w:rFonts w:eastAsia="Times New Roman" w:cs="Arial"/>
          <w:sz w:val="24"/>
        </w:rPr>
        <w:t>qenë</w:t>
      </w:r>
      <w:r w:rsidRPr="00454DA0">
        <w:rPr>
          <w:rFonts w:eastAsia="Times New Roman"/>
          <w:sz w:val="24"/>
        </w:rPr>
        <w:t xml:space="preserve"> </w:t>
      </w:r>
      <w:r w:rsidRPr="00454DA0">
        <w:rPr>
          <w:rFonts w:eastAsia="Times New Roman" w:cs="Arial"/>
          <w:sz w:val="24"/>
        </w:rPr>
        <w:t>të</w:t>
      </w:r>
      <w:r w:rsidRPr="00454DA0">
        <w:rPr>
          <w:rFonts w:eastAsia="Times New Roman"/>
          <w:sz w:val="24"/>
        </w:rPr>
        <w:t xml:space="preserve"> padrejta apo arbitrare, apo që të drejtat dhe liritë themelore të tij të mbrojtura me Kushtetutë janë shkelur si rrjedhojë e interpretimit të gabuar </w:t>
      </w:r>
      <w:r w:rsidRPr="00454DA0">
        <w:rPr>
          <w:rFonts w:eastAsia="Times New Roman"/>
          <w:sz w:val="24"/>
        </w:rPr>
        <w:lastRenderedPageBreak/>
        <w:t xml:space="preserve">të së drejtës procedurale. Gjykata rithekson se interpretimi i ligjit është detyrë e gjykatave të rregullta dhe është çështje e ligjshmërisë. (Shih, rasti KI63/16, parashtrues i kërkesës </w:t>
      </w:r>
      <w:r w:rsidRPr="00454DA0">
        <w:rPr>
          <w:rFonts w:eastAsia="Times New Roman"/>
          <w:i/>
          <w:sz w:val="24"/>
        </w:rPr>
        <w:t>Astrit Pira</w:t>
      </w:r>
      <w:r w:rsidRPr="00454DA0">
        <w:rPr>
          <w:rFonts w:eastAsia="Times New Roman"/>
          <w:sz w:val="24"/>
        </w:rPr>
        <w:t xml:space="preserve">, Aktvendim për papranueshmëri, i 8 gushtit 2016, paragrafi 44 dhe shih, gjithashtu rastin KI150/15; KI161/15; KI162/15; KI14/16; KI19/16; KI60/16 dhe KI64/16, parashtrues të kërkesës </w:t>
      </w:r>
      <w:r w:rsidRPr="00454DA0">
        <w:rPr>
          <w:rFonts w:eastAsia="Times New Roman"/>
          <w:i/>
          <w:sz w:val="24"/>
        </w:rPr>
        <w:t>Arben Gjukaj, Hysni Hoxha, Driton Pruthi, Milazim Lushtaku, Esat Tahiri, Azem Duraku dhe Sami Lushtaku</w:t>
      </w:r>
      <w:r w:rsidRPr="00454DA0">
        <w:rPr>
          <w:rFonts w:eastAsia="Times New Roman"/>
          <w:sz w:val="24"/>
        </w:rPr>
        <w:t>, Aktvendim për papranueshmëri, i 15 nëntorit 2016, paragrafi 62).</w:t>
      </w:r>
    </w:p>
    <w:p w:rsidR="00F43616" w:rsidRPr="00454DA0" w:rsidRDefault="00F43616" w:rsidP="005E479D">
      <w:pPr>
        <w:pStyle w:val="ListParagraph"/>
        <w:spacing w:line="240" w:lineRule="auto"/>
        <w:ind w:left="634" w:hanging="634"/>
        <w:rPr>
          <w:rFonts w:eastAsia="Times New Roman"/>
          <w:iCs/>
          <w:sz w:val="24"/>
        </w:rPr>
      </w:pPr>
    </w:p>
    <w:p w:rsidR="00F43616" w:rsidRPr="00454DA0" w:rsidRDefault="00F43616" w:rsidP="005E479D">
      <w:pPr>
        <w:numPr>
          <w:ilvl w:val="0"/>
          <w:numId w:val="14"/>
        </w:numPr>
        <w:autoSpaceDE w:val="0"/>
        <w:autoSpaceDN w:val="0"/>
        <w:adjustRightInd w:val="0"/>
        <w:spacing w:line="240" w:lineRule="auto"/>
        <w:ind w:left="634" w:hanging="634"/>
        <w:rPr>
          <w:rFonts w:eastAsia="Times New Roman"/>
          <w:b/>
          <w:sz w:val="24"/>
        </w:rPr>
      </w:pPr>
      <w:r w:rsidRPr="00454DA0">
        <w:rPr>
          <w:rFonts w:eastAsia="Times New Roman"/>
          <w:sz w:val="24"/>
        </w:rPr>
        <w:t xml:space="preserve">Gjykata gjithashtu rithekson se </w:t>
      </w:r>
      <w:r w:rsidRPr="00454DA0">
        <w:rPr>
          <w:rFonts w:eastAsia="Times New Roman" w:cs="Arial"/>
          <w:sz w:val="24"/>
        </w:rPr>
        <w:t>neni</w:t>
      </w:r>
      <w:r w:rsidRPr="00454DA0">
        <w:rPr>
          <w:rFonts w:eastAsia="Times New Roman"/>
          <w:sz w:val="24"/>
        </w:rPr>
        <w:t xml:space="preserve"> 31 i Kushtetutës në lidhje me nenin 6 të KEDNJ-së, nuk i garantojnë askujt rezultat të favorshëm në proces gjyqësor dhe as nuk </w:t>
      </w:r>
      <w:r w:rsidRPr="00454DA0">
        <w:rPr>
          <w:rFonts w:eastAsia="Times New Roman" w:cs="Arial"/>
          <w:sz w:val="24"/>
        </w:rPr>
        <w:t>përcaktojnë</w:t>
      </w:r>
      <w:r w:rsidRPr="00454DA0">
        <w:rPr>
          <w:rFonts w:eastAsia="Times New Roman"/>
          <w:sz w:val="24"/>
        </w:rPr>
        <w:t xml:space="preserve"> që Gjykata ta vë në diskutim zbatimin e të drejtës materiale nga gjykatat e rregullta të një kontesti civil, ku kryesisht njëra prej palëve fiton dhe tjetra humb. (Shih rastet e Gjykatës KI118/17 parashtrues </w:t>
      </w:r>
      <w:r w:rsidRPr="00454DA0">
        <w:rPr>
          <w:rFonts w:eastAsia="Times New Roman"/>
          <w:i/>
          <w:sz w:val="24"/>
        </w:rPr>
        <w:t xml:space="preserve">Şani Kervan dhe të tjerët, </w:t>
      </w:r>
      <w:r w:rsidRPr="00454DA0">
        <w:rPr>
          <w:rFonts w:eastAsia="Times New Roman"/>
          <w:sz w:val="24"/>
        </w:rPr>
        <w:t>Aktvendim për papranueshmëri i 17 janarit 2018, paragrafi</w:t>
      </w:r>
      <w:r w:rsidRPr="00454DA0">
        <w:rPr>
          <w:rFonts w:eastAsia="Times New Roman"/>
          <w:i/>
          <w:sz w:val="24"/>
        </w:rPr>
        <w:t xml:space="preserve"> </w:t>
      </w:r>
      <w:r w:rsidR="00E135B1">
        <w:rPr>
          <w:rFonts w:eastAsia="Times New Roman"/>
          <w:sz w:val="24"/>
        </w:rPr>
        <w:t>36</w:t>
      </w:r>
      <w:r w:rsidRPr="00454DA0">
        <w:rPr>
          <w:rFonts w:eastAsia="Times New Roman"/>
          <w:sz w:val="24"/>
        </w:rPr>
        <w:t>; dhe KI99/19, parashtrues</w:t>
      </w:r>
      <w:r w:rsidRPr="00454DA0">
        <w:rPr>
          <w:rFonts w:eastAsia="Batang"/>
          <w:b/>
          <w:sz w:val="24"/>
        </w:rPr>
        <w:t xml:space="preserve"> </w:t>
      </w:r>
      <w:r w:rsidRPr="00454DA0">
        <w:rPr>
          <w:rFonts w:eastAsia="Times New Roman"/>
          <w:i/>
          <w:sz w:val="24"/>
        </w:rPr>
        <w:t>Persa Raičević</w:t>
      </w:r>
      <w:r w:rsidRPr="00454DA0">
        <w:rPr>
          <w:rFonts w:eastAsia="Times New Roman"/>
          <w:b/>
          <w:sz w:val="24"/>
        </w:rPr>
        <w:t xml:space="preserve">, </w:t>
      </w:r>
      <w:r w:rsidRPr="00454DA0">
        <w:rPr>
          <w:rFonts w:eastAsia="Times New Roman"/>
          <w:sz w:val="24"/>
        </w:rPr>
        <w:t>Aktvendim për Papranueshmëri i 19 dhjetorit 2019, paragrafi 48).</w:t>
      </w:r>
    </w:p>
    <w:p w:rsidR="004E1044" w:rsidRPr="00454DA0" w:rsidRDefault="004E1044" w:rsidP="005E479D">
      <w:pPr>
        <w:spacing w:line="240" w:lineRule="auto"/>
        <w:ind w:left="634" w:hanging="634"/>
        <w:rPr>
          <w:rFonts w:eastAsia="Times New Roman"/>
          <w:sz w:val="24"/>
        </w:rPr>
      </w:pPr>
    </w:p>
    <w:p w:rsidR="004E1044" w:rsidRPr="00454DA0" w:rsidRDefault="004E1044" w:rsidP="005E479D">
      <w:pPr>
        <w:numPr>
          <w:ilvl w:val="0"/>
          <w:numId w:val="14"/>
        </w:numPr>
        <w:spacing w:line="240" w:lineRule="auto"/>
        <w:ind w:left="634" w:hanging="634"/>
        <w:rPr>
          <w:rFonts w:eastAsia="Times New Roman"/>
          <w:iCs/>
          <w:sz w:val="24"/>
        </w:rPr>
      </w:pPr>
      <w:r w:rsidRPr="00454DA0">
        <w:rPr>
          <w:rFonts w:eastAsia="Times New Roman"/>
          <w:sz w:val="24"/>
        </w:rPr>
        <w:t xml:space="preserve">Në linjë me praktikën e saj të konsoliduar gjyqësore, Gjykata më tej thekson se pakënaqësia e parashtruesit të kërkesës me rezultatin e procedurës nga gjykatat e rregullta, përkatësisht me vendimet e Gjykatës Supreme, të Apelit dhe atë Themelore, nuk mund vetvetiu të ngrejë pretendim të argumentueshëm për shkeljen e të drejtës për gjykim të drejtë dhe të paanshëm. (Shih, </w:t>
      </w:r>
      <w:r w:rsidRPr="00454DA0">
        <w:rPr>
          <w:rFonts w:eastAsia="Times New Roman"/>
          <w:i/>
          <w:sz w:val="24"/>
        </w:rPr>
        <w:t>mutatis mutandis,</w:t>
      </w:r>
      <w:r w:rsidRPr="00454DA0">
        <w:rPr>
          <w:rFonts w:eastAsia="Times New Roman"/>
          <w:sz w:val="24"/>
        </w:rPr>
        <w:t xml:space="preserve"> rastin </w:t>
      </w:r>
      <w:r w:rsidRPr="00454DA0">
        <w:rPr>
          <w:rFonts w:eastAsia="Times New Roman"/>
          <w:i/>
          <w:sz w:val="24"/>
        </w:rPr>
        <w:t>Mezotur - Tiszazugi Tarsulat kundër Hungarisë</w:t>
      </w:r>
      <w:r w:rsidRPr="00454DA0">
        <w:rPr>
          <w:rFonts w:eastAsia="Times New Roman"/>
          <w:sz w:val="24"/>
        </w:rPr>
        <w:t xml:space="preserve">, GJEDNJ, Aktgjykimi i 26 korrikut 2005, paragrafi 21,; </w:t>
      </w:r>
      <w:r w:rsidRPr="00454DA0">
        <w:rPr>
          <w:rFonts w:eastAsia="Calibri"/>
          <w:sz w:val="24"/>
        </w:rPr>
        <w:t xml:space="preserve">dhe shih, gjithashtu rastin </w:t>
      </w:r>
      <w:r w:rsidRPr="00454DA0">
        <w:rPr>
          <w:rFonts w:eastAsia="Times New Roman"/>
          <w:sz w:val="24"/>
        </w:rPr>
        <w:t xml:space="preserve">KI56/17, parashtruese e kërkesës </w:t>
      </w:r>
      <w:r w:rsidRPr="00454DA0">
        <w:rPr>
          <w:rFonts w:eastAsia="Times New Roman"/>
          <w:i/>
          <w:sz w:val="24"/>
        </w:rPr>
        <w:t>Lumturije Murtezaj</w:t>
      </w:r>
      <w:r w:rsidRPr="00454DA0">
        <w:rPr>
          <w:rFonts w:eastAsia="Times New Roman"/>
          <w:sz w:val="24"/>
        </w:rPr>
        <w:t>, Aktvendim për papranueshmëri, i 18 dhjetorit 2017, paragrafi 42).</w:t>
      </w:r>
    </w:p>
    <w:p w:rsidR="00574050" w:rsidRPr="00454DA0" w:rsidRDefault="00574050" w:rsidP="005E479D">
      <w:pPr>
        <w:spacing w:line="240" w:lineRule="auto"/>
        <w:ind w:left="634" w:hanging="634"/>
        <w:rPr>
          <w:rFonts w:eastAsia="Times New Roman"/>
          <w:iCs/>
          <w:sz w:val="24"/>
        </w:rPr>
      </w:pPr>
    </w:p>
    <w:p w:rsidR="004E1044" w:rsidRPr="00454DA0" w:rsidRDefault="00574050" w:rsidP="005E479D">
      <w:pPr>
        <w:numPr>
          <w:ilvl w:val="0"/>
          <w:numId w:val="14"/>
        </w:numPr>
        <w:spacing w:line="240" w:lineRule="auto"/>
        <w:ind w:left="634" w:hanging="634"/>
        <w:rPr>
          <w:rFonts w:eastAsia="Times New Roman"/>
          <w:iCs/>
          <w:sz w:val="24"/>
        </w:rPr>
      </w:pPr>
      <w:r w:rsidRPr="00454DA0">
        <w:rPr>
          <w:rFonts w:eastAsia="Times New Roman"/>
          <w:bCs/>
          <w:sz w:val="24"/>
        </w:rPr>
        <w:t>Përkitazi me pretendimet për shkelje të n</w:t>
      </w:r>
      <w:r w:rsidR="00A5435D" w:rsidRPr="00454DA0">
        <w:rPr>
          <w:rFonts w:eastAsia="Times New Roman"/>
          <w:bCs/>
          <w:sz w:val="24"/>
        </w:rPr>
        <w:t>eneve 32 dhe</w:t>
      </w:r>
      <w:r w:rsidRPr="00454DA0">
        <w:rPr>
          <w:rFonts w:eastAsia="Times New Roman"/>
          <w:bCs/>
          <w:sz w:val="24"/>
        </w:rPr>
        <w:t xml:space="preserve"> 102 të Kushtetutës</w:t>
      </w:r>
      <w:r w:rsidR="00A5435D" w:rsidRPr="00454DA0">
        <w:rPr>
          <w:rFonts w:eastAsia="Times New Roman"/>
          <w:bCs/>
          <w:sz w:val="24"/>
        </w:rPr>
        <w:t>, si</w:t>
      </w:r>
      <w:r w:rsidRPr="00454DA0">
        <w:rPr>
          <w:rFonts w:eastAsia="Times New Roman"/>
          <w:bCs/>
          <w:sz w:val="24"/>
        </w:rPr>
        <w:t xml:space="preserve"> dhe</w:t>
      </w:r>
      <w:r w:rsidR="00DF6DEE">
        <w:rPr>
          <w:rFonts w:eastAsia="Times New Roman"/>
          <w:bCs/>
          <w:sz w:val="24"/>
        </w:rPr>
        <w:t xml:space="preserve"> të</w:t>
      </w:r>
      <w:r w:rsidR="00454DA0">
        <w:rPr>
          <w:rFonts w:eastAsia="Times New Roman"/>
          <w:bCs/>
          <w:sz w:val="24"/>
        </w:rPr>
        <w:t xml:space="preserve"> nenit</w:t>
      </w:r>
      <w:r w:rsidRPr="00454DA0">
        <w:rPr>
          <w:rFonts w:eastAsia="Times New Roman"/>
          <w:bCs/>
          <w:sz w:val="24"/>
        </w:rPr>
        <w:t xml:space="preserve"> 1</w:t>
      </w:r>
      <w:r w:rsidR="00454DA0">
        <w:rPr>
          <w:rFonts w:eastAsia="Times New Roman"/>
          <w:bCs/>
          <w:sz w:val="24"/>
        </w:rPr>
        <w:t xml:space="preserve"> të Protokollit I dhe nenit </w:t>
      </w:r>
      <w:r w:rsidRPr="00454DA0">
        <w:rPr>
          <w:rFonts w:eastAsia="Times New Roman"/>
          <w:bCs/>
          <w:sz w:val="24"/>
        </w:rPr>
        <w:t xml:space="preserve">13 të KEDNJ-së, Gjykata thekson se vetëm përmendja e neneve të Kushtetutës dhe KEDNJ-së, nuk është e mjaftueshme për të ndërtuar një pretendim për shkelje kushtetuese. Kur pretendohen shkelje të tilla të Kushtetutës dhe KEDNJ-së, parashtruesit e kërkesës duhet të sigurojnë pretendime të arsyetuara dhe argumente bindëse. (Shih, </w:t>
      </w:r>
      <w:r w:rsidRPr="00454DA0">
        <w:rPr>
          <w:rFonts w:eastAsia="Times New Roman"/>
          <w:bCs/>
          <w:iCs/>
          <w:sz w:val="24"/>
        </w:rPr>
        <w:t>në ketë kontekst,</w:t>
      </w:r>
      <w:r w:rsidRPr="00454DA0">
        <w:rPr>
          <w:rFonts w:eastAsia="Times New Roman"/>
          <w:bCs/>
          <w:i/>
          <w:iCs/>
          <w:sz w:val="24"/>
        </w:rPr>
        <w:t xml:space="preserve"> </w:t>
      </w:r>
      <w:r w:rsidRPr="00454DA0">
        <w:rPr>
          <w:rFonts w:eastAsia="Times New Roman"/>
          <w:bCs/>
          <w:sz w:val="24"/>
        </w:rPr>
        <w:t xml:space="preserve">rastin e Gjykatës KI136/14, </w:t>
      </w:r>
      <w:r w:rsidRPr="00454DA0">
        <w:rPr>
          <w:rFonts w:eastAsia="Times New Roman"/>
          <w:bCs/>
          <w:i/>
          <w:iCs/>
          <w:sz w:val="24"/>
        </w:rPr>
        <w:t>Abdullah Bajqinca</w:t>
      </w:r>
      <w:r w:rsidRPr="00454DA0">
        <w:rPr>
          <w:rFonts w:eastAsia="Times New Roman"/>
          <w:bCs/>
          <w:sz w:val="24"/>
        </w:rPr>
        <w:t>, Aktvendim për papranueshmëri i 10 shkurtit 2015, paragrafi 33).</w:t>
      </w:r>
    </w:p>
    <w:p w:rsidR="00574050" w:rsidRPr="00454DA0" w:rsidRDefault="00574050" w:rsidP="005E479D">
      <w:pPr>
        <w:spacing w:line="240" w:lineRule="auto"/>
        <w:ind w:left="634" w:hanging="634"/>
        <w:rPr>
          <w:rFonts w:eastAsia="Times New Roman"/>
          <w:iCs/>
          <w:sz w:val="24"/>
        </w:rPr>
      </w:pPr>
    </w:p>
    <w:p w:rsidR="004E1044" w:rsidRPr="00454DA0" w:rsidRDefault="004E1044" w:rsidP="005E479D">
      <w:pPr>
        <w:numPr>
          <w:ilvl w:val="0"/>
          <w:numId w:val="14"/>
        </w:numPr>
        <w:spacing w:line="240" w:lineRule="auto"/>
        <w:ind w:left="634" w:hanging="634"/>
        <w:rPr>
          <w:rFonts w:eastAsia="Times New Roman"/>
          <w:iCs/>
          <w:sz w:val="24"/>
        </w:rPr>
      </w:pPr>
      <w:r w:rsidRPr="00454DA0">
        <w:rPr>
          <w:rFonts w:eastAsia="Times New Roman"/>
          <w:sz w:val="24"/>
        </w:rPr>
        <w:t xml:space="preserve">Si rezultat, Gjykata konsideron se parashtruesi i kërkesës nuk i ka mbështetur </w:t>
      </w:r>
      <w:r w:rsidRPr="00454DA0">
        <w:rPr>
          <w:rFonts w:eastAsia="Times New Roman" w:cs="Arial"/>
          <w:sz w:val="24"/>
        </w:rPr>
        <w:t>pretendimet</w:t>
      </w:r>
      <w:r w:rsidRPr="00454DA0">
        <w:rPr>
          <w:rFonts w:eastAsia="Times New Roman"/>
          <w:sz w:val="24"/>
        </w:rPr>
        <w:t xml:space="preserve"> se procedurat përkatëse në ndonjë mënyrë ishin të padrejta apo arbitrare dhe që me vendimin e kontestuar janë shkelur të drejtat dhe liritë e garantuara me Kushtetutë dhe me KEDNJ. </w:t>
      </w:r>
    </w:p>
    <w:p w:rsidR="004E1044" w:rsidRPr="00454DA0" w:rsidRDefault="004E1044" w:rsidP="005E479D">
      <w:pPr>
        <w:tabs>
          <w:tab w:val="left" w:pos="567"/>
        </w:tabs>
        <w:spacing w:line="240" w:lineRule="auto"/>
        <w:ind w:left="634" w:hanging="634"/>
        <w:rPr>
          <w:rFonts w:eastAsia="Times New Roman"/>
          <w:iCs/>
          <w:sz w:val="24"/>
        </w:rPr>
      </w:pPr>
    </w:p>
    <w:p w:rsidR="004E1044" w:rsidRPr="00454DA0" w:rsidRDefault="004E1044" w:rsidP="005E479D">
      <w:pPr>
        <w:numPr>
          <w:ilvl w:val="0"/>
          <w:numId w:val="14"/>
        </w:numPr>
        <w:spacing w:line="240" w:lineRule="auto"/>
        <w:ind w:left="634" w:hanging="634"/>
        <w:rPr>
          <w:rFonts w:eastAsia="Times New Roman"/>
          <w:iCs/>
          <w:sz w:val="24"/>
        </w:rPr>
      </w:pPr>
      <w:r w:rsidRPr="00454DA0">
        <w:rPr>
          <w:rFonts w:eastAsia="Times New Roman"/>
          <w:sz w:val="24"/>
        </w:rPr>
        <w:t>Si përfundim</w:t>
      </w:r>
      <w:r w:rsidRPr="00454DA0">
        <w:rPr>
          <w:rFonts w:eastAsia="Times New Roman" w:cs="Arial"/>
          <w:sz w:val="24"/>
        </w:rPr>
        <w:t xml:space="preserve">, </w:t>
      </w:r>
      <w:r w:rsidRPr="00454DA0">
        <w:rPr>
          <w:rFonts w:eastAsia="Times New Roman"/>
          <w:sz w:val="24"/>
        </w:rPr>
        <w:t xml:space="preserve">në pajtim rregullin 39 (2) të Rregullores së </w:t>
      </w:r>
      <w:r w:rsidRPr="00454DA0">
        <w:rPr>
          <w:rFonts w:eastAsia="Times New Roman" w:cs="Arial"/>
          <w:sz w:val="24"/>
        </w:rPr>
        <w:t>punës</w:t>
      </w:r>
      <w:r w:rsidRPr="00454DA0">
        <w:rPr>
          <w:rFonts w:eastAsia="Times New Roman"/>
          <w:sz w:val="24"/>
        </w:rPr>
        <w:t xml:space="preserve"> kërkesa është qartazi e pabazuar në baza kushtetuese dhe, rrjedhimisht, e papranueshme.</w:t>
      </w:r>
    </w:p>
    <w:p w:rsidR="004E1044" w:rsidRPr="00454DA0" w:rsidRDefault="004E1044" w:rsidP="00EC6A1F">
      <w:pPr>
        <w:tabs>
          <w:tab w:val="left" w:pos="540"/>
        </w:tabs>
        <w:spacing w:line="240" w:lineRule="auto"/>
        <w:rPr>
          <w:rFonts w:eastAsia="Times New Roman" w:cs="Arial"/>
          <w:sz w:val="24"/>
        </w:rPr>
      </w:pPr>
    </w:p>
    <w:p w:rsidR="004E1044" w:rsidRPr="00454DA0" w:rsidRDefault="004E1044" w:rsidP="00EC6A1F">
      <w:pPr>
        <w:tabs>
          <w:tab w:val="left" w:pos="540"/>
        </w:tabs>
        <w:spacing w:line="240" w:lineRule="auto"/>
        <w:jc w:val="left"/>
        <w:rPr>
          <w:rFonts w:eastAsia="Times New Roman"/>
          <w:sz w:val="24"/>
        </w:rPr>
      </w:pPr>
    </w:p>
    <w:p w:rsidR="00A5435D" w:rsidRPr="00454DA0" w:rsidRDefault="00A5435D" w:rsidP="00274B75">
      <w:pPr>
        <w:spacing w:line="240" w:lineRule="auto"/>
        <w:rPr>
          <w:rFonts w:eastAsia="Times New Roman" w:cs="TimesNewRomanPS-BoldMT"/>
          <w:b/>
          <w:bCs/>
          <w:sz w:val="24"/>
        </w:rPr>
      </w:pPr>
    </w:p>
    <w:p w:rsidR="004E1044" w:rsidRPr="00454DA0" w:rsidRDefault="004E1044" w:rsidP="005E479D">
      <w:pPr>
        <w:spacing w:line="240" w:lineRule="auto"/>
        <w:jc w:val="center"/>
        <w:rPr>
          <w:rFonts w:eastAsia="Times New Roman" w:cs="TimesNewRomanPS-BoldMT"/>
          <w:b/>
          <w:bCs/>
          <w:sz w:val="24"/>
        </w:rPr>
      </w:pPr>
      <w:r w:rsidRPr="00454DA0">
        <w:rPr>
          <w:rFonts w:eastAsia="Times New Roman" w:cs="TimesNewRomanPS-BoldMT"/>
          <w:b/>
          <w:bCs/>
          <w:sz w:val="24"/>
        </w:rPr>
        <w:t>PËR KËTO ARSYE</w:t>
      </w:r>
    </w:p>
    <w:p w:rsidR="004E1044" w:rsidRPr="00454DA0" w:rsidRDefault="004E1044" w:rsidP="00EC6A1F">
      <w:pPr>
        <w:spacing w:line="240" w:lineRule="auto"/>
        <w:rPr>
          <w:rFonts w:eastAsia="Times New Roman" w:cs="TimesNewRomanPS-BoldMT"/>
          <w:b/>
          <w:bCs/>
          <w:sz w:val="24"/>
        </w:rPr>
      </w:pPr>
    </w:p>
    <w:p w:rsidR="004E1044" w:rsidRPr="00454DA0" w:rsidRDefault="004E1044" w:rsidP="00EC6A1F">
      <w:pPr>
        <w:spacing w:line="240" w:lineRule="auto"/>
        <w:rPr>
          <w:rFonts w:eastAsia="Times New Roman" w:cs="Arial"/>
          <w:sz w:val="24"/>
        </w:rPr>
      </w:pPr>
      <w:r w:rsidRPr="00454DA0">
        <w:rPr>
          <w:rFonts w:eastAsia="Times New Roman"/>
          <w:sz w:val="24"/>
        </w:rPr>
        <w:t xml:space="preserve">Gjykata Kushtetuese e Republikës së Kosovës, në pajtim me nenin 113.1 dhe 113.7 të Kushtetutës, </w:t>
      </w:r>
      <w:r w:rsidRPr="00454DA0">
        <w:rPr>
          <w:rFonts w:eastAsia="Times New Roman" w:cs="Arial"/>
          <w:sz w:val="24"/>
        </w:rPr>
        <w:t xml:space="preserve">dhe rregullin 39 (2) të Rregullores së punës, më </w:t>
      </w:r>
      <w:r w:rsidR="005E479D">
        <w:rPr>
          <w:rFonts w:eastAsia="Times New Roman" w:cs="Arial"/>
          <w:sz w:val="24"/>
        </w:rPr>
        <w:t>22 korrik 2020</w:t>
      </w:r>
      <w:r w:rsidRPr="00454DA0">
        <w:rPr>
          <w:rFonts w:eastAsia="Times New Roman" w:cs="Arial"/>
          <w:sz w:val="24"/>
        </w:rPr>
        <w:t>, njëzëri</w:t>
      </w:r>
    </w:p>
    <w:p w:rsidR="004E1044" w:rsidRPr="00454DA0" w:rsidRDefault="004E1044" w:rsidP="00EC6A1F">
      <w:pPr>
        <w:spacing w:line="240" w:lineRule="auto"/>
        <w:rPr>
          <w:rFonts w:eastAsia="Times New Roman" w:cs="Arial"/>
          <w:sz w:val="24"/>
        </w:rPr>
      </w:pPr>
    </w:p>
    <w:p w:rsidR="004E1044" w:rsidRPr="00454DA0" w:rsidRDefault="004E1044" w:rsidP="00EC6A1F">
      <w:pPr>
        <w:spacing w:line="240" w:lineRule="auto"/>
        <w:jc w:val="center"/>
        <w:rPr>
          <w:rFonts w:eastAsia="Times New Roman"/>
          <w:b/>
          <w:sz w:val="24"/>
        </w:rPr>
      </w:pPr>
      <w:r w:rsidRPr="00454DA0">
        <w:rPr>
          <w:rFonts w:eastAsia="Times New Roman"/>
          <w:sz w:val="24"/>
        </w:rPr>
        <w:t xml:space="preserve"> </w:t>
      </w:r>
      <w:r w:rsidRPr="00454DA0">
        <w:rPr>
          <w:rFonts w:eastAsia="Times New Roman"/>
          <w:b/>
          <w:sz w:val="24"/>
        </w:rPr>
        <w:t>VENDOS</w:t>
      </w:r>
    </w:p>
    <w:p w:rsidR="004E1044" w:rsidRPr="00454DA0" w:rsidRDefault="004E1044" w:rsidP="00EC6A1F">
      <w:pPr>
        <w:spacing w:line="240" w:lineRule="auto"/>
        <w:ind w:left="720"/>
        <w:rPr>
          <w:rFonts w:eastAsia="Times New Roman"/>
          <w:sz w:val="24"/>
        </w:rPr>
      </w:pPr>
    </w:p>
    <w:p w:rsidR="004E1044" w:rsidRPr="00454DA0" w:rsidRDefault="004E1044" w:rsidP="00EC6A1F">
      <w:pPr>
        <w:numPr>
          <w:ilvl w:val="0"/>
          <w:numId w:val="24"/>
        </w:numPr>
        <w:spacing w:line="240" w:lineRule="auto"/>
        <w:ind w:left="1440" w:hanging="630"/>
        <w:rPr>
          <w:rFonts w:eastAsia="Times New Roman"/>
          <w:sz w:val="24"/>
        </w:rPr>
      </w:pPr>
      <w:r w:rsidRPr="00454DA0">
        <w:rPr>
          <w:rFonts w:eastAsia="Times New Roman"/>
          <w:sz w:val="24"/>
        </w:rPr>
        <w:t>TË DEKLAROJË kërkesën të papranueshme;</w:t>
      </w:r>
    </w:p>
    <w:p w:rsidR="004E1044" w:rsidRPr="00454DA0" w:rsidRDefault="004E1044" w:rsidP="00EC6A1F">
      <w:pPr>
        <w:spacing w:line="240" w:lineRule="auto"/>
        <w:rPr>
          <w:rFonts w:eastAsia="Times New Roman"/>
          <w:sz w:val="24"/>
        </w:rPr>
      </w:pPr>
    </w:p>
    <w:p w:rsidR="004E1044" w:rsidRPr="00454DA0" w:rsidRDefault="004E1044" w:rsidP="00EC6A1F">
      <w:pPr>
        <w:numPr>
          <w:ilvl w:val="0"/>
          <w:numId w:val="24"/>
        </w:numPr>
        <w:spacing w:line="240" w:lineRule="auto"/>
        <w:ind w:left="1440" w:hanging="630"/>
        <w:rPr>
          <w:rFonts w:eastAsia="Times New Roman"/>
          <w:sz w:val="24"/>
        </w:rPr>
      </w:pPr>
      <w:r w:rsidRPr="00454DA0">
        <w:rPr>
          <w:rFonts w:eastAsia="Times New Roman"/>
          <w:sz w:val="24"/>
        </w:rPr>
        <w:t>T'UA KUMTOJË këtë vendim palëve;</w:t>
      </w:r>
    </w:p>
    <w:p w:rsidR="004E1044" w:rsidRPr="00454DA0" w:rsidRDefault="004E1044" w:rsidP="00EC6A1F">
      <w:pPr>
        <w:spacing w:line="240" w:lineRule="auto"/>
        <w:ind w:left="1440" w:hanging="630"/>
        <w:rPr>
          <w:rFonts w:eastAsia="Times New Roman"/>
          <w:sz w:val="24"/>
        </w:rPr>
      </w:pPr>
    </w:p>
    <w:p w:rsidR="004E1044" w:rsidRPr="00454DA0" w:rsidRDefault="004E1044" w:rsidP="00EC6A1F">
      <w:pPr>
        <w:numPr>
          <w:ilvl w:val="0"/>
          <w:numId w:val="24"/>
        </w:numPr>
        <w:spacing w:line="240" w:lineRule="auto"/>
        <w:ind w:left="1440" w:hanging="630"/>
        <w:rPr>
          <w:rFonts w:eastAsia="Times New Roman"/>
          <w:sz w:val="24"/>
        </w:rPr>
      </w:pPr>
      <w:r w:rsidRPr="00454DA0">
        <w:rPr>
          <w:rFonts w:eastAsia="Times New Roman"/>
          <w:sz w:val="24"/>
        </w:rPr>
        <w:t>TË PUBLIKOJË këtë vendim në Gazetën Zyrtare, në pajtim me nenin</w:t>
      </w:r>
    </w:p>
    <w:p w:rsidR="004E1044" w:rsidRPr="00454DA0" w:rsidRDefault="004E1044" w:rsidP="00EC6A1F">
      <w:pPr>
        <w:spacing w:line="240" w:lineRule="auto"/>
        <w:ind w:left="1440"/>
        <w:rPr>
          <w:rFonts w:eastAsia="Times New Roman"/>
          <w:sz w:val="24"/>
        </w:rPr>
      </w:pPr>
      <w:r w:rsidRPr="00454DA0">
        <w:rPr>
          <w:rFonts w:eastAsia="Times New Roman"/>
          <w:sz w:val="24"/>
        </w:rPr>
        <w:t>20.4 të Ligjit; dhe</w:t>
      </w:r>
    </w:p>
    <w:p w:rsidR="004E1044" w:rsidRPr="00454DA0" w:rsidRDefault="004E1044" w:rsidP="00EC6A1F">
      <w:pPr>
        <w:spacing w:line="240" w:lineRule="auto"/>
        <w:ind w:left="1440" w:hanging="630"/>
        <w:rPr>
          <w:rFonts w:eastAsia="Times New Roman"/>
          <w:sz w:val="24"/>
        </w:rPr>
      </w:pPr>
    </w:p>
    <w:p w:rsidR="004E1044" w:rsidRPr="00454DA0" w:rsidRDefault="004E1044" w:rsidP="00EC6A1F">
      <w:pPr>
        <w:numPr>
          <w:ilvl w:val="0"/>
          <w:numId w:val="24"/>
        </w:numPr>
        <w:spacing w:line="240" w:lineRule="auto"/>
        <w:ind w:left="1440" w:hanging="630"/>
        <w:rPr>
          <w:rFonts w:eastAsia="Times New Roman"/>
          <w:sz w:val="24"/>
        </w:rPr>
      </w:pPr>
      <w:r w:rsidRPr="00454DA0">
        <w:rPr>
          <w:rFonts w:eastAsia="Times New Roman"/>
          <w:sz w:val="24"/>
        </w:rPr>
        <w:t>Ky vendim hyn në fuqi menjëherë.</w:t>
      </w:r>
    </w:p>
    <w:p w:rsidR="004E1044" w:rsidRPr="00454DA0" w:rsidRDefault="004E1044" w:rsidP="00EC6A1F">
      <w:pPr>
        <w:spacing w:line="240" w:lineRule="auto"/>
        <w:ind w:left="720"/>
        <w:jc w:val="center"/>
        <w:rPr>
          <w:rFonts w:eastAsia="Times New Roman"/>
          <w:sz w:val="24"/>
        </w:rPr>
      </w:pPr>
    </w:p>
    <w:p w:rsidR="004E1044" w:rsidRPr="00454DA0" w:rsidRDefault="004E1044" w:rsidP="00EC6A1F">
      <w:pPr>
        <w:spacing w:line="240" w:lineRule="auto"/>
        <w:rPr>
          <w:rFonts w:eastAsia="Times New Roman"/>
          <w:b/>
          <w:sz w:val="24"/>
        </w:rPr>
      </w:pPr>
    </w:p>
    <w:p w:rsidR="004E1044" w:rsidRPr="00454DA0" w:rsidRDefault="004E1044" w:rsidP="00EC6A1F">
      <w:pPr>
        <w:spacing w:line="240" w:lineRule="auto"/>
        <w:rPr>
          <w:rFonts w:eastAsia="Times New Roman"/>
          <w:b/>
          <w:sz w:val="24"/>
        </w:rPr>
      </w:pPr>
    </w:p>
    <w:p w:rsidR="004E1044" w:rsidRPr="00454DA0" w:rsidRDefault="004E1044" w:rsidP="00EC6A1F">
      <w:pPr>
        <w:spacing w:line="240" w:lineRule="auto"/>
        <w:rPr>
          <w:rFonts w:eastAsia="Times New Roman"/>
          <w:b/>
          <w:sz w:val="24"/>
        </w:rPr>
      </w:pPr>
    </w:p>
    <w:p w:rsidR="004E1044" w:rsidRPr="00454DA0" w:rsidRDefault="004E1044" w:rsidP="00EC6A1F">
      <w:pPr>
        <w:spacing w:line="240" w:lineRule="auto"/>
        <w:rPr>
          <w:rFonts w:eastAsia="Times New Roman"/>
          <w:b/>
          <w:sz w:val="24"/>
        </w:rPr>
      </w:pPr>
    </w:p>
    <w:p w:rsidR="004E1044" w:rsidRPr="00454DA0" w:rsidRDefault="004E1044" w:rsidP="00EC6A1F">
      <w:pPr>
        <w:spacing w:line="240" w:lineRule="auto"/>
        <w:rPr>
          <w:rFonts w:eastAsia="Times New Roman"/>
          <w:b/>
          <w:sz w:val="24"/>
        </w:rPr>
      </w:pPr>
      <w:r w:rsidRPr="00454DA0">
        <w:rPr>
          <w:rFonts w:eastAsia="Times New Roman"/>
          <w:b/>
          <w:sz w:val="24"/>
        </w:rPr>
        <w:t>Gjyqtari raportues</w:t>
      </w:r>
      <w:r w:rsidRPr="00454DA0">
        <w:rPr>
          <w:rFonts w:eastAsia="Times New Roman"/>
          <w:b/>
          <w:sz w:val="24"/>
        </w:rPr>
        <w:tab/>
      </w:r>
      <w:r w:rsidRPr="00454DA0">
        <w:rPr>
          <w:rFonts w:eastAsia="Times New Roman"/>
          <w:b/>
          <w:sz w:val="24"/>
        </w:rPr>
        <w:tab/>
      </w:r>
      <w:r w:rsidRPr="00454DA0">
        <w:rPr>
          <w:rFonts w:eastAsia="Times New Roman"/>
          <w:b/>
          <w:sz w:val="24"/>
        </w:rPr>
        <w:tab/>
        <w:t>Kryetarja e Gjykatës Kushtetuese</w:t>
      </w:r>
    </w:p>
    <w:p w:rsidR="004E1044" w:rsidRPr="00454DA0" w:rsidRDefault="004E1044" w:rsidP="00EC6A1F">
      <w:pPr>
        <w:spacing w:line="240" w:lineRule="auto"/>
        <w:rPr>
          <w:rFonts w:eastAsia="Times New Roman"/>
          <w:sz w:val="24"/>
        </w:rPr>
      </w:pPr>
    </w:p>
    <w:p w:rsidR="004E1044" w:rsidRPr="00454DA0" w:rsidRDefault="004E1044" w:rsidP="00EC6A1F">
      <w:pPr>
        <w:spacing w:line="240" w:lineRule="auto"/>
        <w:rPr>
          <w:rFonts w:eastAsia="Times New Roman"/>
          <w:sz w:val="24"/>
        </w:rPr>
      </w:pPr>
    </w:p>
    <w:p w:rsidR="004E1044" w:rsidRPr="00454DA0" w:rsidRDefault="004E1044" w:rsidP="00EC6A1F">
      <w:pPr>
        <w:spacing w:line="240" w:lineRule="auto"/>
        <w:rPr>
          <w:rFonts w:eastAsia="Times New Roman"/>
          <w:sz w:val="24"/>
        </w:rPr>
      </w:pPr>
    </w:p>
    <w:p w:rsidR="004E1044" w:rsidRPr="00454DA0" w:rsidRDefault="004E1044" w:rsidP="00EC6A1F">
      <w:pPr>
        <w:spacing w:line="240" w:lineRule="auto"/>
        <w:rPr>
          <w:rFonts w:eastAsia="Times New Roman"/>
          <w:sz w:val="24"/>
        </w:rPr>
      </w:pPr>
    </w:p>
    <w:p w:rsidR="004E1044" w:rsidRPr="00454DA0" w:rsidRDefault="00574050" w:rsidP="00EC6A1F">
      <w:pPr>
        <w:spacing w:line="240" w:lineRule="auto"/>
        <w:rPr>
          <w:rFonts w:eastAsia="Times New Roman"/>
          <w:sz w:val="24"/>
        </w:rPr>
      </w:pPr>
      <w:r w:rsidRPr="00454DA0">
        <w:rPr>
          <w:rFonts w:eastAsia="Times New Roman"/>
          <w:sz w:val="24"/>
        </w:rPr>
        <w:t>Radomir Laban</w:t>
      </w:r>
      <w:r w:rsidR="004E1044" w:rsidRPr="00454DA0">
        <w:rPr>
          <w:rFonts w:eastAsia="Times New Roman"/>
          <w:sz w:val="24"/>
        </w:rPr>
        <w:t xml:space="preserve"> </w:t>
      </w:r>
      <w:r w:rsidR="004E1044" w:rsidRPr="00454DA0">
        <w:rPr>
          <w:rFonts w:eastAsia="Times New Roman"/>
          <w:sz w:val="24"/>
        </w:rPr>
        <w:tab/>
      </w:r>
      <w:r w:rsidR="004E1044" w:rsidRPr="00454DA0">
        <w:rPr>
          <w:rFonts w:eastAsia="Times New Roman"/>
          <w:sz w:val="24"/>
        </w:rPr>
        <w:tab/>
      </w:r>
      <w:r w:rsidR="004E1044" w:rsidRPr="00454DA0">
        <w:rPr>
          <w:rFonts w:eastAsia="Times New Roman"/>
          <w:sz w:val="24"/>
        </w:rPr>
        <w:tab/>
      </w:r>
      <w:r w:rsidR="004E1044" w:rsidRPr="00454DA0">
        <w:rPr>
          <w:rFonts w:eastAsia="Times New Roman"/>
          <w:sz w:val="24"/>
        </w:rPr>
        <w:tab/>
        <w:t>Arta Rama-Hajrizi</w:t>
      </w:r>
    </w:p>
    <w:p w:rsidR="006501F3" w:rsidRPr="00454DA0" w:rsidRDefault="006501F3" w:rsidP="00EC6A1F">
      <w:pPr>
        <w:tabs>
          <w:tab w:val="left" w:pos="540"/>
        </w:tabs>
        <w:spacing w:line="240" w:lineRule="auto"/>
        <w:jc w:val="center"/>
        <w:rPr>
          <w:rFonts w:eastAsia="Times New Roman" w:cs="Arial"/>
          <w:sz w:val="24"/>
        </w:rPr>
      </w:pPr>
    </w:p>
    <w:p w:rsidR="006501F3" w:rsidRPr="00454DA0" w:rsidRDefault="006501F3" w:rsidP="00EC6A1F">
      <w:pPr>
        <w:tabs>
          <w:tab w:val="left" w:pos="540"/>
        </w:tabs>
        <w:spacing w:line="240" w:lineRule="auto"/>
        <w:jc w:val="center"/>
        <w:rPr>
          <w:rFonts w:eastAsia="Times New Roman" w:cs="Arial"/>
          <w:sz w:val="24"/>
        </w:rPr>
      </w:pPr>
    </w:p>
    <w:p w:rsidR="00C93957" w:rsidRPr="00454DA0" w:rsidRDefault="00C93957" w:rsidP="00EC6A1F">
      <w:pPr>
        <w:spacing w:line="240" w:lineRule="auto"/>
        <w:jc w:val="left"/>
        <w:rPr>
          <w:sz w:val="24"/>
        </w:rPr>
      </w:pPr>
    </w:p>
    <w:sectPr w:rsidR="00C93957" w:rsidRPr="00454DA0" w:rsidSect="0089046F">
      <w:footerReference w:type="default" r:id="rId8"/>
      <w:headerReference w:type="first" r:id="rId9"/>
      <w:footerReference w:type="first" r:id="rId10"/>
      <w:pgSz w:w="11907" w:h="16840" w:code="9"/>
      <w:pgMar w:top="1440" w:right="1440" w:bottom="1440" w:left="1440" w:header="113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91" w:rsidRDefault="00ED0491">
      <w:r>
        <w:separator/>
      </w:r>
    </w:p>
  </w:endnote>
  <w:endnote w:type="continuationSeparator" w:id="0">
    <w:p w:rsidR="00ED0491" w:rsidRDefault="00ED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1"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06" w:rsidRDefault="008D6706">
    <w:pPr>
      <w:pStyle w:val="Footer"/>
    </w:pPr>
  </w:p>
  <w:p w:rsidR="008D6706" w:rsidRDefault="008D6706" w:rsidP="002E4083">
    <w:pPr>
      <w:pStyle w:val="Footer"/>
      <w:jc w:val="center"/>
    </w:pPr>
    <w:r>
      <w:fldChar w:fldCharType="begin"/>
    </w:r>
    <w:r>
      <w:instrText xml:space="preserve"> PAGE  \* Arabic  \* MERGEFORMAT </w:instrText>
    </w:r>
    <w:r>
      <w:fldChar w:fldCharType="separate"/>
    </w:r>
    <w:r w:rsidR="00826419">
      <w:rPr>
        <w:noProof/>
      </w:rPr>
      <w:t>10</w:t>
    </w:r>
    <w:r>
      <w:fldChar w:fldCharType="end"/>
    </w:r>
  </w:p>
  <w:p w:rsidR="007F6229" w:rsidRDefault="007F6229" w:rsidP="002E40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06" w:rsidRPr="003C6CBB" w:rsidRDefault="003C6CBB" w:rsidP="002E4083">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91" w:rsidRDefault="00ED0491">
      <w:r>
        <w:separator/>
      </w:r>
    </w:p>
  </w:footnote>
  <w:footnote w:type="continuationSeparator" w:id="0">
    <w:p w:rsidR="00ED0491" w:rsidRDefault="00ED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06" w:rsidRDefault="008D6706" w:rsidP="00C101D6">
    <w:pPr>
      <w:pStyle w:val="Header"/>
      <w:tabs>
        <w:tab w:val="clear" w:pos="4320"/>
        <w:tab w:val="clear" w:pos="8640"/>
        <w:tab w:val="left" w:pos="7275"/>
      </w:tabs>
    </w:pPr>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-471170</wp:posOffset>
          </wp:positionV>
          <wp:extent cx="5730875" cy="1754505"/>
          <wp:effectExtent l="0" t="0" r="3175" b="0"/>
          <wp:wrapSquare wrapText="bothSides"/>
          <wp:docPr id="17" name="Picture 17" descr="llogo_vend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ogo_vendim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7545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BC7C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5C2C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A54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8A9E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304B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B2F5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EA16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B8D2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E2D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66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021"/>
    <w:multiLevelType w:val="hybridMultilevel"/>
    <w:tmpl w:val="7B8C463E"/>
    <w:lvl w:ilvl="0" w:tplc="1F36B28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C5F558E"/>
    <w:multiLevelType w:val="hybridMultilevel"/>
    <w:tmpl w:val="EC840B98"/>
    <w:lvl w:ilvl="0" w:tplc="E3BE741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F363D6D"/>
    <w:multiLevelType w:val="hybridMultilevel"/>
    <w:tmpl w:val="25E04BDE"/>
    <w:lvl w:ilvl="0" w:tplc="9A961AF0">
      <w:start w:val="1"/>
      <w:numFmt w:val="decimal"/>
      <w:lvlText w:val="%1."/>
      <w:lvlJc w:val="left"/>
      <w:pPr>
        <w:ind w:left="720" w:hanging="360"/>
      </w:pPr>
      <w:rPr>
        <w:rFonts w:ascii="Georgia" w:hAnsi="Georgia"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70258"/>
    <w:multiLevelType w:val="hybridMultilevel"/>
    <w:tmpl w:val="E048C0FA"/>
    <w:lvl w:ilvl="0" w:tplc="A1D2833E">
      <w:start w:val="1"/>
      <w:numFmt w:val="upperRoman"/>
      <w:lvlText w:val="%1."/>
      <w:lvlJc w:val="left"/>
      <w:pPr>
        <w:ind w:left="1080" w:hanging="720"/>
      </w:pPr>
      <w:rPr>
        <w:rFonts w:hint="default"/>
      </w:rPr>
    </w:lvl>
    <w:lvl w:ilvl="1" w:tplc="CB040C3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D5DDD"/>
    <w:multiLevelType w:val="hybridMultilevel"/>
    <w:tmpl w:val="8A5457C6"/>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CD775C"/>
    <w:multiLevelType w:val="hybridMultilevel"/>
    <w:tmpl w:val="8A5457C6"/>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73559C"/>
    <w:multiLevelType w:val="hybridMultilevel"/>
    <w:tmpl w:val="1E1A33BC"/>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7" w15:restartNumberingAfterBreak="0">
    <w:nsid w:val="49AF0F30"/>
    <w:multiLevelType w:val="hybridMultilevel"/>
    <w:tmpl w:val="9EF80A10"/>
    <w:lvl w:ilvl="0" w:tplc="79508C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3351B"/>
    <w:multiLevelType w:val="hybridMultilevel"/>
    <w:tmpl w:val="7712681E"/>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9" w15:restartNumberingAfterBreak="0">
    <w:nsid w:val="7AC4155C"/>
    <w:multiLevelType w:val="hybridMultilevel"/>
    <w:tmpl w:val="EF84644E"/>
    <w:lvl w:ilvl="0" w:tplc="3A30BFE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BB63ACB"/>
    <w:multiLevelType w:val="hybridMultilevel"/>
    <w:tmpl w:val="9EE68EDA"/>
    <w:lvl w:ilvl="0" w:tplc="C8108C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546E6"/>
    <w:multiLevelType w:val="hybridMultilevel"/>
    <w:tmpl w:val="A2E01EEA"/>
    <w:lvl w:ilvl="0" w:tplc="3A7CF07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7EC761BF"/>
    <w:multiLevelType w:val="hybridMultilevel"/>
    <w:tmpl w:val="75B03A66"/>
    <w:lvl w:ilvl="0" w:tplc="1BCE165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8"/>
  </w:num>
  <w:num w:numId="15">
    <w:abstractNumId w:val="22"/>
  </w:num>
  <w:num w:numId="16">
    <w:abstractNumId w:val="17"/>
  </w:num>
  <w:num w:numId="17">
    <w:abstractNumId w:val="16"/>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13"/>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2D"/>
    <w:rsid w:val="0000584B"/>
    <w:rsid w:val="00006493"/>
    <w:rsid w:val="00010CA4"/>
    <w:rsid w:val="000140A5"/>
    <w:rsid w:val="0002216D"/>
    <w:rsid w:val="00030683"/>
    <w:rsid w:val="00032048"/>
    <w:rsid w:val="0003469B"/>
    <w:rsid w:val="000355F7"/>
    <w:rsid w:val="0005600D"/>
    <w:rsid w:val="00071638"/>
    <w:rsid w:val="000764B1"/>
    <w:rsid w:val="000A4E39"/>
    <w:rsid w:val="000B5ABA"/>
    <w:rsid w:val="000B7A3B"/>
    <w:rsid w:val="000D048C"/>
    <w:rsid w:val="000D390D"/>
    <w:rsid w:val="000D7A69"/>
    <w:rsid w:val="000E1C95"/>
    <w:rsid w:val="000E3B0B"/>
    <w:rsid w:val="000E7024"/>
    <w:rsid w:val="000F3AA7"/>
    <w:rsid w:val="000F5AF4"/>
    <w:rsid w:val="001105D9"/>
    <w:rsid w:val="0011236C"/>
    <w:rsid w:val="00115419"/>
    <w:rsid w:val="00121A9E"/>
    <w:rsid w:val="0012229D"/>
    <w:rsid w:val="00125FF0"/>
    <w:rsid w:val="00134385"/>
    <w:rsid w:val="001361D8"/>
    <w:rsid w:val="00143F61"/>
    <w:rsid w:val="00153C1A"/>
    <w:rsid w:val="00155564"/>
    <w:rsid w:val="00155861"/>
    <w:rsid w:val="001643FF"/>
    <w:rsid w:val="0016746C"/>
    <w:rsid w:val="001705E4"/>
    <w:rsid w:val="00185782"/>
    <w:rsid w:val="00186C50"/>
    <w:rsid w:val="001A29C4"/>
    <w:rsid w:val="001A4A05"/>
    <w:rsid w:val="001B1BF9"/>
    <w:rsid w:val="001C0767"/>
    <w:rsid w:val="001C1B68"/>
    <w:rsid w:val="001C2A3D"/>
    <w:rsid w:val="001F213C"/>
    <w:rsid w:val="001F2E78"/>
    <w:rsid w:val="00201F0E"/>
    <w:rsid w:val="0021381F"/>
    <w:rsid w:val="00225E03"/>
    <w:rsid w:val="00237D5B"/>
    <w:rsid w:val="002510EE"/>
    <w:rsid w:val="002524DD"/>
    <w:rsid w:val="00266032"/>
    <w:rsid w:val="00267C4E"/>
    <w:rsid w:val="00272B1E"/>
    <w:rsid w:val="00274B75"/>
    <w:rsid w:val="00280208"/>
    <w:rsid w:val="0028399D"/>
    <w:rsid w:val="002869FC"/>
    <w:rsid w:val="00294009"/>
    <w:rsid w:val="002A2617"/>
    <w:rsid w:val="002B6B6B"/>
    <w:rsid w:val="002C12A9"/>
    <w:rsid w:val="002C3E3A"/>
    <w:rsid w:val="002D2160"/>
    <w:rsid w:val="002D3B7B"/>
    <w:rsid w:val="002E4083"/>
    <w:rsid w:val="002E5780"/>
    <w:rsid w:val="002E7423"/>
    <w:rsid w:val="002F67BA"/>
    <w:rsid w:val="002F6FA8"/>
    <w:rsid w:val="00302B08"/>
    <w:rsid w:val="0030340A"/>
    <w:rsid w:val="00306B12"/>
    <w:rsid w:val="00314A4B"/>
    <w:rsid w:val="0032122D"/>
    <w:rsid w:val="00324F01"/>
    <w:rsid w:val="00326EF7"/>
    <w:rsid w:val="00333DBE"/>
    <w:rsid w:val="00334E4F"/>
    <w:rsid w:val="00344519"/>
    <w:rsid w:val="00345652"/>
    <w:rsid w:val="00346E42"/>
    <w:rsid w:val="00351DBE"/>
    <w:rsid w:val="00365095"/>
    <w:rsid w:val="00367785"/>
    <w:rsid w:val="00367DE6"/>
    <w:rsid w:val="00381D62"/>
    <w:rsid w:val="003A0FDA"/>
    <w:rsid w:val="003A5406"/>
    <w:rsid w:val="003C22A0"/>
    <w:rsid w:val="003C6CBB"/>
    <w:rsid w:val="003D79D7"/>
    <w:rsid w:val="003E7066"/>
    <w:rsid w:val="003F4667"/>
    <w:rsid w:val="00411A06"/>
    <w:rsid w:val="004134A8"/>
    <w:rsid w:val="0041621E"/>
    <w:rsid w:val="00423400"/>
    <w:rsid w:val="00423EAF"/>
    <w:rsid w:val="004353A4"/>
    <w:rsid w:val="004374FD"/>
    <w:rsid w:val="00445365"/>
    <w:rsid w:val="00446EEC"/>
    <w:rsid w:val="004479E2"/>
    <w:rsid w:val="00447EB8"/>
    <w:rsid w:val="00453F99"/>
    <w:rsid w:val="00454DA0"/>
    <w:rsid w:val="00485EB2"/>
    <w:rsid w:val="004861C5"/>
    <w:rsid w:val="00490701"/>
    <w:rsid w:val="0049355C"/>
    <w:rsid w:val="004968C5"/>
    <w:rsid w:val="004A1242"/>
    <w:rsid w:val="004A1664"/>
    <w:rsid w:val="004A71FD"/>
    <w:rsid w:val="004B1DFC"/>
    <w:rsid w:val="004B4552"/>
    <w:rsid w:val="004B6CFF"/>
    <w:rsid w:val="004B7019"/>
    <w:rsid w:val="004B761A"/>
    <w:rsid w:val="004C430C"/>
    <w:rsid w:val="004D5966"/>
    <w:rsid w:val="004E1044"/>
    <w:rsid w:val="004E57F3"/>
    <w:rsid w:val="004E6090"/>
    <w:rsid w:val="004F1B84"/>
    <w:rsid w:val="004F6E67"/>
    <w:rsid w:val="00505B32"/>
    <w:rsid w:val="00510607"/>
    <w:rsid w:val="00514DB3"/>
    <w:rsid w:val="0052410F"/>
    <w:rsid w:val="005549A3"/>
    <w:rsid w:val="00564842"/>
    <w:rsid w:val="00574050"/>
    <w:rsid w:val="00576455"/>
    <w:rsid w:val="005823C4"/>
    <w:rsid w:val="00583E8C"/>
    <w:rsid w:val="00587533"/>
    <w:rsid w:val="005B15DC"/>
    <w:rsid w:val="005B2741"/>
    <w:rsid w:val="005B4E87"/>
    <w:rsid w:val="005D4BDC"/>
    <w:rsid w:val="005D7300"/>
    <w:rsid w:val="005E479D"/>
    <w:rsid w:val="00610490"/>
    <w:rsid w:val="00611351"/>
    <w:rsid w:val="0061228F"/>
    <w:rsid w:val="0061641D"/>
    <w:rsid w:val="00616C0A"/>
    <w:rsid w:val="00617FD2"/>
    <w:rsid w:val="00622A92"/>
    <w:rsid w:val="00624314"/>
    <w:rsid w:val="0062495C"/>
    <w:rsid w:val="00625ECF"/>
    <w:rsid w:val="00644C03"/>
    <w:rsid w:val="006465A0"/>
    <w:rsid w:val="006501F3"/>
    <w:rsid w:val="00653E63"/>
    <w:rsid w:val="006767E0"/>
    <w:rsid w:val="00682464"/>
    <w:rsid w:val="00685613"/>
    <w:rsid w:val="00685C11"/>
    <w:rsid w:val="00687E49"/>
    <w:rsid w:val="00690D46"/>
    <w:rsid w:val="006951A8"/>
    <w:rsid w:val="006A3ED6"/>
    <w:rsid w:val="006B1418"/>
    <w:rsid w:val="006B1ACB"/>
    <w:rsid w:val="006B6A1A"/>
    <w:rsid w:val="006B73A4"/>
    <w:rsid w:val="006C3B79"/>
    <w:rsid w:val="006C5F80"/>
    <w:rsid w:val="006D2CAD"/>
    <w:rsid w:val="006D3320"/>
    <w:rsid w:val="006D451D"/>
    <w:rsid w:val="006E1191"/>
    <w:rsid w:val="006E2214"/>
    <w:rsid w:val="006E3472"/>
    <w:rsid w:val="006E704D"/>
    <w:rsid w:val="006F1A08"/>
    <w:rsid w:val="006F4261"/>
    <w:rsid w:val="006F4C1F"/>
    <w:rsid w:val="006F510D"/>
    <w:rsid w:val="00704DB2"/>
    <w:rsid w:val="00730689"/>
    <w:rsid w:val="007364F6"/>
    <w:rsid w:val="00737AFC"/>
    <w:rsid w:val="00743CA6"/>
    <w:rsid w:val="00762DF9"/>
    <w:rsid w:val="00763281"/>
    <w:rsid w:val="00776AAE"/>
    <w:rsid w:val="00781454"/>
    <w:rsid w:val="00781D0B"/>
    <w:rsid w:val="00791103"/>
    <w:rsid w:val="00793310"/>
    <w:rsid w:val="00797853"/>
    <w:rsid w:val="007A61F5"/>
    <w:rsid w:val="007A7BD2"/>
    <w:rsid w:val="007B39EC"/>
    <w:rsid w:val="007B7149"/>
    <w:rsid w:val="007B74E9"/>
    <w:rsid w:val="007E02E3"/>
    <w:rsid w:val="007E7DEE"/>
    <w:rsid w:val="007F4DF0"/>
    <w:rsid w:val="007F6229"/>
    <w:rsid w:val="00800846"/>
    <w:rsid w:val="00805979"/>
    <w:rsid w:val="008155CD"/>
    <w:rsid w:val="0082127E"/>
    <w:rsid w:val="00826419"/>
    <w:rsid w:val="008545B9"/>
    <w:rsid w:val="00860A0E"/>
    <w:rsid w:val="00865D54"/>
    <w:rsid w:val="0088085D"/>
    <w:rsid w:val="0088392C"/>
    <w:rsid w:val="0089046F"/>
    <w:rsid w:val="00890CCF"/>
    <w:rsid w:val="008A0037"/>
    <w:rsid w:val="008A26DD"/>
    <w:rsid w:val="008B341B"/>
    <w:rsid w:val="008B4BED"/>
    <w:rsid w:val="008C2FB4"/>
    <w:rsid w:val="008D4CBF"/>
    <w:rsid w:val="008D6706"/>
    <w:rsid w:val="008F15C3"/>
    <w:rsid w:val="00903625"/>
    <w:rsid w:val="009127A4"/>
    <w:rsid w:val="0092192B"/>
    <w:rsid w:val="00925A25"/>
    <w:rsid w:val="0093037F"/>
    <w:rsid w:val="00931987"/>
    <w:rsid w:val="009328AF"/>
    <w:rsid w:val="009373F3"/>
    <w:rsid w:val="00940076"/>
    <w:rsid w:val="00943B7D"/>
    <w:rsid w:val="0094685A"/>
    <w:rsid w:val="0095448B"/>
    <w:rsid w:val="00957D37"/>
    <w:rsid w:val="009767C2"/>
    <w:rsid w:val="00997BF1"/>
    <w:rsid w:val="009A0CDE"/>
    <w:rsid w:val="009A29A2"/>
    <w:rsid w:val="009B654A"/>
    <w:rsid w:val="009B7C84"/>
    <w:rsid w:val="009C1126"/>
    <w:rsid w:val="009C5D26"/>
    <w:rsid w:val="009F73F2"/>
    <w:rsid w:val="00A031A5"/>
    <w:rsid w:val="00A179DA"/>
    <w:rsid w:val="00A21A7D"/>
    <w:rsid w:val="00A428F0"/>
    <w:rsid w:val="00A455FB"/>
    <w:rsid w:val="00A46EE6"/>
    <w:rsid w:val="00A47147"/>
    <w:rsid w:val="00A5435D"/>
    <w:rsid w:val="00A55185"/>
    <w:rsid w:val="00A629DF"/>
    <w:rsid w:val="00A633AB"/>
    <w:rsid w:val="00A63D3F"/>
    <w:rsid w:val="00A73F57"/>
    <w:rsid w:val="00A848EF"/>
    <w:rsid w:val="00A90161"/>
    <w:rsid w:val="00A957CC"/>
    <w:rsid w:val="00AA0E5E"/>
    <w:rsid w:val="00AA790D"/>
    <w:rsid w:val="00AF6EB8"/>
    <w:rsid w:val="00B033A9"/>
    <w:rsid w:val="00B10DCB"/>
    <w:rsid w:val="00B23988"/>
    <w:rsid w:val="00B271E4"/>
    <w:rsid w:val="00B346A7"/>
    <w:rsid w:val="00B3678D"/>
    <w:rsid w:val="00B432E7"/>
    <w:rsid w:val="00B54BE2"/>
    <w:rsid w:val="00B63676"/>
    <w:rsid w:val="00B67035"/>
    <w:rsid w:val="00B70B2F"/>
    <w:rsid w:val="00B75A7B"/>
    <w:rsid w:val="00B764F4"/>
    <w:rsid w:val="00B8624D"/>
    <w:rsid w:val="00B87709"/>
    <w:rsid w:val="00B94041"/>
    <w:rsid w:val="00B96B26"/>
    <w:rsid w:val="00BA3AFF"/>
    <w:rsid w:val="00BB6639"/>
    <w:rsid w:val="00BC2367"/>
    <w:rsid w:val="00BC552F"/>
    <w:rsid w:val="00BD0918"/>
    <w:rsid w:val="00BF4749"/>
    <w:rsid w:val="00BF573A"/>
    <w:rsid w:val="00BF6049"/>
    <w:rsid w:val="00BF6613"/>
    <w:rsid w:val="00C00B63"/>
    <w:rsid w:val="00C101D6"/>
    <w:rsid w:val="00C12536"/>
    <w:rsid w:val="00C1257B"/>
    <w:rsid w:val="00C279E4"/>
    <w:rsid w:val="00C4050F"/>
    <w:rsid w:val="00C47EC9"/>
    <w:rsid w:val="00C51807"/>
    <w:rsid w:val="00C51C0C"/>
    <w:rsid w:val="00C51C7F"/>
    <w:rsid w:val="00C529C7"/>
    <w:rsid w:val="00C562FF"/>
    <w:rsid w:val="00C6115E"/>
    <w:rsid w:val="00C816B5"/>
    <w:rsid w:val="00C93957"/>
    <w:rsid w:val="00CA55EF"/>
    <w:rsid w:val="00CA624D"/>
    <w:rsid w:val="00CB31B1"/>
    <w:rsid w:val="00CB5D3E"/>
    <w:rsid w:val="00CB7EE1"/>
    <w:rsid w:val="00CD29D3"/>
    <w:rsid w:val="00CD62FF"/>
    <w:rsid w:val="00CF3A92"/>
    <w:rsid w:val="00CF44CE"/>
    <w:rsid w:val="00CF6832"/>
    <w:rsid w:val="00D034F0"/>
    <w:rsid w:val="00D03BED"/>
    <w:rsid w:val="00D10204"/>
    <w:rsid w:val="00D124A3"/>
    <w:rsid w:val="00D40269"/>
    <w:rsid w:val="00D50BA1"/>
    <w:rsid w:val="00D527E2"/>
    <w:rsid w:val="00D529C6"/>
    <w:rsid w:val="00D60C93"/>
    <w:rsid w:val="00D6280C"/>
    <w:rsid w:val="00D66A85"/>
    <w:rsid w:val="00D66D83"/>
    <w:rsid w:val="00D73A2F"/>
    <w:rsid w:val="00D73B70"/>
    <w:rsid w:val="00D74B91"/>
    <w:rsid w:val="00D75A03"/>
    <w:rsid w:val="00D87AA0"/>
    <w:rsid w:val="00D9448D"/>
    <w:rsid w:val="00DA2E30"/>
    <w:rsid w:val="00DB5D38"/>
    <w:rsid w:val="00DC0CE3"/>
    <w:rsid w:val="00DD1EEE"/>
    <w:rsid w:val="00DE4586"/>
    <w:rsid w:val="00DE7A00"/>
    <w:rsid w:val="00DF6DEE"/>
    <w:rsid w:val="00E00198"/>
    <w:rsid w:val="00E13118"/>
    <w:rsid w:val="00E135B1"/>
    <w:rsid w:val="00E250EB"/>
    <w:rsid w:val="00E27F89"/>
    <w:rsid w:val="00E31CD8"/>
    <w:rsid w:val="00E32D72"/>
    <w:rsid w:val="00E4396E"/>
    <w:rsid w:val="00E475A7"/>
    <w:rsid w:val="00E5381F"/>
    <w:rsid w:val="00E54ACD"/>
    <w:rsid w:val="00E84400"/>
    <w:rsid w:val="00E8489D"/>
    <w:rsid w:val="00E84E88"/>
    <w:rsid w:val="00E90F08"/>
    <w:rsid w:val="00E91FDC"/>
    <w:rsid w:val="00EA22CC"/>
    <w:rsid w:val="00EA6142"/>
    <w:rsid w:val="00EA781A"/>
    <w:rsid w:val="00EB115C"/>
    <w:rsid w:val="00EB5781"/>
    <w:rsid w:val="00EC6A1F"/>
    <w:rsid w:val="00ED0491"/>
    <w:rsid w:val="00ED2B9A"/>
    <w:rsid w:val="00ED4BA5"/>
    <w:rsid w:val="00ED5A0D"/>
    <w:rsid w:val="00EE5A9C"/>
    <w:rsid w:val="00F01F1B"/>
    <w:rsid w:val="00F16D07"/>
    <w:rsid w:val="00F16E73"/>
    <w:rsid w:val="00F25137"/>
    <w:rsid w:val="00F26858"/>
    <w:rsid w:val="00F31AAD"/>
    <w:rsid w:val="00F32EF6"/>
    <w:rsid w:val="00F35D7C"/>
    <w:rsid w:val="00F3759B"/>
    <w:rsid w:val="00F418FF"/>
    <w:rsid w:val="00F42218"/>
    <w:rsid w:val="00F42FAD"/>
    <w:rsid w:val="00F43616"/>
    <w:rsid w:val="00F44965"/>
    <w:rsid w:val="00F46748"/>
    <w:rsid w:val="00F641DA"/>
    <w:rsid w:val="00F64213"/>
    <w:rsid w:val="00F77FE7"/>
    <w:rsid w:val="00F80061"/>
    <w:rsid w:val="00FB0373"/>
    <w:rsid w:val="00FD2F7E"/>
    <w:rsid w:val="00FD59AD"/>
    <w:rsid w:val="00FE61C5"/>
    <w:rsid w:val="00FE6CE6"/>
    <w:rsid w:val="00FE70C3"/>
    <w:rsid w:val="00FF35F1"/>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387460-9297-4BC2-92E4-AF47F909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9E"/>
    <w:pPr>
      <w:spacing w:line="288" w:lineRule="auto"/>
      <w:jc w:val="both"/>
    </w:pPr>
    <w:rPr>
      <w:rFonts w:ascii="Georgia" w:hAnsi="Georgia"/>
      <w:sz w:val="22"/>
      <w:szCs w:val="24"/>
      <w:lang w:val="sq-AL"/>
    </w:rPr>
  </w:style>
  <w:style w:type="paragraph" w:styleId="Heading1">
    <w:name w:val="heading 1"/>
    <w:basedOn w:val="Normal"/>
    <w:next w:val="Normal"/>
    <w:qFormat/>
    <w:rsid w:val="00CB7EE1"/>
    <w:pPr>
      <w:keepNext/>
      <w:spacing w:before="240" w:after="60"/>
      <w:outlineLvl w:val="0"/>
    </w:pPr>
    <w:rPr>
      <w:rFonts w:cs="Arial"/>
      <w:b/>
      <w:bCs/>
      <w:kern w:val="32"/>
      <w:sz w:val="32"/>
      <w:szCs w:val="32"/>
    </w:rPr>
  </w:style>
  <w:style w:type="paragraph" w:styleId="Heading2">
    <w:name w:val="heading 2"/>
    <w:basedOn w:val="Normal"/>
    <w:next w:val="Normal"/>
    <w:qFormat/>
    <w:rsid w:val="00CB7EE1"/>
    <w:pPr>
      <w:keepNext/>
      <w:spacing w:before="240" w:after="60"/>
      <w:outlineLvl w:val="1"/>
    </w:pPr>
    <w:rPr>
      <w:rFonts w:cs="Arial"/>
      <w:b/>
      <w:bCs/>
      <w:i/>
      <w:iCs/>
      <w:sz w:val="28"/>
      <w:szCs w:val="28"/>
    </w:rPr>
  </w:style>
  <w:style w:type="paragraph" w:styleId="Heading3">
    <w:name w:val="heading 3"/>
    <w:basedOn w:val="Normal"/>
    <w:next w:val="Normal"/>
    <w:qFormat/>
    <w:rsid w:val="00CB7E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7EE1"/>
    <w:pPr>
      <w:spacing w:before="240" w:after="60"/>
      <w:jc w:val="center"/>
      <w:outlineLvl w:val="0"/>
    </w:pPr>
    <w:rPr>
      <w:rFonts w:cs="Arial"/>
      <w:b/>
      <w:bCs/>
      <w:kern w:val="28"/>
      <w:sz w:val="32"/>
      <w:szCs w:val="32"/>
    </w:rPr>
  </w:style>
  <w:style w:type="paragraph" w:styleId="Header">
    <w:name w:val="header"/>
    <w:basedOn w:val="Normal"/>
    <w:link w:val="HeaderChar"/>
    <w:rsid w:val="002E4083"/>
    <w:pPr>
      <w:tabs>
        <w:tab w:val="center" w:pos="4320"/>
        <w:tab w:val="right" w:pos="8640"/>
      </w:tabs>
      <w:spacing w:line="240" w:lineRule="auto"/>
    </w:pPr>
  </w:style>
  <w:style w:type="paragraph" w:styleId="Footer">
    <w:name w:val="footer"/>
    <w:basedOn w:val="Normal"/>
    <w:link w:val="FooterChar"/>
    <w:rsid w:val="002E4083"/>
    <w:pPr>
      <w:tabs>
        <w:tab w:val="center" w:pos="4320"/>
        <w:tab w:val="right" w:pos="8640"/>
      </w:tabs>
      <w:spacing w:line="240" w:lineRule="auto"/>
    </w:pPr>
    <w:rPr>
      <w:sz w:val="20"/>
    </w:rPr>
  </w:style>
  <w:style w:type="character" w:customStyle="1" w:styleId="HeaderChar">
    <w:name w:val="Header Char"/>
    <w:basedOn w:val="DefaultParagraphFont"/>
    <w:link w:val="Header"/>
    <w:locked/>
    <w:rsid w:val="002E4083"/>
    <w:rPr>
      <w:rFonts w:ascii="Georgia" w:hAnsi="Georgia"/>
      <w:sz w:val="22"/>
      <w:szCs w:val="24"/>
      <w:lang w:val="en-US" w:eastAsia="en-US" w:bidi="ar-SA"/>
    </w:rPr>
  </w:style>
  <w:style w:type="character" w:customStyle="1" w:styleId="FooterChar">
    <w:name w:val="Footer Char"/>
    <w:basedOn w:val="DefaultParagraphFont"/>
    <w:link w:val="Footer"/>
    <w:semiHidden/>
    <w:locked/>
    <w:rsid w:val="002E4083"/>
    <w:rPr>
      <w:rFonts w:ascii="Georgia" w:hAnsi="Georgia"/>
      <w:szCs w:val="24"/>
      <w:lang w:val="en-US" w:eastAsia="en-US" w:bidi="ar-SA"/>
    </w:rPr>
  </w:style>
  <w:style w:type="character" w:styleId="PageNumber">
    <w:name w:val="page number"/>
    <w:basedOn w:val="DefaultParagraphFont"/>
    <w:rsid w:val="002E4083"/>
  </w:style>
  <w:style w:type="character" w:styleId="Hyperlink">
    <w:name w:val="Hyperlink"/>
    <w:basedOn w:val="DefaultParagraphFont"/>
    <w:rsid w:val="00A848EF"/>
    <w:rPr>
      <w:color w:val="0000FF"/>
      <w:u w:val="single"/>
    </w:rPr>
  </w:style>
  <w:style w:type="paragraph" w:styleId="ListParagraph">
    <w:name w:val="List Paragraph"/>
    <w:basedOn w:val="Normal"/>
    <w:uiPriority w:val="34"/>
    <w:qFormat/>
    <w:rsid w:val="00C4050F"/>
    <w:pPr>
      <w:ind w:left="720"/>
      <w:contextualSpacing/>
    </w:pPr>
  </w:style>
  <w:style w:type="paragraph" w:customStyle="1" w:styleId="Default">
    <w:name w:val="Default"/>
    <w:rsid w:val="009C112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14A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4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6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hat.kelmendi\Desktop\Gjedhet\Llogo%20vendim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65FB-3369-4121-A9C4-150BE589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Llogo vendimet</Template>
  <TotalTime>141</TotalTime>
  <Pages>1</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Template Gj.K.</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Gj.K.</dc:title>
  <dc:creator>F.Simens</dc:creator>
  <cp:lastModifiedBy>Burim Hoxha</cp:lastModifiedBy>
  <cp:revision>14</cp:revision>
  <cp:lastPrinted>2020-06-18T13:30:00Z</cp:lastPrinted>
  <dcterms:created xsi:type="dcterms:W3CDTF">2020-07-10T09:41:00Z</dcterms:created>
  <dcterms:modified xsi:type="dcterms:W3CDTF">2020-08-03T12:47:00Z</dcterms:modified>
</cp:coreProperties>
</file>