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F52" w:rsidRPr="00984D46" w:rsidRDefault="009E1F52" w:rsidP="00A06B9C">
      <w:pPr>
        <w:spacing w:line="240" w:lineRule="auto"/>
        <w:ind w:right="-63"/>
        <w:jc w:val="right"/>
        <w:rPr>
          <w:b/>
          <w:bCs/>
          <w:sz w:val="16"/>
          <w:szCs w:val="16"/>
          <w:lang w:val="en-GB"/>
        </w:rPr>
      </w:pPr>
      <w:bookmarkStart w:id="0" w:name="_GoBack"/>
      <w:proofErr w:type="spellStart"/>
      <w:r w:rsidRPr="00984D46">
        <w:rPr>
          <w:b/>
          <w:bCs/>
          <w:sz w:val="16"/>
          <w:szCs w:val="16"/>
          <w:lang w:val="en-GB"/>
        </w:rPr>
        <w:t>Prishtin</w:t>
      </w:r>
      <w:r w:rsidR="00314A8D" w:rsidRPr="00984D46">
        <w:rPr>
          <w:b/>
          <w:bCs/>
          <w:sz w:val="16"/>
          <w:szCs w:val="16"/>
          <w:lang w:val="en-GB"/>
        </w:rPr>
        <w:t>a</w:t>
      </w:r>
      <w:proofErr w:type="spellEnd"/>
      <w:r w:rsidR="00314A8D" w:rsidRPr="00984D46">
        <w:rPr>
          <w:b/>
          <w:bCs/>
          <w:sz w:val="16"/>
          <w:szCs w:val="16"/>
          <w:lang w:val="en-GB"/>
        </w:rPr>
        <w:t xml:space="preserve">, on </w:t>
      </w:r>
      <w:r w:rsidR="00FF68D9" w:rsidRPr="00984D46">
        <w:rPr>
          <w:b/>
          <w:bCs/>
          <w:sz w:val="16"/>
          <w:szCs w:val="16"/>
          <w:lang w:val="en-GB"/>
        </w:rPr>
        <w:t>11 June</w:t>
      </w:r>
      <w:r w:rsidR="00012E47" w:rsidRPr="00984D46">
        <w:rPr>
          <w:b/>
          <w:bCs/>
          <w:sz w:val="16"/>
          <w:szCs w:val="16"/>
          <w:lang w:val="en-GB"/>
        </w:rPr>
        <w:t xml:space="preserve"> 20</w:t>
      </w:r>
      <w:r w:rsidR="007E4D0F" w:rsidRPr="00984D46">
        <w:rPr>
          <w:b/>
          <w:bCs/>
          <w:sz w:val="16"/>
          <w:szCs w:val="16"/>
          <w:lang w:val="en-GB"/>
        </w:rPr>
        <w:t>20</w:t>
      </w:r>
    </w:p>
    <w:p w:rsidR="001E1C72" w:rsidRPr="00984D46" w:rsidRDefault="00314A8D" w:rsidP="00A06B9C">
      <w:pPr>
        <w:spacing w:line="240" w:lineRule="auto"/>
        <w:ind w:right="-63"/>
        <w:jc w:val="right"/>
        <w:rPr>
          <w:b/>
          <w:sz w:val="16"/>
          <w:szCs w:val="16"/>
          <w:lang w:val="en-GB"/>
        </w:rPr>
      </w:pPr>
      <w:proofErr w:type="spellStart"/>
      <w:r w:rsidRPr="00984D46">
        <w:rPr>
          <w:b/>
          <w:bCs/>
          <w:sz w:val="16"/>
          <w:szCs w:val="16"/>
          <w:lang w:val="en-GB"/>
        </w:rPr>
        <w:t>R</w:t>
      </w:r>
      <w:r w:rsidR="001E1C72" w:rsidRPr="00984D46">
        <w:rPr>
          <w:b/>
          <w:bCs/>
          <w:sz w:val="16"/>
          <w:szCs w:val="16"/>
          <w:lang w:val="en-GB"/>
        </w:rPr>
        <w:t>ef.</w:t>
      </w:r>
      <w:r w:rsidRPr="00984D46">
        <w:rPr>
          <w:b/>
          <w:bCs/>
          <w:sz w:val="16"/>
          <w:szCs w:val="16"/>
          <w:lang w:val="en-GB"/>
        </w:rPr>
        <w:t>No.</w:t>
      </w:r>
      <w:proofErr w:type="gramStart"/>
      <w:r w:rsidR="001E1C72" w:rsidRPr="00984D46">
        <w:rPr>
          <w:b/>
          <w:bCs/>
          <w:sz w:val="16"/>
          <w:szCs w:val="16"/>
          <w:lang w:val="en-GB"/>
        </w:rPr>
        <w:t>:</w:t>
      </w:r>
      <w:r w:rsidR="00FF68D9" w:rsidRPr="00984D46">
        <w:rPr>
          <w:b/>
          <w:bCs/>
          <w:sz w:val="16"/>
          <w:szCs w:val="16"/>
          <w:lang w:val="en-GB"/>
        </w:rPr>
        <w:t>AGJ</w:t>
      </w:r>
      <w:proofErr w:type="spellEnd"/>
      <w:proofErr w:type="gramEnd"/>
      <w:r w:rsidR="00FF68D9" w:rsidRPr="00984D46">
        <w:rPr>
          <w:b/>
          <w:bCs/>
          <w:sz w:val="16"/>
          <w:szCs w:val="16"/>
          <w:lang w:val="en-GB"/>
        </w:rPr>
        <w:t xml:space="preserve"> 1575/20</w:t>
      </w:r>
    </w:p>
    <w:bookmarkEnd w:id="0"/>
    <w:p w:rsidR="009E1F52" w:rsidRPr="00314A8D" w:rsidRDefault="009E1F52" w:rsidP="00A06B9C">
      <w:pPr>
        <w:tabs>
          <w:tab w:val="left" w:pos="540"/>
        </w:tabs>
        <w:spacing w:line="240" w:lineRule="auto"/>
        <w:jc w:val="right"/>
        <w:rPr>
          <w:sz w:val="24"/>
          <w:lang w:val="en-GB"/>
        </w:rPr>
      </w:pPr>
    </w:p>
    <w:p w:rsidR="00A06B9C" w:rsidRPr="006A08AE" w:rsidRDefault="00A06B9C" w:rsidP="00A06B9C">
      <w:pPr>
        <w:spacing w:line="240" w:lineRule="auto"/>
        <w:jc w:val="center"/>
        <w:rPr>
          <w:sz w:val="24"/>
        </w:rPr>
      </w:pPr>
      <w:proofErr w:type="spellStart"/>
      <w:r w:rsidRPr="0084698D">
        <w:rPr>
          <w:rFonts w:ascii="Times New Roman" w:hAnsi="Times New Roman"/>
          <w:b/>
          <w:bCs/>
          <w:i/>
          <w:sz w:val="24"/>
        </w:rPr>
        <w:t>This</w:t>
      </w:r>
      <w:proofErr w:type="spellEnd"/>
      <w:r w:rsidRPr="0084698D">
        <w:rPr>
          <w:rFonts w:ascii="Times New Roman" w:hAnsi="Times New Roman"/>
          <w:b/>
          <w:bCs/>
          <w:i/>
          <w:sz w:val="24"/>
        </w:rPr>
        <w:t xml:space="preserve"> </w:t>
      </w:r>
      <w:proofErr w:type="spellStart"/>
      <w:r w:rsidRPr="0084698D">
        <w:rPr>
          <w:rFonts w:ascii="Times New Roman" w:hAnsi="Times New Roman"/>
          <w:b/>
          <w:bCs/>
          <w:i/>
          <w:sz w:val="24"/>
        </w:rPr>
        <w:t>translation</w:t>
      </w:r>
      <w:proofErr w:type="spellEnd"/>
      <w:r w:rsidRPr="0084698D">
        <w:rPr>
          <w:rFonts w:ascii="Times New Roman" w:hAnsi="Times New Roman"/>
          <w:b/>
          <w:bCs/>
          <w:i/>
          <w:sz w:val="24"/>
        </w:rPr>
        <w:t xml:space="preserve"> </w:t>
      </w:r>
      <w:proofErr w:type="spellStart"/>
      <w:r w:rsidRPr="0084698D">
        <w:rPr>
          <w:rFonts w:ascii="Times New Roman" w:hAnsi="Times New Roman"/>
          <w:b/>
          <w:bCs/>
          <w:i/>
          <w:sz w:val="24"/>
        </w:rPr>
        <w:t>is</w:t>
      </w:r>
      <w:proofErr w:type="spellEnd"/>
      <w:r w:rsidRPr="0084698D">
        <w:rPr>
          <w:rFonts w:ascii="Times New Roman" w:hAnsi="Times New Roman"/>
          <w:b/>
          <w:bCs/>
          <w:i/>
          <w:sz w:val="24"/>
        </w:rPr>
        <w:t xml:space="preserve"> </w:t>
      </w:r>
      <w:proofErr w:type="spellStart"/>
      <w:r w:rsidRPr="0084698D">
        <w:rPr>
          <w:rFonts w:ascii="Times New Roman" w:hAnsi="Times New Roman"/>
          <w:b/>
          <w:bCs/>
          <w:i/>
          <w:sz w:val="24"/>
        </w:rPr>
        <w:t>unofficial</w:t>
      </w:r>
      <w:proofErr w:type="spellEnd"/>
      <w:r w:rsidRPr="0084698D">
        <w:rPr>
          <w:rFonts w:ascii="Times New Roman" w:hAnsi="Times New Roman"/>
          <w:b/>
          <w:bCs/>
          <w:i/>
          <w:sz w:val="24"/>
        </w:rPr>
        <w:t xml:space="preserve"> </w:t>
      </w:r>
      <w:proofErr w:type="spellStart"/>
      <w:r w:rsidRPr="0084698D">
        <w:rPr>
          <w:rFonts w:ascii="Times New Roman" w:hAnsi="Times New Roman"/>
          <w:b/>
          <w:bCs/>
          <w:i/>
          <w:sz w:val="24"/>
        </w:rPr>
        <w:t>and</w:t>
      </w:r>
      <w:proofErr w:type="spellEnd"/>
      <w:r w:rsidRPr="0084698D">
        <w:rPr>
          <w:rFonts w:ascii="Times New Roman" w:hAnsi="Times New Roman"/>
          <w:b/>
          <w:bCs/>
          <w:i/>
          <w:sz w:val="24"/>
        </w:rPr>
        <w:t xml:space="preserve"> </w:t>
      </w:r>
      <w:proofErr w:type="spellStart"/>
      <w:r w:rsidRPr="0084698D">
        <w:rPr>
          <w:rFonts w:ascii="Times New Roman" w:hAnsi="Times New Roman"/>
          <w:b/>
          <w:bCs/>
          <w:i/>
          <w:sz w:val="24"/>
        </w:rPr>
        <w:t>serves</w:t>
      </w:r>
      <w:proofErr w:type="spellEnd"/>
      <w:r w:rsidRPr="0084698D">
        <w:rPr>
          <w:rFonts w:ascii="Times New Roman" w:hAnsi="Times New Roman"/>
          <w:b/>
          <w:bCs/>
          <w:i/>
          <w:sz w:val="24"/>
        </w:rPr>
        <w:t xml:space="preserve"> </w:t>
      </w:r>
      <w:proofErr w:type="spellStart"/>
      <w:r w:rsidRPr="0084698D">
        <w:rPr>
          <w:rFonts w:ascii="Times New Roman" w:hAnsi="Times New Roman"/>
          <w:b/>
          <w:bCs/>
          <w:i/>
          <w:sz w:val="24"/>
        </w:rPr>
        <w:t>for</w:t>
      </w:r>
      <w:proofErr w:type="spellEnd"/>
      <w:r w:rsidRPr="0084698D">
        <w:rPr>
          <w:rFonts w:ascii="Times New Roman" w:hAnsi="Times New Roman"/>
          <w:b/>
          <w:bCs/>
          <w:i/>
          <w:sz w:val="24"/>
        </w:rPr>
        <w:t xml:space="preserve"> </w:t>
      </w:r>
      <w:proofErr w:type="spellStart"/>
      <w:r w:rsidRPr="0084698D">
        <w:rPr>
          <w:rFonts w:ascii="Times New Roman" w:hAnsi="Times New Roman"/>
          <w:b/>
          <w:bCs/>
          <w:i/>
          <w:sz w:val="24"/>
        </w:rPr>
        <w:t>informational</w:t>
      </w:r>
      <w:proofErr w:type="spellEnd"/>
      <w:r w:rsidRPr="0084698D">
        <w:rPr>
          <w:rFonts w:ascii="Times New Roman" w:hAnsi="Times New Roman"/>
          <w:b/>
          <w:bCs/>
          <w:i/>
          <w:sz w:val="24"/>
        </w:rPr>
        <w:t xml:space="preserve"> </w:t>
      </w:r>
      <w:proofErr w:type="spellStart"/>
      <w:r w:rsidRPr="0084698D">
        <w:rPr>
          <w:rFonts w:ascii="Times New Roman" w:hAnsi="Times New Roman"/>
          <w:b/>
          <w:bCs/>
          <w:i/>
          <w:sz w:val="24"/>
        </w:rPr>
        <w:t>purposes</w:t>
      </w:r>
      <w:proofErr w:type="spellEnd"/>
      <w:r w:rsidRPr="0084698D">
        <w:rPr>
          <w:rFonts w:ascii="Times New Roman" w:hAnsi="Times New Roman"/>
          <w:b/>
          <w:bCs/>
          <w:i/>
          <w:sz w:val="24"/>
        </w:rPr>
        <w:t xml:space="preserve"> </w:t>
      </w:r>
      <w:proofErr w:type="spellStart"/>
      <w:r w:rsidRPr="0084698D">
        <w:rPr>
          <w:rFonts w:ascii="Times New Roman" w:hAnsi="Times New Roman"/>
          <w:b/>
          <w:bCs/>
          <w:i/>
          <w:sz w:val="24"/>
        </w:rPr>
        <w:t>only</w:t>
      </w:r>
      <w:proofErr w:type="spellEnd"/>
      <w:r w:rsidRPr="0084698D">
        <w:rPr>
          <w:rFonts w:ascii="Times New Roman" w:hAnsi="Times New Roman"/>
          <w:b/>
          <w:bCs/>
          <w:i/>
          <w:sz w:val="24"/>
        </w:rPr>
        <w:t>.</w:t>
      </w:r>
    </w:p>
    <w:p w:rsidR="009E1F52" w:rsidRPr="00314A8D" w:rsidRDefault="009E1F52" w:rsidP="00A06B9C">
      <w:pPr>
        <w:tabs>
          <w:tab w:val="left" w:pos="540"/>
        </w:tabs>
        <w:spacing w:line="240" w:lineRule="auto"/>
        <w:rPr>
          <w:sz w:val="24"/>
          <w:lang w:val="en-GB"/>
        </w:rPr>
      </w:pPr>
    </w:p>
    <w:p w:rsidR="00012E47" w:rsidRPr="00314A8D" w:rsidRDefault="00012E47" w:rsidP="00A06B9C">
      <w:pPr>
        <w:tabs>
          <w:tab w:val="left" w:pos="540"/>
        </w:tabs>
        <w:spacing w:line="240" w:lineRule="auto"/>
        <w:jc w:val="center"/>
        <w:rPr>
          <w:rStyle w:val="hps"/>
          <w:b/>
          <w:bCs/>
          <w:sz w:val="32"/>
          <w:szCs w:val="32"/>
          <w:lang w:val="en-GB"/>
        </w:rPr>
      </w:pPr>
    </w:p>
    <w:p w:rsidR="009E1F52" w:rsidRPr="00314A8D" w:rsidRDefault="00314A8D" w:rsidP="00A06B9C">
      <w:pPr>
        <w:tabs>
          <w:tab w:val="left" w:pos="540"/>
        </w:tabs>
        <w:spacing w:line="240" w:lineRule="auto"/>
        <w:jc w:val="center"/>
        <w:rPr>
          <w:rStyle w:val="hps"/>
          <w:b/>
          <w:bCs/>
          <w:sz w:val="32"/>
          <w:szCs w:val="32"/>
          <w:lang w:val="en-GB"/>
        </w:rPr>
      </w:pPr>
      <w:r w:rsidRPr="00314A8D">
        <w:rPr>
          <w:rStyle w:val="hps"/>
          <w:b/>
          <w:bCs/>
          <w:sz w:val="32"/>
          <w:szCs w:val="32"/>
          <w:lang w:val="en-GB"/>
        </w:rPr>
        <w:t>JUDGMENT</w:t>
      </w:r>
    </w:p>
    <w:p w:rsidR="009E1F52" w:rsidRPr="00314A8D" w:rsidRDefault="009E1F52" w:rsidP="00A06B9C">
      <w:pPr>
        <w:tabs>
          <w:tab w:val="left" w:pos="540"/>
        </w:tabs>
        <w:spacing w:line="240" w:lineRule="auto"/>
        <w:jc w:val="center"/>
        <w:rPr>
          <w:b/>
          <w:sz w:val="24"/>
          <w:lang w:val="en-GB"/>
        </w:rPr>
      </w:pPr>
    </w:p>
    <w:p w:rsidR="007E4D0F" w:rsidRPr="00314A8D" w:rsidRDefault="00314A8D" w:rsidP="00A06B9C">
      <w:pPr>
        <w:spacing w:line="240" w:lineRule="auto"/>
        <w:jc w:val="center"/>
        <w:rPr>
          <w:sz w:val="24"/>
          <w:lang w:val="en-GB"/>
        </w:rPr>
      </w:pPr>
      <w:proofErr w:type="gramStart"/>
      <w:r w:rsidRPr="00314A8D">
        <w:rPr>
          <w:sz w:val="24"/>
          <w:lang w:val="en-GB"/>
        </w:rPr>
        <w:t>in</w:t>
      </w:r>
      <w:proofErr w:type="gramEnd"/>
    </w:p>
    <w:p w:rsidR="007E4D0F" w:rsidRPr="00314A8D" w:rsidRDefault="007E4D0F" w:rsidP="00A06B9C">
      <w:pPr>
        <w:spacing w:line="240" w:lineRule="auto"/>
        <w:jc w:val="center"/>
        <w:rPr>
          <w:sz w:val="24"/>
          <w:lang w:val="en-GB"/>
        </w:rPr>
      </w:pPr>
    </w:p>
    <w:p w:rsidR="007E4D0F" w:rsidRPr="00314A8D" w:rsidRDefault="00314A8D" w:rsidP="00A06B9C">
      <w:pPr>
        <w:spacing w:line="240" w:lineRule="auto"/>
        <w:jc w:val="center"/>
        <w:rPr>
          <w:b/>
          <w:sz w:val="24"/>
          <w:lang w:val="en-GB"/>
        </w:rPr>
      </w:pPr>
      <w:r w:rsidRPr="00314A8D">
        <w:rPr>
          <w:b/>
          <w:sz w:val="24"/>
          <w:lang w:val="en-GB"/>
        </w:rPr>
        <w:t>Case No</w:t>
      </w:r>
      <w:r w:rsidR="00FF271B" w:rsidRPr="00314A8D">
        <w:rPr>
          <w:b/>
          <w:sz w:val="24"/>
          <w:lang w:val="en-GB"/>
        </w:rPr>
        <w:t>. KI123/19</w:t>
      </w:r>
    </w:p>
    <w:p w:rsidR="007E4D0F" w:rsidRPr="00314A8D" w:rsidRDefault="007E4D0F" w:rsidP="00A06B9C">
      <w:pPr>
        <w:spacing w:line="240" w:lineRule="auto"/>
        <w:jc w:val="center"/>
        <w:rPr>
          <w:b/>
          <w:sz w:val="24"/>
          <w:lang w:val="en-GB"/>
        </w:rPr>
      </w:pPr>
    </w:p>
    <w:p w:rsidR="007E4D0F" w:rsidRPr="00314A8D" w:rsidRDefault="00314A8D" w:rsidP="00A06B9C">
      <w:pPr>
        <w:spacing w:line="240" w:lineRule="auto"/>
        <w:ind w:left="360" w:hanging="360"/>
        <w:jc w:val="center"/>
        <w:rPr>
          <w:bCs/>
          <w:sz w:val="24"/>
          <w:lang w:val="en-GB"/>
        </w:rPr>
      </w:pPr>
      <w:r w:rsidRPr="00314A8D">
        <w:rPr>
          <w:bCs/>
          <w:sz w:val="24"/>
          <w:lang w:val="en-GB"/>
        </w:rPr>
        <w:t>Applicant</w:t>
      </w:r>
    </w:p>
    <w:p w:rsidR="007E4D0F" w:rsidRPr="00314A8D" w:rsidRDefault="007E4D0F" w:rsidP="00A06B9C">
      <w:pPr>
        <w:spacing w:line="240" w:lineRule="auto"/>
        <w:ind w:left="360" w:hanging="360"/>
        <w:jc w:val="center"/>
        <w:rPr>
          <w:bCs/>
          <w:sz w:val="24"/>
          <w:lang w:val="en-GB"/>
        </w:rPr>
      </w:pPr>
    </w:p>
    <w:p w:rsidR="007E4D0F" w:rsidRPr="00314A8D" w:rsidRDefault="00FF271B" w:rsidP="00A06B9C">
      <w:pPr>
        <w:spacing w:line="240" w:lineRule="auto"/>
        <w:ind w:left="360" w:hanging="360"/>
        <w:jc w:val="center"/>
        <w:rPr>
          <w:b/>
          <w:bCs/>
          <w:sz w:val="24"/>
          <w:lang w:val="en-GB"/>
        </w:rPr>
      </w:pPr>
      <w:r w:rsidRPr="00314A8D">
        <w:rPr>
          <w:b/>
          <w:bCs/>
          <w:sz w:val="24"/>
          <w:lang w:val="en-GB"/>
        </w:rPr>
        <w:t xml:space="preserve">“SUVA </w:t>
      </w:r>
      <w:proofErr w:type="spellStart"/>
      <w:r w:rsidRPr="00314A8D">
        <w:rPr>
          <w:b/>
          <w:bCs/>
          <w:sz w:val="24"/>
          <w:lang w:val="en-GB"/>
        </w:rPr>
        <w:t>Rechtsabteilung</w:t>
      </w:r>
      <w:proofErr w:type="spellEnd"/>
      <w:r w:rsidRPr="00314A8D">
        <w:rPr>
          <w:b/>
          <w:bCs/>
          <w:sz w:val="24"/>
          <w:lang w:val="en-GB"/>
        </w:rPr>
        <w:t>”</w:t>
      </w:r>
    </w:p>
    <w:p w:rsidR="007E4D0F" w:rsidRPr="00314A8D" w:rsidRDefault="007E4D0F" w:rsidP="00A06B9C">
      <w:pPr>
        <w:spacing w:line="240" w:lineRule="auto"/>
        <w:ind w:left="360" w:hanging="360"/>
        <w:jc w:val="center"/>
        <w:rPr>
          <w:bCs/>
          <w:sz w:val="24"/>
          <w:lang w:val="en-GB"/>
        </w:rPr>
      </w:pPr>
    </w:p>
    <w:p w:rsidR="007E4D0F" w:rsidRPr="00314A8D" w:rsidRDefault="007E4D0F" w:rsidP="00A06B9C">
      <w:pPr>
        <w:spacing w:line="240" w:lineRule="auto"/>
        <w:jc w:val="center"/>
        <w:rPr>
          <w:b/>
          <w:sz w:val="24"/>
          <w:lang w:val="en-GB"/>
        </w:rPr>
      </w:pPr>
    </w:p>
    <w:p w:rsidR="007E4D0F" w:rsidRPr="00314A8D" w:rsidRDefault="00314A8D" w:rsidP="00A06B9C">
      <w:pPr>
        <w:pStyle w:val="Default"/>
        <w:jc w:val="center"/>
        <w:rPr>
          <w:b/>
          <w:iCs/>
          <w:color w:val="auto"/>
          <w:lang w:val="en-GB"/>
        </w:rPr>
      </w:pPr>
      <w:r w:rsidRPr="00314A8D">
        <w:rPr>
          <w:b/>
          <w:color w:val="auto"/>
          <w:lang w:val="en-GB"/>
        </w:rPr>
        <w:t>Constitutional review of Judgment</w:t>
      </w:r>
      <w:r w:rsidR="00FF271B" w:rsidRPr="00314A8D">
        <w:rPr>
          <w:b/>
          <w:color w:val="auto"/>
          <w:lang w:val="en-GB"/>
        </w:rPr>
        <w:t xml:space="preserve"> </w:t>
      </w:r>
      <w:r>
        <w:rPr>
          <w:b/>
          <w:color w:val="auto"/>
          <w:lang w:val="en-GB"/>
        </w:rPr>
        <w:t>Ae.</w:t>
      </w:r>
      <w:r w:rsidR="00FF271B" w:rsidRPr="00314A8D">
        <w:rPr>
          <w:b/>
          <w:color w:val="auto"/>
          <w:lang w:val="en-GB"/>
        </w:rPr>
        <w:t>n</w:t>
      </w:r>
      <w:r>
        <w:rPr>
          <w:b/>
          <w:color w:val="auto"/>
          <w:lang w:val="en-GB"/>
        </w:rPr>
        <w:t>o</w:t>
      </w:r>
      <w:r w:rsidR="00FF271B" w:rsidRPr="00314A8D">
        <w:rPr>
          <w:b/>
          <w:color w:val="auto"/>
          <w:lang w:val="en-GB"/>
        </w:rPr>
        <w:t>.146/17,</w:t>
      </w:r>
      <w:r>
        <w:rPr>
          <w:b/>
          <w:color w:val="auto"/>
          <w:lang w:val="en-GB"/>
        </w:rPr>
        <w:t xml:space="preserve"> of the Court of Appeals of Kosovo, of</w:t>
      </w:r>
      <w:r w:rsidR="00FF271B" w:rsidRPr="00314A8D">
        <w:rPr>
          <w:b/>
          <w:color w:val="auto"/>
          <w:lang w:val="en-GB"/>
        </w:rPr>
        <w:t xml:space="preserve"> 26 </w:t>
      </w:r>
      <w:r>
        <w:rPr>
          <w:b/>
          <w:color w:val="auto"/>
          <w:lang w:val="en-GB"/>
        </w:rPr>
        <w:t>February</w:t>
      </w:r>
      <w:r w:rsidR="00FF271B" w:rsidRPr="00314A8D">
        <w:rPr>
          <w:b/>
          <w:color w:val="auto"/>
          <w:lang w:val="en-GB"/>
        </w:rPr>
        <w:t xml:space="preserve"> 2019</w:t>
      </w:r>
    </w:p>
    <w:p w:rsidR="007E4D0F" w:rsidRPr="00314A8D" w:rsidRDefault="007E4D0F" w:rsidP="00A06B9C">
      <w:pPr>
        <w:spacing w:line="240" w:lineRule="auto"/>
        <w:ind w:left="720"/>
        <w:contextualSpacing/>
        <w:rPr>
          <w:rFonts w:eastAsiaTheme="minorHAnsi" w:cstheme="minorBidi"/>
          <w:sz w:val="24"/>
          <w:lang w:val="en-GB"/>
        </w:rPr>
      </w:pPr>
    </w:p>
    <w:p w:rsidR="009E1F52" w:rsidRPr="00314A8D" w:rsidRDefault="009E1F52" w:rsidP="00A06B9C">
      <w:pPr>
        <w:tabs>
          <w:tab w:val="left" w:pos="540"/>
          <w:tab w:val="left" w:pos="720"/>
        </w:tabs>
        <w:spacing w:line="240" w:lineRule="auto"/>
        <w:ind w:left="360" w:hanging="360"/>
        <w:jc w:val="center"/>
        <w:rPr>
          <w:bCs/>
          <w:sz w:val="24"/>
          <w:lang w:val="en-GB"/>
        </w:rPr>
      </w:pPr>
    </w:p>
    <w:p w:rsidR="0028104F" w:rsidRPr="00314A8D" w:rsidRDefault="0028104F" w:rsidP="00A06B9C">
      <w:pPr>
        <w:tabs>
          <w:tab w:val="left" w:pos="540"/>
          <w:tab w:val="left" w:pos="720"/>
        </w:tabs>
        <w:spacing w:line="240" w:lineRule="auto"/>
        <w:ind w:left="360" w:hanging="360"/>
        <w:jc w:val="center"/>
        <w:rPr>
          <w:bCs/>
          <w:sz w:val="24"/>
          <w:lang w:val="en-GB"/>
        </w:rPr>
      </w:pPr>
    </w:p>
    <w:p w:rsidR="00314A8D" w:rsidRPr="00957166" w:rsidRDefault="00314A8D" w:rsidP="00A06B9C">
      <w:pPr>
        <w:tabs>
          <w:tab w:val="left" w:pos="0"/>
        </w:tabs>
        <w:spacing w:line="240" w:lineRule="auto"/>
        <w:jc w:val="center"/>
        <w:rPr>
          <w:rFonts w:eastAsia="MS Mincho" w:cs="Arial"/>
          <w:b/>
          <w:sz w:val="24"/>
          <w:lang w:val="en-GB"/>
        </w:rPr>
      </w:pPr>
      <w:r w:rsidRPr="00957166">
        <w:rPr>
          <w:rFonts w:eastAsia="MS Mincho" w:cs="Arial"/>
          <w:b/>
          <w:sz w:val="24"/>
          <w:lang w:val="en-GB"/>
        </w:rPr>
        <w:t>THE CONSTITUTIONAL COURT OF THE REPUBLIC OF KOSOVO</w:t>
      </w:r>
    </w:p>
    <w:p w:rsidR="00314A8D" w:rsidRPr="00957166" w:rsidRDefault="00314A8D" w:rsidP="00A06B9C">
      <w:pPr>
        <w:spacing w:line="240" w:lineRule="auto"/>
        <w:rPr>
          <w:color w:val="000000"/>
          <w:sz w:val="24"/>
          <w:highlight w:val="cyan"/>
          <w:lang w:val="en-GB"/>
        </w:rPr>
      </w:pPr>
    </w:p>
    <w:p w:rsidR="00314A8D" w:rsidRPr="00957166" w:rsidRDefault="00314A8D" w:rsidP="00A06B9C">
      <w:pPr>
        <w:spacing w:line="240" w:lineRule="auto"/>
        <w:rPr>
          <w:color w:val="000000"/>
          <w:sz w:val="24"/>
          <w:highlight w:val="cyan"/>
          <w:lang w:val="en-GB"/>
        </w:rPr>
      </w:pPr>
    </w:p>
    <w:p w:rsidR="00314A8D" w:rsidRPr="00957166" w:rsidRDefault="00314A8D" w:rsidP="00A06B9C">
      <w:pPr>
        <w:spacing w:line="240" w:lineRule="auto"/>
        <w:rPr>
          <w:color w:val="000000"/>
          <w:sz w:val="24"/>
          <w:lang w:val="en-GB"/>
        </w:rPr>
      </w:pPr>
      <w:proofErr w:type="gramStart"/>
      <w:r w:rsidRPr="00957166">
        <w:rPr>
          <w:color w:val="000000"/>
          <w:sz w:val="24"/>
          <w:lang w:val="en-GB"/>
        </w:rPr>
        <w:t>composed</w:t>
      </w:r>
      <w:proofErr w:type="gramEnd"/>
      <w:r w:rsidRPr="00957166">
        <w:rPr>
          <w:color w:val="000000"/>
          <w:sz w:val="24"/>
          <w:lang w:val="en-GB"/>
        </w:rPr>
        <w:t xml:space="preserve"> of:</w:t>
      </w:r>
    </w:p>
    <w:p w:rsidR="00314A8D" w:rsidRPr="00957166" w:rsidRDefault="00314A8D" w:rsidP="00A06B9C">
      <w:pPr>
        <w:spacing w:line="240" w:lineRule="auto"/>
        <w:rPr>
          <w:color w:val="000000"/>
          <w:sz w:val="24"/>
          <w:lang w:val="en-GB"/>
        </w:rPr>
      </w:pPr>
    </w:p>
    <w:p w:rsidR="00314A8D" w:rsidRPr="00957166" w:rsidRDefault="00314A8D" w:rsidP="00A06B9C">
      <w:pPr>
        <w:spacing w:line="240" w:lineRule="auto"/>
        <w:rPr>
          <w:color w:val="000000"/>
          <w:sz w:val="24"/>
          <w:lang w:val="en-GB"/>
        </w:rPr>
      </w:pPr>
      <w:r w:rsidRPr="00957166">
        <w:rPr>
          <w:color w:val="000000"/>
          <w:sz w:val="24"/>
          <w:lang w:val="en-GB"/>
        </w:rPr>
        <w:t>Arta Rama-</w:t>
      </w:r>
      <w:proofErr w:type="spellStart"/>
      <w:r w:rsidRPr="00957166">
        <w:rPr>
          <w:color w:val="000000"/>
          <w:sz w:val="24"/>
          <w:lang w:val="en-GB"/>
        </w:rPr>
        <w:t>Hajrizi</w:t>
      </w:r>
      <w:proofErr w:type="spellEnd"/>
      <w:r w:rsidRPr="00957166">
        <w:rPr>
          <w:color w:val="000000"/>
          <w:sz w:val="24"/>
          <w:lang w:val="en-GB"/>
        </w:rPr>
        <w:t>, President</w:t>
      </w:r>
    </w:p>
    <w:p w:rsidR="00314A8D" w:rsidRPr="00957166" w:rsidRDefault="00314A8D" w:rsidP="00A06B9C">
      <w:pPr>
        <w:spacing w:line="240" w:lineRule="auto"/>
        <w:rPr>
          <w:color w:val="000000"/>
          <w:sz w:val="24"/>
          <w:lang w:val="en-GB"/>
        </w:rPr>
      </w:pPr>
      <w:r w:rsidRPr="00957166">
        <w:rPr>
          <w:color w:val="000000"/>
          <w:sz w:val="24"/>
          <w:lang w:val="en-GB"/>
        </w:rPr>
        <w:t>Bajram Ljatifi, Deputy President</w:t>
      </w:r>
    </w:p>
    <w:p w:rsidR="00314A8D" w:rsidRPr="00957166" w:rsidRDefault="00314A8D" w:rsidP="00A06B9C">
      <w:pPr>
        <w:spacing w:line="240" w:lineRule="auto"/>
        <w:rPr>
          <w:color w:val="000000"/>
          <w:sz w:val="24"/>
          <w:lang w:val="en-GB"/>
        </w:rPr>
      </w:pPr>
      <w:r w:rsidRPr="00957166">
        <w:rPr>
          <w:color w:val="000000"/>
          <w:sz w:val="24"/>
          <w:lang w:val="en-GB"/>
        </w:rPr>
        <w:t>Bekim Sejdiu, Judge</w:t>
      </w:r>
    </w:p>
    <w:p w:rsidR="00314A8D" w:rsidRPr="00957166" w:rsidRDefault="00314A8D" w:rsidP="00A06B9C">
      <w:pPr>
        <w:spacing w:line="240" w:lineRule="auto"/>
        <w:rPr>
          <w:color w:val="000000"/>
          <w:sz w:val="24"/>
          <w:lang w:val="en-GB"/>
        </w:rPr>
      </w:pPr>
      <w:r w:rsidRPr="00957166">
        <w:rPr>
          <w:color w:val="000000"/>
          <w:sz w:val="24"/>
          <w:lang w:val="en-GB"/>
        </w:rPr>
        <w:t xml:space="preserve">Selvete </w:t>
      </w:r>
      <w:proofErr w:type="spellStart"/>
      <w:r w:rsidRPr="00957166">
        <w:rPr>
          <w:color w:val="000000"/>
          <w:sz w:val="24"/>
          <w:lang w:val="en-GB"/>
        </w:rPr>
        <w:t>Gërxhaliu</w:t>
      </w:r>
      <w:proofErr w:type="spellEnd"/>
      <w:r w:rsidRPr="00957166">
        <w:rPr>
          <w:color w:val="000000"/>
          <w:sz w:val="24"/>
          <w:lang w:val="en-GB"/>
        </w:rPr>
        <w:t>-Krasniqi, Judge</w:t>
      </w:r>
    </w:p>
    <w:p w:rsidR="00314A8D" w:rsidRPr="00957166" w:rsidRDefault="00314A8D" w:rsidP="00A06B9C">
      <w:pPr>
        <w:spacing w:line="240" w:lineRule="auto"/>
        <w:rPr>
          <w:color w:val="000000"/>
          <w:sz w:val="24"/>
          <w:lang w:val="en-GB"/>
        </w:rPr>
      </w:pPr>
      <w:r w:rsidRPr="00957166">
        <w:rPr>
          <w:color w:val="000000"/>
          <w:sz w:val="24"/>
          <w:lang w:val="en-GB"/>
        </w:rPr>
        <w:t>Gresa Caka-</w:t>
      </w:r>
      <w:proofErr w:type="spellStart"/>
      <w:r w:rsidRPr="00957166">
        <w:rPr>
          <w:color w:val="000000"/>
          <w:sz w:val="24"/>
          <w:lang w:val="en-GB"/>
        </w:rPr>
        <w:t>Nimani</w:t>
      </w:r>
      <w:proofErr w:type="spellEnd"/>
      <w:r w:rsidRPr="00957166">
        <w:rPr>
          <w:color w:val="000000"/>
          <w:sz w:val="24"/>
          <w:lang w:val="en-GB"/>
        </w:rPr>
        <w:t>, Judge</w:t>
      </w:r>
    </w:p>
    <w:p w:rsidR="00314A8D" w:rsidRPr="00957166" w:rsidRDefault="00314A8D" w:rsidP="00A06B9C">
      <w:pPr>
        <w:spacing w:line="240" w:lineRule="auto"/>
        <w:rPr>
          <w:color w:val="000000"/>
          <w:sz w:val="24"/>
          <w:lang w:val="en-GB"/>
        </w:rPr>
      </w:pPr>
      <w:r w:rsidRPr="00957166">
        <w:rPr>
          <w:color w:val="000000"/>
          <w:sz w:val="24"/>
          <w:lang w:val="en-GB"/>
        </w:rPr>
        <w:t>Safet Hoxha, Judge</w:t>
      </w:r>
    </w:p>
    <w:p w:rsidR="00314A8D" w:rsidRPr="00957166" w:rsidRDefault="00314A8D" w:rsidP="00A06B9C">
      <w:pPr>
        <w:spacing w:line="240" w:lineRule="auto"/>
        <w:rPr>
          <w:color w:val="000000"/>
          <w:sz w:val="24"/>
          <w:lang w:val="en-GB"/>
        </w:rPr>
      </w:pPr>
      <w:r>
        <w:rPr>
          <w:color w:val="000000"/>
          <w:sz w:val="24"/>
          <w:lang w:val="en-GB"/>
        </w:rPr>
        <w:t>Radomir Laban, J</w:t>
      </w:r>
      <w:r w:rsidRPr="00957166">
        <w:rPr>
          <w:color w:val="000000"/>
          <w:sz w:val="24"/>
          <w:lang w:val="en-GB"/>
        </w:rPr>
        <w:t>udge</w:t>
      </w:r>
    </w:p>
    <w:p w:rsidR="00314A8D" w:rsidRPr="00957166" w:rsidRDefault="00314A8D" w:rsidP="00A06B9C">
      <w:pPr>
        <w:spacing w:line="240" w:lineRule="auto"/>
        <w:rPr>
          <w:color w:val="000000"/>
          <w:sz w:val="24"/>
          <w:lang w:val="en-GB"/>
        </w:rPr>
      </w:pPr>
      <w:proofErr w:type="spellStart"/>
      <w:r w:rsidRPr="00957166">
        <w:rPr>
          <w:color w:val="000000"/>
          <w:sz w:val="24"/>
          <w:lang w:val="en-GB"/>
        </w:rPr>
        <w:t>Remzije</w:t>
      </w:r>
      <w:proofErr w:type="spellEnd"/>
      <w:r w:rsidRPr="00957166">
        <w:rPr>
          <w:color w:val="000000"/>
          <w:sz w:val="24"/>
          <w:lang w:val="en-GB"/>
        </w:rPr>
        <w:t xml:space="preserve"> Istrefi-</w:t>
      </w:r>
      <w:proofErr w:type="spellStart"/>
      <w:r w:rsidRPr="00957166">
        <w:rPr>
          <w:color w:val="000000"/>
          <w:sz w:val="24"/>
          <w:lang w:val="en-GB"/>
        </w:rPr>
        <w:t>Peci</w:t>
      </w:r>
      <w:proofErr w:type="spellEnd"/>
      <w:r w:rsidRPr="00957166">
        <w:rPr>
          <w:color w:val="000000"/>
          <w:sz w:val="24"/>
          <w:lang w:val="en-GB"/>
        </w:rPr>
        <w:t xml:space="preserve">, Judge and </w:t>
      </w:r>
    </w:p>
    <w:p w:rsidR="00314A8D" w:rsidRPr="00957166" w:rsidRDefault="00314A8D" w:rsidP="00A06B9C">
      <w:pPr>
        <w:spacing w:line="240" w:lineRule="auto"/>
        <w:rPr>
          <w:color w:val="000000"/>
          <w:sz w:val="24"/>
          <w:lang w:val="en-GB"/>
        </w:rPr>
      </w:pPr>
      <w:r w:rsidRPr="00957166">
        <w:rPr>
          <w:color w:val="000000"/>
          <w:sz w:val="24"/>
          <w:lang w:val="en-GB"/>
        </w:rPr>
        <w:t>Nexhmi Rexhepi, Judge</w:t>
      </w:r>
    </w:p>
    <w:p w:rsidR="00314A8D" w:rsidRPr="008573F7" w:rsidRDefault="00314A8D" w:rsidP="00A06B9C">
      <w:pPr>
        <w:spacing w:line="240" w:lineRule="auto"/>
        <w:rPr>
          <w:sz w:val="24"/>
          <w:lang w:val="en-GB"/>
        </w:rPr>
      </w:pPr>
    </w:p>
    <w:p w:rsidR="0028104F" w:rsidRPr="00314A8D" w:rsidRDefault="0028104F" w:rsidP="00A06B9C">
      <w:pPr>
        <w:spacing w:line="240" w:lineRule="auto"/>
        <w:rPr>
          <w:b/>
          <w:sz w:val="24"/>
          <w:lang w:val="en-GB"/>
        </w:rPr>
      </w:pPr>
    </w:p>
    <w:p w:rsidR="009E1F52" w:rsidRPr="00314A8D" w:rsidRDefault="00314A8D" w:rsidP="00A06B9C">
      <w:pPr>
        <w:spacing w:line="240" w:lineRule="auto"/>
        <w:rPr>
          <w:b/>
          <w:bCs/>
          <w:sz w:val="24"/>
          <w:lang w:val="en-GB"/>
        </w:rPr>
      </w:pPr>
      <w:r>
        <w:rPr>
          <w:b/>
          <w:bCs/>
          <w:sz w:val="24"/>
          <w:lang w:val="en-GB"/>
        </w:rPr>
        <w:t>Applicant</w:t>
      </w:r>
    </w:p>
    <w:p w:rsidR="009E1F52" w:rsidRPr="00314A8D" w:rsidRDefault="009E1F52" w:rsidP="00A06B9C">
      <w:pPr>
        <w:spacing w:line="240" w:lineRule="auto"/>
        <w:rPr>
          <w:b/>
          <w:sz w:val="24"/>
          <w:lang w:val="en-GB"/>
        </w:rPr>
      </w:pPr>
    </w:p>
    <w:p w:rsidR="007E4D0F" w:rsidRPr="00314A8D" w:rsidRDefault="00314A8D" w:rsidP="00A06B9C">
      <w:pPr>
        <w:numPr>
          <w:ilvl w:val="0"/>
          <w:numId w:val="63"/>
        </w:numPr>
        <w:spacing w:line="240" w:lineRule="auto"/>
        <w:ind w:left="630" w:hanging="630"/>
        <w:rPr>
          <w:sz w:val="24"/>
          <w:lang w:val="en-GB"/>
        </w:rPr>
      </w:pPr>
      <w:r w:rsidRPr="00314A8D">
        <w:rPr>
          <w:sz w:val="24"/>
          <w:lang w:val="en-GB"/>
        </w:rPr>
        <w:t xml:space="preserve">The </w:t>
      </w:r>
      <w:r>
        <w:rPr>
          <w:sz w:val="24"/>
          <w:lang w:val="en-GB"/>
        </w:rPr>
        <w:t>Referral</w:t>
      </w:r>
      <w:r w:rsidRPr="00314A8D">
        <w:rPr>
          <w:sz w:val="24"/>
          <w:lang w:val="en-GB"/>
        </w:rPr>
        <w:t xml:space="preserve"> was submitted by the insurance company </w:t>
      </w:r>
      <w:r>
        <w:rPr>
          <w:i/>
          <w:sz w:val="24"/>
          <w:lang w:val="en-GB"/>
        </w:rPr>
        <w:t>“</w:t>
      </w:r>
      <w:r w:rsidRPr="00314A8D">
        <w:rPr>
          <w:i/>
          <w:sz w:val="24"/>
          <w:lang w:val="en-GB"/>
        </w:rPr>
        <w:t xml:space="preserve">Suva </w:t>
      </w:r>
      <w:proofErr w:type="spellStart"/>
      <w:r w:rsidRPr="00314A8D">
        <w:rPr>
          <w:i/>
          <w:sz w:val="24"/>
          <w:lang w:val="en-GB"/>
        </w:rPr>
        <w:t>Rechtsabteilung</w:t>
      </w:r>
      <w:proofErr w:type="spellEnd"/>
      <w:r>
        <w:rPr>
          <w:i/>
          <w:sz w:val="24"/>
          <w:lang w:val="en-GB"/>
        </w:rPr>
        <w:t>”</w:t>
      </w:r>
      <w:r w:rsidRPr="00314A8D">
        <w:rPr>
          <w:sz w:val="24"/>
          <w:lang w:val="en-GB"/>
        </w:rPr>
        <w:t xml:space="preserve"> based in Lucerne, Switzerland, represented by ICS Assistance LLC, through </w:t>
      </w:r>
      <w:proofErr w:type="spellStart"/>
      <w:r w:rsidRPr="00314A8D">
        <w:rPr>
          <w:sz w:val="24"/>
          <w:lang w:val="en-GB"/>
        </w:rPr>
        <w:t>Visar</w:t>
      </w:r>
      <w:proofErr w:type="spellEnd"/>
      <w:r w:rsidRPr="00314A8D">
        <w:rPr>
          <w:sz w:val="24"/>
          <w:lang w:val="en-GB"/>
        </w:rPr>
        <w:t xml:space="preserve"> Mori</w:t>
      </w:r>
      <w:r w:rsidR="009D5BEC">
        <w:rPr>
          <w:sz w:val="24"/>
          <w:lang w:val="en-GB"/>
        </w:rPr>
        <w:t xml:space="preserve">na and </w:t>
      </w:r>
      <w:proofErr w:type="spellStart"/>
      <w:r w:rsidR="009D5BEC">
        <w:rPr>
          <w:sz w:val="24"/>
          <w:lang w:val="en-GB"/>
        </w:rPr>
        <w:t>Besnik</w:t>
      </w:r>
      <w:proofErr w:type="spellEnd"/>
      <w:r w:rsidR="009D5BEC">
        <w:rPr>
          <w:sz w:val="24"/>
          <w:lang w:val="en-GB"/>
        </w:rPr>
        <w:t xml:space="preserve"> Mr. </w:t>
      </w:r>
      <w:proofErr w:type="spellStart"/>
      <w:r w:rsidR="009D5BEC">
        <w:rPr>
          <w:sz w:val="24"/>
          <w:lang w:val="en-GB"/>
        </w:rPr>
        <w:t>Nikqi</w:t>
      </w:r>
      <w:proofErr w:type="spellEnd"/>
      <w:r w:rsidR="009D5BEC">
        <w:rPr>
          <w:sz w:val="24"/>
          <w:lang w:val="en-GB"/>
        </w:rPr>
        <w:t>, attorney at law</w:t>
      </w:r>
      <w:r w:rsidRPr="00314A8D">
        <w:rPr>
          <w:sz w:val="24"/>
          <w:lang w:val="en-GB"/>
        </w:rPr>
        <w:t xml:space="preserve"> from </w:t>
      </w:r>
      <w:proofErr w:type="spellStart"/>
      <w:r w:rsidRPr="00314A8D">
        <w:rPr>
          <w:sz w:val="24"/>
          <w:lang w:val="en-GB"/>
        </w:rPr>
        <w:t>Prishtina</w:t>
      </w:r>
      <w:proofErr w:type="spellEnd"/>
      <w:r w:rsidRPr="00314A8D">
        <w:rPr>
          <w:sz w:val="24"/>
          <w:lang w:val="en-GB"/>
        </w:rPr>
        <w:t xml:space="preserve"> (hereinafter: the </w:t>
      </w:r>
      <w:r>
        <w:rPr>
          <w:sz w:val="24"/>
          <w:lang w:val="en-GB"/>
        </w:rPr>
        <w:t>A</w:t>
      </w:r>
      <w:r w:rsidRPr="00314A8D">
        <w:rPr>
          <w:sz w:val="24"/>
          <w:lang w:val="en-GB"/>
        </w:rPr>
        <w:t>pplicant</w:t>
      </w:r>
      <w:r w:rsidR="00FF271B" w:rsidRPr="00314A8D">
        <w:rPr>
          <w:sz w:val="24"/>
          <w:lang w:val="en-GB"/>
        </w:rPr>
        <w:t>).</w:t>
      </w:r>
    </w:p>
    <w:p w:rsidR="007E4D0F" w:rsidRPr="00314A8D" w:rsidRDefault="00A06B9C" w:rsidP="00A06B9C">
      <w:pPr>
        <w:spacing w:line="240" w:lineRule="auto"/>
        <w:jc w:val="left"/>
        <w:rPr>
          <w:sz w:val="24"/>
          <w:lang w:val="en-GB"/>
        </w:rPr>
      </w:pPr>
      <w:r>
        <w:rPr>
          <w:b/>
          <w:sz w:val="24"/>
          <w:lang w:val="en-GB"/>
        </w:rPr>
        <w:br w:type="page"/>
      </w:r>
      <w:r w:rsidR="00314A8D">
        <w:rPr>
          <w:b/>
          <w:sz w:val="24"/>
          <w:lang w:val="en-GB"/>
        </w:rPr>
        <w:lastRenderedPageBreak/>
        <w:t>Challenged Decision</w:t>
      </w:r>
      <w:r w:rsidR="00FF271B" w:rsidRPr="00314A8D">
        <w:rPr>
          <w:b/>
          <w:sz w:val="24"/>
          <w:lang w:val="en-GB"/>
        </w:rPr>
        <w:t xml:space="preserve"> </w:t>
      </w:r>
    </w:p>
    <w:p w:rsidR="007E4D0F" w:rsidRPr="00314A8D" w:rsidRDefault="007E4D0F" w:rsidP="00A06B9C">
      <w:pPr>
        <w:spacing w:line="240" w:lineRule="auto"/>
        <w:rPr>
          <w:b/>
          <w:sz w:val="24"/>
          <w:lang w:val="en-GB"/>
        </w:rPr>
      </w:pPr>
    </w:p>
    <w:p w:rsidR="007E4D0F" w:rsidRPr="00314A8D" w:rsidRDefault="00314A8D" w:rsidP="00A06B9C">
      <w:pPr>
        <w:pStyle w:val="Default"/>
        <w:numPr>
          <w:ilvl w:val="0"/>
          <w:numId w:val="63"/>
        </w:numPr>
        <w:ind w:left="630" w:hanging="630"/>
        <w:jc w:val="both"/>
        <w:rPr>
          <w:color w:val="auto"/>
          <w:lang w:val="en-GB"/>
        </w:rPr>
      </w:pPr>
      <w:r>
        <w:rPr>
          <w:color w:val="auto"/>
          <w:lang w:val="en-GB"/>
        </w:rPr>
        <w:t>T</w:t>
      </w:r>
      <w:r w:rsidRPr="00314A8D">
        <w:rPr>
          <w:color w:val="auto"/>
          <w:lang w:val="en-GB"/>
        </w:rPr>
        <w:t>he Applicant disputes the constitutionality of the Judgment</w:t>
      </w:r>
      <w:r>
        <w:rPr>
          <w:color w:val="auto"/>
          <w:lang w:val="en-GB"/>
        </w:rPr>
        <w:t xml:space="preserve"> Ae</w:t>
      </w:r>
      <w:r w:rsidRPr="00314A8D">
        <w:rPr>
          <w:color w:val="auto"/>
          <w:lang w:val="en-GB"/>
        </w:rPr>
        <w:t>.no.146/17 of the Court of Appeals of Kosovo</w:t>
      </w:r>
      <w:r>
        <w:rPr>
          <w:color w:val="auto"/>
          <w:lang w:val="en-GB"/>
        </w:rPr>
        <w:t>,</w:t>
      </w:r>
      <w:r w:rsidRPr="00314A8D">
        <w:rPr>
          <w:color w:val="auto"/>
          <w:lang w:val="en-GB"/>
        </w:rPr>
        <w:t xml:space="preserve"> of 26 February 2019 (hereinafter: the </w:t>
      </w:r>
      <w:r>
        <w:rPr>
          <w:color w:val="auto"/>
          <w:lang w:val="en-GB"/>
        </w:rPr>
        <w:t>Court of Appeals). The challenged</w:t>
      </w:r>
      <w:r w:rsidRPr="00314A8D">
        <w:rPr>
          <w:color w:val="auto"/>
          <w:lang w:val="en-GB"/>
        </w:rPr>
        <w:t xml:space="preserve"> decision was </w:t>
      </w:r>
      <w:r>
        <w:rPr>
          <w:color w:val="auto"/>
          <w:lang w:val="en-GB"/>
        </w:rPr>
        <w:t>received</w:t>
      </w:r>
      <w:r w:rsidRPr="00314A8D">
        <w:rPr>
          <w:color w:val="auto"/>
          <w:lang w:val="en-GB"/>
        </w:rPr>
        <w:t xml:space="preserve"> by the </w:t>
      </w:r>
      <w:r>
        <w:rPr>
          <w:color w:val="auto"/>
          <w:lang w:val="en-GB"/>
        </w:rPr>
        <w:t>A</w:t>
      </w:r>
      <w:r w:rsidRPr="00314A8D">
        <w:rPr>
          <w:color w:val="auto"/>
          <w:lang w:val="en-GB"/>
        </w:rPr>
        <w:t>pplicant on 23 April 2019</w:t>
      </w:r>
      <w:r w:rsidR="00FF271B" w:rsidRPr="00314A8D">
        <w:rPr>
          <w:color w:val="auto"/>
          <w:lang w:val="en-GB"/>
        </w:rPr>
        <w:t>.</w:t>
      </w:r>
    </w:p>
    <w:p w:rsidR="007E4D0F" w:rsidRPr="00314A8D" w:rsidRDefault="007E4D0F" w:rsidP="00A06B9C">
      <w:pPr>
        <w:spacing w:line="240" w:lineRule="auto"/>
        <w:rPr>
          <w:sz w:val="24"/>
          <w:lang w:val="en-GB"/>
        </w:rPr>
      </w:pPr>
    </w:p>
    <w:p w:rsidR="007E4D0F" w:rsidRPr="00314A8D" w:rsidRDefault="00314A8D" w:rsidP="00A06B9C">
      <w:pPr>
        <w:spacing w:line="240" w:lineRule="auto"/>
        <w:rPr>
          <w:b/>
          <w:sz w:val="24"/>
          <w:lang w:val="en-GB"/>
        </w:rPr>
      </w:pPr>
      <w:r>
        <w:rPr>
          <w:b/>
          <w:sz w:val="24"/>
          <w:lang w:val="en-GB"/>
        </w:rPr>
        <w:t>Subject Matter</w:t>
      </w:r>
      <w:r w:rsidR="00FF271B" w:rsidRPr="00314A8D">
        <w:rPr>
          <w:b/>
          <w:sz w:val="24"/>
          <w:lang w:val="en-GB"/>
        </w:rPr>
        <w:t xml:space="preserve"> </w:t>
      </w:r>
    </w:p>
    <w:p w:rsidR="007E4D0F" w:rsidRPr="00314A8D" w:rsidRDefault="007E4D0F" w:rsidP="00A06B9C">
      <w:pPr>
        <w:spacing w:line="240" w:lineRule="auto"/>
        <w:jc w:val="left"/>
        <w:rPr>
          <w:b/>
          <w:sz w:val="24"/>
          <w:lang w:val="en-GB"/>
        </w:rPr>
      </w:pPr>
    </w:p>
    <w:p w:rsidR="007E4D0F" w:rsidRPr="00314A8D" w:rsidRDefault="00314A8D" w:rsidP="00A06B9C">
      <w:pPr>
        <w:numPr>
          <w:ilvl w:val="0"/>
          <w:numId w:val="63"/>
        </w:numPr>
        <w:spacing w:line="240" w:lineRule="auto"/>
        <w:ind w:left="630" w:hanging="630"/>
        <w:rPr>
          <w:sz w:val="24"/>
          <w:lang w:val="en-GB"/>
        </w:rPr>
      </w:pPr>
      <w:r w:rsidRPr="00314A8D">
        <w:rPr>
          <w:sz w:val="24"/>
          <w:lang w:val="en-GB"/>
        </w:rPr>
        <w:t xml:space="preserve">The </w:t>
      </w:r>
      <w:r>
        <w:rPr>
          <w:sz w:val="24"/>
          <w:lang w:val="en-GB"/>
        </w:rPr>
        <w:t>subject matter of the Referral</w:t>
      </w:r>
      <w:r w:rsidRPr="00314A8D">
        <w:rPr>
          <w:sz w:val="24"/>
          <w:lang w:val="en-GB"/>
        </w:rPr>
        <w:t xml:space="preserve"> is the constitutional</w:t>
      </w:r>
      <w:r>
        <w:rPr>
          <w:sz w:val="24"/>
          <w:lang w:val="en-GB"/>
        </w:rPr>
        <w:t xml:space="preserve"> review</w:t>
      </w:r>
      <w:r w:rsidRPr="00314A8D">
        <w:rPr>
          <w:sz w:val="24"/>
          <w:lang w:val="en-GB"/>
        </w:rPr>
        <w:t xml:space="preserve"> of the aforementioned Judgment of the Court of Appeals, which </w:t>
      </w:r>
      <w:r>
        <w:rPr>
          <w:sz w:val="24"/>
          <w:lang w:val="en-GB"/>
        </w:rPr>
        <w:t>as</w:t>
      </w:r>
      <w:r w:rsidRPr="00314A8D">
        <w:rPr>
          <w:sz w:val="24"/>
          <w:lang w:val="en-GB"/>
        </w:rPr>
        <w:t xml:space="preserve"> alleged </w:t>
      </w:r>
      <w:r>
        <w:rPr>
          <w:sz w:val="24"/>
          <w:lang w:val="en-GB"/>
        </w:rPr>
        <w:t>by the Applicant has violated his right g</w:t>
      </w:r>
      <w:r w:rsidRPr="00314A8D">
        <w:rPr>
          <w:sz w:val="24"/>
          <w:lang w:val="en-GB"/>
        </w:rPr>
        <w:t xml:space="preserve">uaranteed </w:t>
      </w:r>
      <w:r>
        <w:rPr>
          <w:sz w:val="24"/>
          <w:lang w:val="en-GB"/>
        </w:rPr>
        <w:t xml:space="preserve">by </w:t>
      </w:r>
      <w:r w:rsidRPr="00314A8D">
        <w:rPr>
          <w:sz w:val="24"/>
          <w:lang w:val="en-GB"/>
        </w:rPr>
        <w:t>Article 31 [Right to Fair and Impartial Trial] of the Constitution of the Republic of Kosovo (hereinafter: the Constitution) in conjunction with Article 6 (Right to</w:t>
      </w:r>
      <w:r>
        <w:rPr>
          <w:sz w:val="24"/>
          <w:lang w:val="en-GB"/>
        </w:rPr>
        <w:t xml:space="preserve"> a fair trial</w:t>
      </w:r>
      <w:r w:rsidRPr="00314A8D">
        <w:rPr>
          <w:sz w:val="24"/>
          <w:lang w:val="en-GB"/>
        </w:rPr>
        <w:t>) of the European Convention on Human Rights (hereinafter: the ECHR</w:t>
      </w:r>
      <w:r w:rsidR="00FF271B" w:rsidRPr="00314A8D">
        <w:rPr>
          <w:rFonts w:eastAsiaTheme="minorHAnsi" w:cstheme="minorBidi"/>
          <w:bCs/>
          <w:sz w:val="24"/>
          <w:lang w:val="en-GB"/>
        </w:rPr>
        <w:t>).</w:t>
      </w:r>
    </w:p>
    <w:p w:rsidR="007E4D0F" w:rsidRPr="00314A8D" w:rsidRDefault="007E4D0F" w:rsidP="00A06B9C">
      <w:pPr>
        <w:spacing w:line="240" w:lineRule="auto"/>
        <w:rPr>
          <w:sz w:val="24"/>
          <w:lang w:val="en-GB"/>
        </w:rPr>
      </w:pPr>
    </w:p>
    <w:p w:rsidR="007E4D0F" w:rsidRPr="00314A8D" w:rsidRDefault="00314A8D" w:rsidP="00A06B9C">
      <w:pPr>
        <w:spacing w:line="240" w:lineRule="auto"/>
        <w:rPr>
          <w:sz w:val="24"/>
          <w:lang w:val="en-GB"/>
        </w:rPr>
      </w:pPr>
      <w:r>
        <w:rPr>
          <w:b/>
          <w:sz w:val="24"/>
          <w:lang w:val="en-GB"/>
        </w:rPr>
        <w:t>Legal Basis</w:t>
      </w:r>
    </w:p>
    <w:p w:rsidR="007E4D0F" w:rsidRPr="00314A8D" w:rsidRDefault="007E4D0F" w:rsidP="00A06B9C">
      <w:pPr>
        <w:pStyle w:val="ListParagraph"/>
        <w:spacing w:line="240" w:lineRule="auto"/>
        <w:rPr>
          <w:sz w:val="24"/>
          <w:lang w:val="en-GB"/>
        </w:rPr>
      </w:pPr>
    </w:p>
    <w:p w:rsidR="007E4D0F" w:rsidRPr="00314A8D" w:rsidRDefault="00B05B7B" w:rsidP="00A06B9C">
      <w:pPr>
        <w:numPr>
          <w:ilvl w:val="0"/>
          <w:numId w:val="63"/>
        </w:numPr>
        <w:spacing w:line="240" w:lineRule="auto"/>
        <w:ind w:left="630" w:hanging="630"/>
        <w:rPr>
          <w:sz w:val="24"/>
          <w:lang w:val="en-GB"/>
        </w:rPr>
      </w:pPr>
      <w:r>
        <w:rPr>
          <w:sz w:val="24"/>
          <w:lang w:val="en-GB"/>
        </w:rPr>
        <w:t>The Referral</w:t>
      </w:r>
      <w:r w:rsidRPr="00B05B7B">
        <w:rPr>
          <w:sz w:val="24"/>
          <w:lang w:val="en-GB"/>
        </w:rPr>
        <w:t xml:space="preserve"> is based on paragraph 4 of Article 21 [General Principles] and paragraphs 1 and 7 of Article 113 [Jurisdiction and Authorized Parties] of the Constitution, </w:t>
      </w:r>
      <w:r>
        <w:rPr>
          <w:sz w:val="24"/>
          <w:lang w:val="en-GB"/>
        </w:rPr>
        <w:t>on</w:t>
      </w:r>
      <w:r w:rsidRPr="00B05B7B">
        <w:rPr>
          <w:sz w:val="24"/>
          <w:lang w:val="en-GB"/>
        </w:rPr>
        <w:t xml:space="preserve"> Articles 22 [</w:t>
      </w:r>
      <w:r>
        <w:rPr>
          <w:sz w:val="24"/>
          <w:lang w:val="en-GB"/>
        </w:rPr>
        <w:t>Processing Referral</w:t>
      </w:r>
      <w:r w:rsidRPr="00B05B7B">
        <w:rPr>
          <w:sz w:val="24"/>
          <w:lang w:val="en-GB"/>
        </w:rPr>
        <w:t>] and 47 [Individual Request] of</w:t>
      </w:r>
      <w:r>
        <w:rPr>
          <w:sz w:val="24"/>
          <w:lang w:val="en-GB"/>
        </w:rPr>
        <w:t xml:space="preserve"> the</w:t>
      </w:r>
      <w:r w:rsidRPr="00B05B7B">
        <w:rPr>
          <w:sz w:val="24"/>
          <w:lang w:val="en-GB"/>
        </w:rPr>
        <w:t xml:space="preserve"> Law </w:t>
      </w:r>
      <w:r>
        <w:rPr>
          <w:sz w:val="24"/>
          <w:lang w:val="en-GB"/>
        </w:rPr>
        <w:t>N</w:t>
      </w:r>
      <w:r w:rsidRPr="00B05B7B">
        <w:rPr>
          <w:sz w:val="24"/>
          <w:lang w:val="en-GB"/>
        </w:rPr>
        <w:t>o. 03/L-121 on the Constitutional Court of the Republic of Kosovo (hereinafter: the Law) and Rule 32</w:t>
      </w:r>
      <w:r>
        <w:rPr>
          <w:sz w:val="24"/>
          <w:lang w:val="en-GB"/>
        </w:rPr>
        <w:t xml:space="preserve"> </w:t>
      </w:r>
      <w:r w:rsidRPr="00B05B7B">
        <w:rPr>
          <w:sz w:val="24"/>
          <w:lang w:val="en-GB"/>
        </w:rPr>
        <w:t>[</w:t>
      </w:r>
      <w:r>
        <w:rPr>
          <w:sz w:val="24"/>
          <w:lang w:val="en-GB"/>
        </w:rPr>
        <w:t>Filing of Referrals</w:t>
      </w:r>
      <w:r w:rsidRPr="00B05B7B">
        <w:rPr>
          <w:sz w:val="24"/>
          <w:lang w:val="en-GB"/>
        </w:rPr>
        <w:t xml:space="preserve"> and Re</w:t>
      </w:r>
      <w:r>
        <w:rPr>
          <w:sz w:val="24"/>
          <w:lang w:val="en-GB"/>
        </w:rPr>
        <w:t>plies</w:t>
      </w:r>
      <w:r w:rsidRPr="00B05B7B">
        <w:rPr>
          <w:sz w:val="24"/>
          <w:lang w:val="en-GB"/>
        </w:rPr>
        <w:t>] of the Rules of Procedure of the Court (hereinafter: the Rules of Procedure)</w:t>
      </w:r>
      <w:r w:rsidR="00FF271B" w:rsidRPr="00314A8D">
        <w:rPr>
          <w:sz w:val="24"/>
          <w:lang w:val="en-GB"/>
        </w:rPr>
        <w:t xml:space="preserve">). </w:t>
      </w:r>
    </w:p>
    <w:p w:rsidR="007E4D0F" w:rsidRPr="00314A8D" w:rsidRDefault="007E4D0F" w:rsidP="00A06B9C">
      <w:pPr>
        <w:spacing w:line="240" w:lineRule="auto"/>
        <w:jc w:val="left"/>
        <w:rPr>
          <w:sz w:val="24"/>
          <w:lang w:val="en-GB"/>
        </w:rPr>
      </w:pPr>
    </w:p>
    <w:p w:rsidR="007E4D0F" w:rsidRPr="00314A8D" w:rsidRDefault="00B05B7B" w:rsidP="00A06B9C">
      <w:pPr>
        <w:spacing w:line="240" w:lineRule="auto"/>
        <w:rPr>
          <w:b/>
          <w:sz w:val="24"/>
          <w:lang w:val="en-GB"/>
        </w:rPr>
      </w:pPr>
      <w:r>
        <w:rPr>
          <w:b/>
          <w:sz w:val="24"/>
          <w:lang w:val="en-GB"/>
        </w:rPr>
        <w:t>Proceedings before the Constitutional Court</w:t>
      </w:r>
    </w:p>
    <w:p w:rsidR="007E4D0F" w:rsidRPr="00314A8D" w:rsidRDefault="007E4D0F" w:rsidP="00A06B9C">
      <w:pPr>
        <w:spacing w:line="240" w:lineRule="auto"/>
        <w:jc w:val="left"/>
        <w:rPr>
          <w:b/>
          <w:sz w:val="24"/>
          <w:lang w:val="en-GB"/>
        </w:rPr>
      </w:pPr>
    </w:p>
    <w:p w:rsidR="007E4D0F" w:rsidRPr="00314A8D" w:rsidRDefault="00B05B7B" w:rsidP="00A06B9C">
      <w:pPr>
        <w:numPr>
          <w:ilvl w:val="0"/>
          <w:numId w:val="63"/>
        </w:numPr>
        <w:spacing w:line="240" w:lineRule="auto"/>
        <w:ind w:left="540" w:hanging="540"/>
        <w:rPr>
          <w:sz w:val="24"/>
          <w:lang w:val="en-GB"/>
        </w:rPr>
      </w:pPr>
      <w:r w:rsidRPr="00B05B7B">
        <w:rPr>
          <w:sz w:val="24"/>
          <w:lang w:val="en-GB"/>
        </w:rPr>
        <w:t xml:space="preserve">On 26 July 2019, the Applicant submitted the </w:t>
      </w:r>
      <w:r>
        <w:rPr>
          <w:sz w:val="24"/>
          <w:lang w:val="en-GB"/>
        </w:rPr>
        <w:t>Referral</w:t>
      </w:r>
      <w:r w:rsidRPr="00B05B7B">
        <w:rPr>
          <w:sz w:val="24"/>
          <w:lang w:val="en-GB"/>
        </w:rPr>
        <w:t xml:space="preserve"> to the Constitutional Court of the Republic of Kosovo (hereinafter: the Court</w:t>
      </w:r>
      <w:r w:rsidR="00FF271B" w:rsidRPr="00314A8D">
        <w:rPr>
          <w:sz w:val="24"/>
          <w:lang w:val="en-GB"/>
        </w:rPr>
        <w:t xml:space="preserve">). </w:t>
      </w:r>
    </w:p>
    <w:p w:rsidR="007E4D0F" w:rsidRPr="00314A8D" w:rsidRDefault="007E4D0F" w:rsidP="00A06B9C">
      <w:pPr>
        <w:spacing w:line="240" w:lineRule="auto"/>
        <w:ind w:left="540" w:hanging="540"/>
        <w:rPr>
          <w:sz w:val="24"/>
          <w:lang w:val="en-GB"/>
        </w:rPr>
      </w:pPr>
    </w:p>
    <w:p w:rsidR="007E4D0F" w:rsidRPr="00314A8D" w:rsidRDefault="00B05B7B" w:rsidP="00A06B9C">
      <w:pPr>
        <w:numPr>
          <w:ilvl w:val="0"/>
          <w:numId w:val="63"/>
        </w:numPr>
        <w:spacing w:line="240" w:lineRule="auto"/>
        <w:ind w:left="540" w:hanging="540"/>
        <w:rPr>
          <w:sz w:val="24"/>
          <w:lang w:val="en-GB"/>
        </w:rPr>
      </w:pPr>
      <w:r w:rsidRPr="00B05B7B">
        <w:rPr>
          <w:sz w:val="24"/>
          <w:lang w:val="en-GB"/>
        </w:rPr>
        <w:t>On 14 August 2019, the President of the Court appointed Judge Safet Hoxha as Judge Rapporteur and</w:t>
      </w:r>
      <w:r>
        <w:rPr>
          <w:sz w:val="24"/>
          <w:lang w:val="en-GB"/>
        </w:rPr>
        <w:t xml:space="preserve"> the</w:t>
      </w:r>
      <w:r w:rsidRPr="00B05B7B">
        <w:rPr>
          <w:sz w:val="24"/>
          <w:lang w:val="en-GB"/>
        </w:rPr>
        <w:t xml:space="preserve"> Review Panel, composed of judges</w:t>
      </w:r>
      <w:r>
        <w:rPr>
          <w:sz w:val="24"/>
          <w:lang w:val="en-GB"/>
        </w:rPr>
        <w:t>: Arta Rama-</w:t>
      </w:r>
      <w:proofErr w:type="spellStart"/>
      <w:r>
        <w:rPr>
          <w:sz w:val="24"/>
          <w:lang w:val="en-GB"/>
        </w:rPr>
        <w:t>Hajrizi</w:t>
      </w:r>
      <w:proofErr w:type="spellEnd"/>
      <w:r>
        <w:rPr>
          <w:sz w:val="24"/>
          <w:lang w:val="en-GB"/>
        </w:rPr>
        <w:t xml:space="preserve"> (presiding</w:t>
      </w:r>
      <w:r w:rsidRPr="00B05B7B">
        <w:rPr>
          <w:sz w:val="24"/>
          <w:lang w:val="en-GB"/>
        </w:rPr>
        <w:t>), Gresa Caka-</w:t>
      </w:r>
      <w:proofErr w:type="spellStart"/>
      <w:r w:rsidRPr="00B05B7B">
        <w:rPr>
          <w:sz w:val="24"/>
          <w:lang w:val="en-GB"/>
        </w:rPr>
        <w:t>Nimani</w:t>
      </w:r>
      <w:proofErr w:type="spellEnd"/>
      <w:r w:rsidRPr="00B05B7B">
        <w:rPr>
          <w:sz w:val="24"/>
          <w:lang w:val="en-GB"/>
        </w:rPr>
        <w:t xml:space="preserve"> and </w:t>
      </w:r>
      <w:proofErr w:type="spellStart"/>
      <w:r w:rsidRPr="00B05B7B">
        <w:rPr>
          <w:sz w:val="24"/>
          <w:lang w:val="en-GB"/>
        </w:rPr>
        <w:t>RemzijeIstrefi-Peci</w:t>
      </w:r>
      <w:proofErr w:type="spellEnd"/>
      <w:r w:rsidRPr="00B05B7B">
        <w:rPr>
          <w:sz w:val="24"/>
          <w:lang w:val="en-GB"/>
        </w:rPr>
        <w:t xml:space="preserve"> (member</w:t>
      </w:r>
      <w:r>
        <w:rPr>
          <w:sz w:val="24"/>
          <w:lang w:val="en-GB"/>
        </w:rPr>
        <w:t>s</w:t>
      </w:r>
      <w:r w:rsidR="00FF271B" w:rsidRPr="00314A8D">
        <w:rPr>
          <w:sz w:val="24"/>
          <w:lang w:val="en-GB"/>
        </w:rPr>
        <w:t>).</w:t>
      </w:r>
    </w:p>
    <w:p w:rsidR="007E4D0F" w:rsidRPr="00314A8D" w:rsidRDefault="007E4D0F" w:rsidP="00A06B9C">
      <w:pPr>
        <w:pStyle w:val="ListParagraph"/>
        <w:spacing w:line="240" w:lineRule="auto"/>
        <w:ind w:left="540" w:hanging="540"/>
        <w:rPr>
          <w:sz w:val="24"/>
          <w:lang w:val="en-GB"/>
        </w:rPr>
      </w:pPr>
    </w:p>
    <w:p w:rsidR="007E4D0F" w:rsidRPr="00314A8D" w:rsidRDefault="005E65D7" w:rsidP="00A06B9C">
      <w:pPr>
        <w:numPr>
          <w:ilvl w:val="0"/>
          <w:numId w:val="63"/>
        </w:numPr>
        <w:spacing w:line="240" w:lineRule="auto"/>
        <w:ind w:left="540" w:hanging="540"/>
        <w:rPr>
          <w:sz w:val="24"/>
          <w:lang w:val="en-GB"/>
        </w:rPr>
      </w:pPr>
      <w:r w:rsidRPr="005E65D7">
        <w:rPr>
          <w:sz w:val="24"/>
          <w:lang w:val="en-GB"/>
        </w:rPr>
        <w:t xml:space="preserve">On 9 September 2019 the Court notified the </w:t>
      </w:r>
      <w:r>
        <w:rPr>
          <w:sz w:val="24"/>
          <w:lang w:val="en-GB"/>
        </w:rPr>
        <w:t>A</w:t>
      </w:r>
      <w:r w:rsidRPr="005E65D7">
        <w:rPr>
          <w:sz w:val="24"/>
          <w:lang w:val="en-GB"/>
        </w:rPr>
        <w:t xml:space="preserve">pplicant </w:t>
      </w:r>
      <w:r>
        <w:rPr>
          <w:sz w:val="24"/>
          <w:lang w:val="en-GB"/>
        </w:rPr>
        <w:t>about</w:t>
      </w:r>
      <w:r w:rsidRPr="005E65D7">
        <w:rPr>
          <w:sz w:val="24"/>
          <w:lang w:val="en-GB"/>
        </w:rPr>
        <w:t xml:space="preserve"> the</w:t>
      </w:r>
      <w:r>
        <w:rPr>
          <w:sz w:val="24"/>
          <w:lang w:val="en-GB"/>
        </w:rPr>
        <w:t xml:space="preserve"> registration of the Referral</w:t>
      </w:r>
      <w:r w:rsidRPr="005E65D7">
        <w:rPr>
          <w:sz w:val="24"/>
          <w:lang w:val="en-GB"/>
        </w:rPr>
        <w:t xml:space="preserve"> and sent a copy </w:t>
      </w:r>
      <w:r>
        <w:rPr>
          <w:sz w:val="24"/>
          <w:lang w:val="en-GB"/>
        </w:rPr>
        <w:t>thereof</w:t>
      </w:r>
      <w:r w:rsidRPr="005E65D7">
        <w:rPr>
          <w:sz w:val="24"/>
          <w:lang w:val="en-GB"/>
        </w:rPr>
        <w:t xml:space="preserve"> to the Court of Appeals.</w:t>
      </w:r>
    </w:p>
    <w:p w:rsidR="007E4D0F" w:rsidRPr="00314A8D" w:rsidRDefault="007E4D0F" w:rsidP="00A06B9C">
      <w:pPr>
        <w:pStyle w:val="ListParagraph"/>
        <w:spacing w:line="240" w:lineRule="auto"/>
        <w:ind w:left="540" w:hanging="540"/>
        <w:rPr>
          <w:sz w:val="24"/>
          <w:lang w:val="en-GB"/>
        </w:rPr>
      </w:pPr>
    </w:p>
    <w:p w:rsidR="007E4D0F" w:rsidRPr="00314A8D" w:rsidRDefault="005E65D7" w:rsidP="00A06B9C">
      <w:pPr>
        <w:numPr>
          <w:ilvl w:val="0"/>
          <w:numId w:val="63"/>
        </w:numPr>
        <w:spacing w:line="240" w:lineRule="auto"/>
        <w:ind w:left="540" w:hanging="540"/>
        <w:rPr>
          <w:sz w:val="24"/>
          <w:lang w:val="en-GB"/>
        </w:rPr>
      </w:pPr>
      <w:r w:rsidRPr="005E65D7">
        <w:rPr>
          <w:sz w:val="24"/>
          <w:lang w:val="en-GB"/>
        </w:rPr>
        <w:t>On 6 December 2019, the Court notifie</w:t>
      </w:r>
      <w:r>
        <w:rPr>
          <w:sz w:val="24"/>
          <w:lang w:val="en-GB"/>
        </w:rPr>
        <w:t>d the Kosovo Insurance Bureau about</w:t>
      </w:r>
      <w:r w:rsidRPr="005E65D7">
        <w:rPr>
          <w:sz w:val="24"/>
          <w:lang w:val="en-GB"/>
        </w:rPr>
        <w:t xml:space="preserve"> registration of the </w:t>
      </w:r>
      <w:r>
        <w:rPr>
          <w:sz w:val="24"/>
          <w:lang w:val="en-GB"/>
        </w:rPr>
        <w:t>Referral</w:t>
      </w:r>
      <w:r w:rsidR="00FF271B" w:rsidRPr="00314A8D">
        <w:rPr>
          <w:sz w:val="24"/>
          <w:lang w:val="en-GB"/>
        </w:rPr>
        <w:t>.</w:t>
      </w:r>
    </w:p>
    <w:p w:rsidR="007E4D0F" w:rsidRPr="00314A8D" w:rsidRDefault="007E4D0F" w:rsidP="00A06B9C">
      <w:pPr>
        <w:pStyle w:val="ListParagraph"/>
        <w:spacing w:line="240" w:lineRule="auto"/>
        <w:ind w:left="540" w:hanging="540"/>
        <w:rPr>
          <w:sz w:val="24"/>
          <w:lang w:val="en-GB"/>
        </w:rPr>
      </w:pPr>
    </w:p>
    <w:p w:rsidR="007E4D0F" w:rsidRPr="00314A8D" w:rsidRDefault="005E65D7" w:rsidP="00A06B9C">
      <w:pPr>
        <w:numPr>
          <w:ilvl w:val="0"/>
          <w:numId w:val="63"/>
        </w:numPr>
        <w:spacing w:line="240" w:lineRule="auto"/>
        <w:ind w:left="540" w:hanging="540"/>
        <w:rPr>
          <w:sz w:val="24"/>
          <w:lang w:val="en-GB"/>
        </w:rPr>
      </w:pPr>
      <w:r w:rsidRPr="005E65D7">
        <w:rPr>
          <w:sz w:val="24"/>
          <w:lang w:val="en-GB"/>
        </w:rPr>
        <w:t xml:space="preserve">On </w:t>
      </w:r>
      <w:r>
        <w:rPr>
          <w:sz w:val="24"/>
          <w:lang w:val="en-GB"/>
        </w:rPr>
        <w:t xml:space="preserve">7 </w:t>
      </w:r>
      <w:r w:rsidRPr="005E65D7">
        <w:rPr>
          <w:sz w:val="24"/>
          <w:lang w:val="en-GB"/>
        </w:rPr>
        <w:t>February 2020, the Court requested</w:t>
      </w:r>
      <w:r>
        <w:rPr>
          <w:sz w:val="24"/>
          <w:lang w:val="en-GB"/>
        </w:rPr>
        <w:t xml:space="preserve"> from</w:t>
      </w:r>
      <w:r w:rsidRPr="005E65D7">
        <w:rPr>
          <w:sz w:val="24"/>
          <w:lang w:val="en-GB"/>
        </w:rPr>
        <w:t xml:space="preserve"> the Basic Court in </w:t>
      </w:r>
      <w:proofErr w:type="spellStart"/>
      <w:r w:rsidRPr="005E65D7">
        <w:rPr>
          <w:sz w:val="24"/>
          <w:lang w:val="en-GB"/>
        </w:rPr>
        <w:t>Peja</w:t>
      </w:r>
      <w:proofErr w:type="spellEnd"/>
      <w:r w:rsidRPr="005E65D7">
        <w:rPr>
          <w:sz w:val="24"/>
          <w:lang w:val="en-GB"/>
        </w:rPr>
        <w:t xml:space="preserve"> to submit a copy of the </w:t>
      </w:r>
      <w:r>
        <w:rPr>
          <w:sz w:val="24"/>
          <w:lang w:val="en-GB"/>
        </w:rPr>
        <w:t xml:space="preserve">extrajudicial agreement </w:t>
      </w:r>
      <w:r w:rsidRPr="005E65D7">
        <w:rPr>
          <w:sz w:val="24"/>
          <w:lang w:val="en-GB"/>
        </w:rPr>
        <w:t>of 25 January 2015</w:t>
      </w:r>
      <w:r w:rsidR="00FF271B" w:rsidRPr="00314A8D">
        <w:rPr>
          <w:sz w:val="24"/>
          <w:lang w:val="en-GB"/>
        </w:rPr>
        <w:t>.</w:t>
      </w:r>
    </w:p>
    <w:p w:rsidR="007E4D0F" w:rsidRPr="00314A8D" w:rsidRDefault="007E4D0F" w:rsidP="00A06B9C">
      <w:pPr>
        <w:pStyle w:val="ListParagraph"/>
        <w:spacing w:line="240" w:lineRule="auto"/>
        <w:ind w:left="540" w:hanging="540"/>
        <w:rPr>
          <w:sz w:val="24"/>
          <w:lang w:val="en-GB"/>
        </w:rPr>
      </w:pPr>
    </w:p>
    <w:p w:rsidR="007E4D0F" w:rsidRPr="00314A8D" w:rsidRDefault="005A507C" w:rsidP="00A06B9C">
      <w:pPr>
        <w:numPr>
          <w:ilvl w:val="0"/>
          <w:numId w:val="63"/>
        </w:numPr>
        <w:spacing w:line="240" w:lineRule="auto"/>
        <w:ind w:left="540" w:hanging="540"/>
        <w:rPr>
          <w:sz w:val="24"/>
          <w:lang w:val="en-GB"/>
        </w:rPr>
      </w:pPr>
      <w:r w:rsidRPr="005A507C">
        <w:rPr>
          <w:sz w:val="24"/>
          <w:lang w:val="en-GB"/>
        </w:rPr>
        <w:t xml:space="preserve">On 18 February 2020, the Basic Court in </w:t>
      </w:r>
      <w:proofErr w:type="spellStart"/>
      <w:r w:rsidRPr="005A507C">
        <w:rPr>
          <w:sz w:val="24"/>
          <w:lang w:val="en-GB"/>
        </w:rPr>
        <w:t>Peja</w:t>
      </w:r>
      <w:proofErr w:type="spellEnd"/>
      <w:r w:rsidRPr="005A507C">
        <w:rPr>
          <w:sz w:val="24"/>
          <w:lang w:val="en-GB"/>
        </w:rPr>
        <w:t xml:space="preserve"> submitted the requ</w:t>
      </w:r>
      <w:r>
        <w:rPr>
          <w:sz w:val="24"/>
          <w:lang w:val="en-GB"/>
        </w:rPr>
        <w:t>ested</w:t>
      </w:r>
      <w:r w:rsidRPr="005A507C">
        <w:rPr>
          <w:sz w:val="24"/>
          <w:lang w:val="en-GB"/>
        </w:rPr>
        <w:t xml:space="preserve"> copy of the </w:t>
      </w:r>
      <w:r>
        <w:rPr>
          <w:sz w:val="24"/>
          <w:lang w:val="en-GB"/>
        </w:rPr>
        <w:t>extrajudicial agreement</w:t>
      </w:r>
      <w:r w:rsidR="00FF271B" w:rsidRPr="00314A8D">
        <w:rPr>
          <w:sz w:val="24"/>
          <w:lang w:val="en-GB"/>
        </w:rPr>
        <w:t>.</w:t>
      </w:r>
    </w:p>
    <w:p w:rsidR="00012E47" w:rsidRPr="00314A8D" w:rsidRDefault="00012E47" w:rsidP="00A06B9C">
      <w:pPr>
        <w:pStyle w:val="ListParagraph"/>
        <w:spacing w:line="240" w:lineRule="auto"/>
        <w:ind w:left="540" w:hanging="540"/>
        <w:rPr>
          <w:sz w:val="24"/>
          <w:lang w:val="en-GB"/>
        </w:rPr>
      </w:pPr>
    </w:p>
    <w:p w:rsidR="003E18A6" w:rsidRPr="00314A8D" w:rsidRDefault="005A507C" w:rsidP="00A06B9C">
      <w:pPr>
        <w:pStyle w:val="ListParagraph"/>
        <w:numPr>
          <w:ilvl w:val="0"/>
          <w:numId w:val="63"/>
        </w:numPr>
        <w:spacing w:line="240" w:lineRule="auto"/>
        <w:ind w:left="540" w:hanging="540"/>
        <w:rPr>
          <w:b/>
          <w:bCs/>
          <w:sz w:val="24"/>
          <w:lang w:val="en-GB"/>
        </w:rPr>
      </w:pPr>
      <w:r w:rsidRPr="005A507C">
        <w:rPr>
          <w:sz w:val="24"/>
          <w:lang w:val="en-GB"/>
        </w:rPr>
        <w:t xml:space="preserve">On 13 May 2020 the </w:t>
      </w:r>
      <w:r>
        <w:rPr>
          <w:sz w:val="24"/>
          <w:lang w:val="en-GB"/>
        </w:rPr>
        <w:t>Review</w:t>
      </w:r>
      <w:r w:rsidRPr="005A507C">
        <w:rPr>
          <w:sz w:val="24"/>
          <w:lang w:val="en-GB"/>
        </w:rPr>
        <w:t xml:space="preserve"> Panel </w:t>
      </w:r>
      <w:r>
        <w:rPr>
          <w:sz w:val="24"/>
          <w:lang w:val="en-GB"/>
        </w:rPr>
        <w:t>considered</w:t>
      </w:r>
      <w:r w:rsidRPr="005A507C">
        <w:rPr>
          <w:sz w:val="24"/>
          <w:lang w:val="en-GB"/>
        </w:rPr>
        <w:t xml:space="preserve"> the report of the Judge </w:t>
      </w:r>
      <w:r>
        <w:rPr>
          <w:sz w:val="24"/>
          <w:lang w:val="en-GB"/>
        </w:rPr>
        <w:t xml:space="preserve">rapporteur </w:t>
      </w:r>
      <w:r w:rsidRPr="005A507C">
        <w:rPr>
          <w:sz w:val="24"/>
          <w:lang w:val="en-GB"/>
        </w:rPr>
        <w:t>and unanimously</w:t>
      </w:r>
      <w:r>
        <w:rPr>
          <w:sz w:val="24"/>
          <w:lang w:val="en-GB"/>
        </w:rPr>
        <w:t xml:space="preserve"> made a</w:t>
      </w:r>
      <w:r w:rsidRPr="005A507C">
        <w:rPr>
          <w:sz w:val="24"/>
          <w:lang w:val="en-GB"/>
        </w:rPr>
        <w:t xml:space="preserve"> recommend</w:t>
      </w:r>
      <w:r>
        <w:rPr>
          <w:sz w:val="24"/>
          <w:lang w:val="en-GB"/>
        </w:rPr>
        <w:t>ation to the Court to declare the Referral</w:t>
      </w:r>
      <w:r w:rsidRPr="005A507C">
        <w:rPr>
          <w:sz w:val="24"/>
          <w:lang w:val="en-GB"/>
        </w:rPr>
        <w:t xml:space="preserve"> KI123 / 19 </w:t>
      </w:r>
      <w:r>
        <w:rPr>
          <w:sz w:val="24"/>
          <w:lang w:val="en-GB"/>
        </w:rPr>
        <w:t>inadmissible</w:t>
      </w:r>
      <w:r w:rsidRPr="005A507C">
        <w:rPr>
          <w:sz w:val="24"/>
          <w:lang w:val="en-GB"/>
        </w:rPr>
        <w:t xml:space="preserve"> for review and to assess its merits.</w:t>
      </w:r>
      <w:r w:rsidR="00FF271B" w:rsidRPr="00314A8D">
        <w:rPr>
          <w:sz w:val="24"/>
          <w:lang w:val="en-GB"/>
        </w:rPr>
        <w:t xml:space="preserve"> </w:t>
      </w:r>
    </w:p>
    <w:p w:rsidR="00F06028" w:rsidRPr="00314A8D" w:rsidRDefault="00F06028" w:rsidP="00A06B9C">
      <w:pPr>
        <w:pStyle w:val="ListParagraph"/>
        <w:spacing w:line="240" w:lineRule="auto"/>
        <w:ind w:left="540" w:hanging="540"/>
        <w:rPr>
          <w:b/>
          <w:bCs/>
          <w:sz w:val="24"/>
          <w:lang w:val="en-GB"/>
        </w:rPr>
      </w:pPr>
    </w:p>
    <w:p w:rsidR="00F06028" w:rsidRDefault="005A507C" w:rsidP="00A06B9C">
      <w:pPr>
        <w:pStyle w:val="ListParagraph"/>
        <w:numPr>
          <w:ilvl w:val="0"/>
          <w:numId w:val="63"/>
        </w:numPr>
        <w:spacing w:line="240" w:lineRule="auto"/>
        <w:ind w:left="540" w:hanging="540"/>
        <w:rPr>
          <w:sz w:val="24"/>
          <w:lang w:val="en-GB"/>
        </w:rPr>
      </w:pPr>
      <w:r w:rsidRPr="005A507C">
        <w:rPr>
          <w:rFonts w:cs="Arial"/>
          <w:sz w:val="24"/>
          <w:lang w:val="en-GB"/>
        </w:rPr>
        <w:t xml:space="preserve">On the same day, the Court by a majority of votes found that the </w:t>
      </w:r>
      <w:r>
        <w:rPr>
          <w:rFonts w:cs="Arial"/>
          <w:sz w:val="24"/>
          <w:lang w:val="en-GB"/>
        </w:rPr>
        <w:t>J</w:t>
      </w:r>
      <w:r w:rsidRPr="005A507C">
        <w:rPr>
          <w:rFonts w:cs="Arial"/>
          <w:sz w:val="24"/>
          <w:lang w:val="en-GB"/>
        </w:rPr>
        <w:t xml:space="preserve">udgment </w:t>
      </w:r>
      <w:r>
        <w:rPr>
          <w:rFonts w:cs="Arial"/>
          <w:sz w:val="24"/>
          <w:lang w:val="en-GB"/>
        </w:rPr>
        <w:t xml:space="preserve">Ae. </w:t>
      </w:r>
      <w:proofErr w:type="gramStart"/>
      <w:r w:rsidRPr="005A507C">
        <w:rPr>
          <w:rFonts w:cs="Arial"/>
          <w:sz w:val="24"/>
          <w:lang w:val="en-GB"/>
        </w:rPr>
        <w:t>no</w:t>
      </w:r>
      <w:proofErr w:type="gramEnd"/>
      <w:r w:rsidRPr="005A507C">
        <w:rPr>
          <w:rFonts w:cs="Arial"/>
          <w:sz w:val="24"/>
          <w:lang w:val="en-GB"/>
        </w:rPr>
        <w:t>. 146/17</w:t>
      </w:r>
      <w:r>
        <w:rPr>
          <w:rFonts w:cs="Arial"/>
          <w:sz w:val="24"/>
          <w:lang w:val="en-GB"/>
        </w:rPr>
        <w:t xml:space="preserve"> </w:t>
      </w:r>
      <w:r w:rsidRPr="005A507C">
        <w:rPr>
          <w:rFonts w:cs="Arial"/>
          <w:sz w:val="24"/>
          <w:lang w:val="en-GB"/>
        </w:rPr>
        <w:t>of the Court of Appeal</w:t>
      </w:r>
      <w:r w:rsidR="00FC71E7">
        <w:rPr>
          <w:rFonts w:cs="Arial"/>
          <w:sz w:val="24"/>
          <w:lang w:val="en-GB"/>
        </w:rPr>
        <w:t>s</w:t>
      </w:r>
      <w:r w:rsidRPr="005A507C">
        <w:rPr>
          <w:rFonts w:cs="Arial"/>
          <w:sz w:val="24"/>
          <w:lang w:val="en-GB"/>
        </w:rPr>
        <w:t xml:space="preserve">, of 26 February 2019, is not in </w:t>
      </w:r>
      <w:r w:rsidR="00FC71E7">
        <w:rPr>
          <w:rFonts w:cs="Arial"/>
          <w:sz w:val="24"/>
          <w:lang w:val="en-GB"/>
        </w:rPr>
        <w:t>compliance</w:t>
      </w:r>
      <w:r w:rsidRPr="005A507C">
        <w:rPr>
          <w:rFonts w:cs="Arial"/>
          <w:sz w:val="24"/>
          <w:lang w:val="en-GB"/>
        </w:rPr>
        <w:t xml:space="preserve"> with </w:t>
      </w:r>
      <w:r w:rsidRPr="005A507C">
        <w:rPr>
          <w:rFonts w:cs="Arial"/>
          <w:sz w:val="24"/>
          <w:lang w:val="en-GB"/>
        </w:rPr>
        <w:lastRenderedPageBreak/>
        <w:t xml:space="preserve">Article 31 [Right to  </w:t>
      </w:r>
      <w:r w:rsidR="00FC71E7">
        <w:rPr>
          <w:rFonts w:cs="Arial"/>
          <w:sz w:val="24"/>
          <w:lang w:val="en-GB"/>
        </w:rPr>
        <w:t>F</w:t>
      </w:r>
      <w:r w:rsidRPr="005A507C">
        <w:rPr>
          <w:rFonts w:cs="Arial"/>
          <w:sz w:val="24"/>
          <w:lang w:val="en-GB"/>
        </w:rPr>
        <w:t xml:space="preserve">air and </w:t>
      </w:r>
      <w:r w:rsidR="00FC71E7">
        <w:rPr>
          <w:rFonts w:cs="Arial"/>
          <w:sz w:val="24"/>
          <w:lang w:val="en-GB"/>
        </w:rPr>
        <w:t>I</w:t>
      </w:r>
      <w:r w:rsidRPr="005A507C">
        <w:rPr>
          <w:rFonts w:cs="Arial"/>
          <w:sz w:val="24"/>
          <w:lang w:val="en-GB"/>
        </w:rPr>
        <w:t xml:space="preserve">mpartial </w:t>
      </w:r>
      <w:r w:rsidR="00FC71E7">
        <w:rPr>
          <w:rFonts w:cs="Arial"/>
          <w:sz w:val="24"/>
          <w:lang w:val="en-GB"/>
        </w:rPr>
        <w:t>T</w:t>
      </w:r>
      <w:r w:rsidRPr="005A507C">
        <w:rPr>
          <w:rFonts w:cs="Arial"/>
          <w:sz w:val="24"/>
          <w:lang w:val="en-GB"/>
        </w:rPr>
        <w:t xml:space="preserve">rial] of the Constitution in </w:t>
      </w:r>
      <w:r w:rsidR="00FC71E7">
        <w:rPr>
          <w:rFonts w:cs="Arial"/>
          <w:sz w:val="24"/>
          <w:lang w:val="en-GB"/>
        </w:rPr>
        <w:t>conjunction with</w:t>
      </w:r>
      <w:r w:rsidRPr="005A507C">
        <w:rPr>
          <w:rFonts w:cs="Arial"/>
          <w:sz w:val="24"/>
          <w:lang w:val="en-GB"/>
        </w:rPr>
        <w:t xml:space="preserve">  Article 6 (Right to a </w:t>
      </w:r>
      <w:r w:rsidR="00FC71E7">
        <w:rPr>
          <w:rFonts w:cs="Arial"/>
          <w:sz w:val="24"/>
          <w:lang w:val="en-GB"/>
        </w:rPr>
        <w:t>fair trial</w:t>
      </w:r>
      <w:r w:rsidRPr="005A507C">
        <w:rPr>
          <w:rFonts w:cs="Arial"/>
          <w:sz w:val="24"/>
          <w:lang w:val="en-GB"/>
        </w:rPr>
        <w:t>) of the ECHR</w:t>
      </w:r>
      <w:r w:rsidR="00FF271B" w:rsidRPr="00314A8D">
        <w:rPr>
          <w:sz w:val="24"/>
          <w:lang w:val="en-GB"/>
        </w:rPr>
        <w:t xml:space="preserve">. </w:t>
      </w:r>
    </w:p>
    <w:p w:rsidR="00A06B9C" w:rsidRPr="00A06B9C" w:rsidRDefault="00A06B9C" w:rsidP="00A06B9C">
      <w:pPr>
        <w:spacing w:line="240" w:lineRule="auto"/>
        <w:rPr>
          <w:sz w:val="24"/>
          <w:lang w:val="en-GB"/>
        </w:rPr>
      </w:pPr>
    </w:p>
    <w:p w:rsidR="009E1F52" w:rsidRPr="00314A8D" w:rsidRDefault="001B1B96" w:rsidP="00A06B9C">
      <w:pPr>
        <w:spacing w:line="240" w:lineRule="auto"/>
        <w:ind w:left="567" w:hanging="567"/>
        <w:rPr>
          <w:b/>
          <w:bCs/>
          <w:sz w:val="24"/>
          <w:lang w:val="en-GB"/>
        </w:rPr>
      </w:pPr>
      <w:r>
        <w:rPr>
          <w:b/>
          <w:bCs/>
          <w:sz w:val="24"/>
          <w:lang w:val="en-GB"/>
        </w:rPr>
        <w:t>Summary of facts</w:t>
      </w:r>
    </w:p>
    <w:p w:rsidR="009E1F52" w:rsidRPr="00314A8D" w:rsidRDefault="009E1F52" w:rsidP="00A06B9C">
      <w:pPr>
        <w:tabs>
          <w:tab w:val="left" w:pos="567"/>
        </w:tabs>
        <w:spacing w:line="240" w:lineRule="auto"/>
        <w:rPr>
          <w:bCs/>
          <w:sz w:val="24"/>
          <w:lang w:val="en-GB"/>
        </w:rPr>
      </w:pPr>
    </w:p>
    <w:p w:rsidR="00D229BF" w:rsidRPr="00314A8D" w:rsidRDefault="001B1B96" w:rsidP="00A06B9C">
      <w:pPr>
        <w:numPr>
          <w:ilvl w:val="0"/>
          <w:numId w:val="63"/>
        </w:numPr>
        <w:spacing w:line="240" w:lineRule="auto"/>
        <w:ind w:left="630" w:hanging="630"/>
        <w:rPr>
          <w:sz w:val="24"/>
          <w:lang w:val="en-GB"/>
        </w:rPr>
      </w:pPr>
      <w:r w:rsidRPr="001B1B96">
        <w:rPr>
          <w:sz w:val="24"/>
          <w:lang w:val="en-GB"/>
        </w:rPr>
        <w:t xml:space="preserve">On 19 January 2012, M.B., the </w:t>
      </w:r>
      <w:r>
        <w:rPr>
          <w:sz w:val="24"/>
          <w:lang w:val="en-GB"/>
        </w:rPr>
        <w:t>Applicant’s insured person</w:t>
      </w:r>
      <w:r w:rsidRPr="001B1B96">
        <w:rPr>
          <w:sz w:val="24"/>
          <w:lang w:val="en-GB"/>
        </w:rPr>
        <w:t xml:space="preserve"> (hereinafter: the </w:t>
      </w:r>
      <w:r>
        <w:rPr>
          <w:sz w:val="24"/>
          <w:lang w:val="en-GB"/>
        </w:rPr>
        <w:t>Applicant’s insured person</w:t>
      </w:r>
      <w:r w:rsidRPr="001B1B96">
        <w:rPr>
          <w:sz w:val="24"/>
          <w:lang w:val="en-GB"/>
        </w:rPr>
        <w:t xml:space="preserve">), had suffered injuries in a traffic accident caused by B.A. For the fact that B.A. </w:t>
      </w:r>
      <w:r>
        <w:rPr>
          <w:sz w:val="24"/>
          <w:lang w:val="en-GB"/>
        </w:rPr>
        <w:t>had</w:t>
      </w:r>
      <w:r w:rsidRPr="001B1B96">
        <w:rPr>
          <w:sz w:val="24"/>
          <w:lang w:val="en-GB"/>
        </w:rPr>
        <w:t xml:space="preserve"> no insurance for the damage caused to third parties under the Law on </w:t>
      </w:r>
      <w:r>
        <w:rPr>
          <w:sz w:val="24"/>
          <w:lang w:val="en-GB"/>
        </w:rPr>
        <w:t xml:space="preserve">Road </w:t>
      </w:r>
      <w:r w:rsidRPr="001B1B96">
        <w:rPr>
          <w:sz w:val="24"/>
          <w:lang w:val="en-GB"/>
        </w:rPr>
        <w:t xml:space="preserve">Traffic Safety, the latter was represented by the Kosovo Insurance Bureau (hereinafter: </w:t>
      </w:r>
      <w:r>
        <w:rPr>
          <w:sz w:val="24"/>
          <w:lang w:val="en-GB"/>
        </w:rPr>
        <w:t xml:space="preserve">the </w:t>
      </w:r>
      <w:r w:rsidRPr="001B1B96">
        <w:rPr>
          <w:sz w:val="24"/>
          <w:lang w:val="en-GB"/>
        </w:rPr>
        <w:t>K</w:t>
      </w:r>
      <w:r>
        <w:rPr>
          <w:sz w:val="24"/>
          <w:lang w:val="en-GB"/>
        </w:rPr>
        <w:t>IB</w:t>
      </w:r>
      <w:r w:rsidR="00FF271B" w:rsidRPr="00314A8D">
        <w:rPr>
          <w:sz w:val="24"/>
          <w:lang w:val="en-GB"/>
        </w:rPr>
        <w:t xml:space="preserve">). </w:t>
      </w:r>
    </w:p>
    <w:p w:rsidR="00D229BF" w:rsidRPr="00314A8D" w:rsidRDefault="00D229BF" w:rsidP="00A06B9C">
      <w:pPr>
        <w:spacing w:line="240" w:lineRule="auto"/>
        <w:ind w:left="630"/>
        <w:rPr>
          <w:sz w:val="24"/>
          <w:lang w:val="en-GB"/>
        </w:rPr>
      </w:pPr>
    </w:p>
    <w:p w:rsidR="00D229BF" w:rsidRPr="00314A8D" w:rsidRDefault="001B1B96" w:rsidP="00A06B9C">
      <w:pPr>
        <w:numPr>
          <w:ilvl w:val="0"/>
          <w:numId w:val="63"/>
        </w:numPr>
        <w:spacing w:line="240" w:lineRule="auto"/>
        <w:ind w:left="630" w:hanging="630"/>
        <w:rPr>
          <w:sz w:val="24"/>
          <w:lang w:val="en-GB"/>
        </w:rPr>
      </w:pPr>
      <w:r>
        <w:rPr>
          <w:sz w:val="24"/>
          <w:lang w:val="en-GB"/>
        </w:rPr>
        <w:t xml:space="preserve">In </w:t>
      </w:r>
      <w:r w:rsidRPr="001B1B96">
        <w:rPr>
          <w:sz w:val="24"/>
          <w:lang w:val="en-GB"/>
        </w:rPr>
        <w:t>2013, the applicant's insured had received medical treatment and co</w:t>
      </w:r>
      <w:r w:rsidR="00AB7BC6">
        <w:rPr>
          <w:sz w:val="24"/>
          <w:lang w:val="en-GB"/>
        </w:rPr>
        <w:t>mpensation due to incapacity to</w:t>
      </w:r>
      <w:r w:rsidRPr="001B1B96">
        <w:rPr>
          <w:sz w:val="24"/>
          <w:lang w:val="en-GB"/>
        </w:rPr>
        <w:t xml:space="preserve"> work for an indefinite period in the Swiss Confederation, which had been paid by the </w:t>
      </w:r>
      <w:r>
        <w:rPr>
          <w:sz w:val="24"/>
          <w:lang w:val="en-GB"/>
        </w:rPr>
        <w:t>A</w:t>
      </w:r>
      <w:r w:rsidRPr="001B1B96">
        <w:rPr>
          <w:sz w:val="24"/>
          <w:lang w:val="en-GB"/>
        </w:rPr>
        <w:t>pplicant.</w:t>
      </w:r>
      <w:r w:rsidR="00FF271B" w:rsidRPr="00314A8D">
        <w:rPr>
          <w:sz w:val="24"/>
          <w:lang w:val="en-GB"/>
        </w:rPr>
        <w:t xml:space="preserve"> </w:t>
      </w:r>
    </w:p>
    <w:p w:rsidR="00D229BF" w:rsidRPr="00314A8D" w:rsidRDefault="00D229BF" w:rsidP="00A06B9C">
      <w:pPr>
        <w:pStyle w:val="ListParagraph"/>
        <w:spacing w:line="240" w:lineRule="auto"/>
        <w:rPr>
          <w:sz w:val="24"/>
          <w:lang w:val="en-GB"/>
        </w:rPr>
      </w:pPr>
    </w:p>
    <w:p w:rsidR="00D229BF" w:rsidRPr="00314A8D" w:rsidRDefault="00E71AEF" w:rsidP="00A06B9C">
      <w:pPr>
        <w:numPr>
          <w:ilvl w:val="0"/>
          <w:numId w:val="63"/>
        </w:numPr>
        <w:spacing w:line="240" w:lineRule="auto"/>
        <w:ind w:left="630" w:hanging="630"/>
        <w:rPr>
          <w:sz w:val="24"/>
          <w:lang w:val="en-GB"/>
        </w:rPr>
      </w:pPr>
      <w:r>
        <w:rPr>
          <w:sz w:val="24"/>
          <w:lang w:val="en-GB"/>
        </w:rPr>
        <w:t>O</w:t>
      </w:r>
      <w:r w:rsidRPr="00E71AEF">
        <w:rPr>
          <w:sz w:val="24"/>
          <w:lang w:val="en-GB"/>
        </w:rPr>
        <w:t>n 13 January 2015, the Applicant</w:t>
      </w:r>
      <w:r>
        <w:rPr>
          <w:sz w:val="24"/>
          <w:lang w:val="en-GB"/>
        </w:rPr>
        <w:t xml:space="preserve"> filed a claim with</w:t>
      </w:r>
      <w:r w:rsidRPr="00E71AEF">
        <w:rPr>
          <w:sz w:val="24"/>
          <w:lang w:val="en-GB"/>
        </w:rPr>
        <w:t xml:space="preserve"> in the Basic Court in </w:t>
      </w:r>
      <w:proofErr w:type="spellStart"/>
      <w:r w:rsidRPr="00E71AEF">
        <w:rPr>
          <w:sz w:val="24"/>
          <w:lang w:val="en-GB"/>
        </w:rPr>
        <w:t>Prishtina</w:t>
      </w:r>
      <w:proofErr w:type="spellEnd"/>
      <w:r w:rsidRPr="00E71AEF">
        <w:rPr>
          <w:sz w:val="24"/>
          <w:lang w:val="en-GB"/>
        </w:rPr>
        <w:t xml:space="preserve">, Department </w:t>
      </w:r>
      <w:r>
        <w:rPr>
          <w:sz w:val="24"/>
          <w:lang w:val="en-GB"/>
        </w:rPr>
        <w:t>for Commercial Matters</w:t>
      </w:r>
      <w:r w:rsidRPr="00E71AEF">
        <w:rPr>
          <w:sz w:val="24"/>
          <w:lang w:val="en-GB"/>
        </w:rPr>
        <w:t xml:space="preserve"> (hereinafter: the Basic Court) </w:t>
      </w:r>
      <w:r>
        <w:rPr>
          <w:sz w:val="24"/>
          <w:lang w:val="en-GB"/>
        </w:rPr>
        <w:t>seeking</w:t>
      </w:r>
      <w:r w:rsidRPr="00E71AEF">
        <w:rPr>
          <w:sz w:val="24"/>
          <w:lang w:val="en-GB"/>
        </w:rPr>
        <w:t xml:space="preserve"> compensation in the amount of 8,918.61 Euros, </w:t>
      </w:r>
      <w:r>
        <w:rPr>
          <w:sz w:val="24"/>
          <w:lang w:val="en-GB"/>
        </w:rPr>
        <w:t>in the</w:t>
      </w:r>
      <w:r w:rsidRPr="00E71AEF">
        <w:rPr>
          <w:sz w:val="24"/>
          <w:lang w:val="en-GB"/>
        </w:rPr>
        <w:t xml:space="preserve"> </w:t>
      </w:r>
      <w:r>
        <w:rPr>
          <w:sz w:val="24"/>
          <w:lang w:val="en-GB"/>
        </w:rPr>
        <w:t>late</w:t>
      </w:r>
      <w:r w:rsidR="005D5615">
        <w:rPr>
          <w:sz w:val="24"/>
          <w:lang w:val="en-GB"/>
        </w:rPr>
        <w:t xml:space="preserve"> payment</w:t>
      </w:r>
      <w:r w:rsidR="00D73D47">
        <w:rPr>
          <w:sz w:val="24"/>
          <w:lang w:val="en-GB"/>
        </w:rPr>
        <w:t>(interest)</w:t>
      </w:r>
      <w:r w:rsidRPr="00E71AEF">
        <w:rPr>
          <w:sz w:val="24"/>
          <w:lang w:val="en-GB"/>
        </w:rPr>
        <w:t xml:space="preserve"> rate of 12%, starting from 24 December 2012 until the final payment. </w:t>
      </w:r>
      <w:r>
        <w:rPr>
          <w:sz w:val="24"/>
          <w:lang w:val="en-GB"/>
        </w:rPr>
        <w:t>KIB</w:t>
      </w:r>
      <w:r w:rsidRPr="00E71AEF">
        <w:rPr>
          <w:sz w:val="24"/>
          <w:lang w:val="en-GB"/>
        </w:rPr>
        <w:t xml:space="preserve"> had submitted a response to the </w:t>
      </w:r>
      <w:r>
        <w:rPr>
          <w:sz w:val="24"/>
          <w:lang w:val="en-GB"/>
        </w:rPr>
        <w:t>claim</w:t>
      </w:r>
      <w:r w:rsidRPr="00E71AEF">
        <w:rPr>
          <w:sz w:val="24"/>
          <w:lang w:val="en-GB"/>
        </w:rPr>
        <w:t xml:space="preserve">, </w:t>
      </w:r>
      <w:r>
        <w:rPr>
          <w:sz w:val="24"/>
          <w:lang w:val="en-GB"/>
        </w:rPr>
        <w:t>whereby</w:t>
      </w:r>
      <w:r w:rsidRPr="00E71AEF">
        <w:rPr>
          <w:sz w:val="24"/>
          <w:lang w:val="en-GB"/>
        </w:rPr>
        <w:t xml:space="preserve"> it had stated that it had entered into an</w:t>
      </w:r>
      <w:r>
        <w:rPr>
          <w:sz w:val="24"/>
          <w:lang w:val="en-GB"/>
        </w:rPr>
        <w:t xml:space="preserve"> extrajudicial agreement</w:t>
      </w:r>
      <w:r w:rsidRPr="00E71AEF">
        <w:rPr>
          <w:sz w:val="24"/>
          <w:lang w:val="en-GB"/>
        </w:rPr>
        <w:t xml:space="preserve"> with the </w:t>
      </w:r>
      <w:r>
        <w:rPr>
          <w:sz w:val="24"/>
          <w:lang w:val="en-GB"/>
        </w:rPr>
        <w:t>Applicant’s insured person</w:t>
      </w:r>
      <w:r w:rsidRPr="00E71AEF">
        <w:rPr>
          <w:sz w:val="24"/>
          <w:lang w:val="en-GB"/>
        </w:rPr>
        <w:t xml:space="preserve">, for all forms of damage, in which case it had also </w:t>
      </w:r>
      <w:r>
        <w:rPr>
          <w:sz w:val="24"/>
          <w:lang w:val="en-GB"/>
        </w:rPr>
        <w:t>carried out</w:t>
      </w:r>
      <w:r w:rsidRPr="00E71AEF">
        <w:rPr>
          <w:sz w:val="24"/>
          <w:lang w:val="en-GB"/>
        </w:rPr>
        <w:t xml:space="preserve"> </w:t>
      </w:r>
      <w:r>
        <w:rPr>
          <w:sz w:val="24"/>
          <w:lang w:val="en-GB"/>
        </w:rPr>
        <w:t xml:space="preserve">the </w:t>
      </w:r>
      <w:r w:rsidRPr="00E71AEF">
        <w:rPr>
          <w:sz w:val="24"/>
          <w:lang w:val="en-GB"/>
        </w:rPr>
        <w:t>payment to the</w:t>
      </w:r>
      <w:r>
        <w:rPr>
          <w:sz w:val="24"/>
          <w:lang w:val="en-GB"/>
        </w:rPr>
        <w:t xml:space="preserve"> Applicant’s insured person</w:t>
      </w:r>
      <w:r w:rsidR="00FF271B" w:rsidRPr="00314A8D">
        <w:rPr>
          <w:sz w:val="24"/>
          <w:lang w:val="en-GB"/>
        </w:rPr>
        <w:t>.</w:t>
      </w:r>
    </w:p>
    <w:p w:rsidR="00D229BF" w:rsidRPr="00314A8D" w:rsidRDefault="00D229BF" w:rsidP="00A06B9C">
      <w:pPr>
        <w:pStyle w:val="ListParagraph"/>
        <w:spacing w:line="240" w:lineRule="auto"/>
        <w:rPr>
          <w:sz w:val="24"/>
          <w:lang w:val="en-GB"/>
        </w:rPr>
      </w:pPr>
    </w:p>
    <w:p w:rsidR="00D229BF" w:rsidRPr="00314A8D" w:rsidRDefault="005D5615" w:rsidP="00A06B9C">
      <w:pPr>
        <w:numPr>
          <w:ilvl w:val="0"/>
          <w:numId w:val="63"/>
        </w:numPr>
        <w:spacing w:line="240" w:lineRule="auto"/>
        <w:ind w:left="630" w:hanging="630"/>
        <w:rPr>
          <w:sz w:val="24"/>
          <w:lang w:val="en-GB"/>
        </w:rPr>
      </w:pPr>
      <w:r>
        <w:rPr>
          <w:sz w:val="24"/>
          <w:lang w:val="en-GB"/>
        </w:rPr>
        <w:t xml:space="preserve">On 25 January 2015, the KIB </w:t>
      </w:r>
      <w:r w:rsidRPr="005D5615">
        <w:rPr>
          <w:sz w:val="24"/>
          <w:lang w:val="en-GB"/>
        </w:rPr>
        <w:t xml:space="preserve">and the </w:t>
      </w:r>
      <w:r>
        <w:rPr>
          <w:sz w:val="24"/>
          <w:lang w:val="en-GB"/>
        </w:rPr>
        <w:t>A</w:t>
      </w:r>
      <w:r w:rsidRPr="005D5615">
        <w:rPr>
          <w:sz w:val="24"/>
          <w:lang w:val="en-GB"/>
        </w:rPr>
        <w:t xml:space="preserve">pplicant's insured </w:t>
      </w:r>
      <w:r>
        <w:rPr>
          <w:sz w:val="24"/>
          <w:lang w:val="en-GB"/>
        </w:rPr>
        <w:t xml:space="preserve">person </w:t>
      </w:r>
      <w:r w:rsidRPr="005D5615">
        <w:rPr>
          <w:sz w:val="24"/>
          <w:lang w:val="en-GB"/>
        </w:rPr>
        <w:t>reached an</w:t>
      </w:r>
      <w:r>
        <w:rPr>
          <w:sz w:val="24"/>
          <w:lang w:val="en-GB"/>
        </w:rPr>
        <w:t xml:space="preserve"> extrajudicial agreement </w:t>
      </w:r>
      <w:r w:rsidRPr="005D5615">
        <w:rPr>
          <w:sz w:val="24"/>
          <w:lang w:val="en-GB"/>
        </w:rPr>
        <w:t xml:space="preserve">[certified </w:t>
      </w:r>
      <w:r>
        <w:rPr>
          <w:sz w:val="24"/>
          <w:lang w:val="en-GB"/>
        </w:rPr>
        <w:t xml:space="preserve">at the Basic Court in </w:t>
      </w:r>
      <w:proofErr w:type="spellStart"/>
      <w:r>
        <w:rPr>
          <w:sz w:val="24"/>
          <w:lang w:val="en-GB"/>
        </w:rPr>
        <w:t>Peja</w:t>
      </w:r>
      <w:proofErr w:type="spellEnd"/>
      <w:r>
        <w:rPr>
          <w:sz w:val="24"/>
          <w:lang w:val="en-GB"/>
        </w:rPr>
        <w:t>, C. No</w:t>
      </w:r>
      <w:r w:rsidRPr="005D5615">
        <w:rPr>
          <w:sz w:val="24"/>
          <w:lang w:val="en-GB"/>
        </w:rPr>
        <w:t xml:space="preserve">. 185/13, </w:t>
      </w:r>
      <w:r>
        <w:rPr>
          <w:sz w:val="24"/>
          <w:lang w:val="en-GB"/>
        </w:rPr>
        <w:t xml:space="preserve">on 25 </w:t>
      </w:r>
      <w:r w:rsidRPr="005D5615">
        <w:rPr>
          <w:sz w:val="24"/>
          <w:lang w:val="en-GB"/>
        </w:rPr>
        <w:t xml:space="preserve">January 2015], where the latter was compensated by </w:t>
      </w:r>
      <w:r>
        <w:rPr>
          <w:sz w:val="24"/>
          <w:lang w:val="en-GB"/>
        </w:rPr>
        <w:t>KIB</w:t>
      </w:r>
      <w:r w:rsidRPr="005D5615">
        <w:rPr>
          <w:sz w:val="24"/>
          <w:lang w:val="en-GB"/>
        </w:rPr>
        <w:t xml:space="preserve"> in the amount of 1,000 </w:t>
      </w:r>
      <w:r>
        <w:rPr>
          <w:sz w:val="24"/>
          <w:lang w:val="en-GB"/>
        </w:rPr>
        <w:t>E</w:t>
      </w:r>
      <w:r w:rsidRPr="005D5615">
        <w:rPr>
          <w:sz w:val="24"/>
          <w:lang w:val="en-GB"/>
        </w:rPr>
        <w:t>uros</w:t>
      </w:r>
      <w:r w:rsidR="00FF271B" w:rsidRPr="00314A8D">
        <w:rPr>
          <w:sz w:val="24"/>
          <w:lang w:val="en-GB"/>
        </w:rPr>
        <w:t xml:space="preserve">. </w:t>
      </w:r>
    </w:p>
    <w:p w:rsidR="00D229BF" w:rsidRPr="00314A8D" w:rsidRDefault="00D229BF" w:rsidP="00A06B9C">
      <w:pPr>
        <w:pStyle w:val="ListParagraph"/>
        <w:spacing w:line="240" w:lineRule="auto"/>
        <w:rPr>
          <w:sz w:val="24"/>
          <w:lang w:val="en-GB"/>
        </w:rPr>
      </w:pPr>
    </w:p>
    <w:p w:rsidR="00D229BF" w:rsidRPr="00314A8D" w:rsidRDefault="005D5615" w:rsidP="00A06B9C">
      <w:pPr>
        <w:numPr>
          <w:ilvl w:val="0"/>
          <w:numId w:val="63"/>
        </w:numPr>
        <w:spacing w:line="240" w:lineRule="auto"/>
        <w:ind w:left="630" w:hanging="630"/>
        <w:rPr>
          <w:sz w:val="24"/>
          <w:lang w:val="en-GB"/>
        </w:rPr>
      </w:pPr>
      <w:r w:rsidRPr="005D5615">
        <w:rPr>
          <w:sz w:val="24"/>
          <w:lang w:val="en-GB"/>
        </w:rPr>
        <w:t xml:space="preserve">On the basis of </w:t>
      </w:r>
      <w:r w:rsidR="003001A8">
        <w:rPr>
          <w:sz w:val="24"/>
          <w:lang w:val="en-GB"/>
        </w:rPr>
        <w:t>the Court settlement</w:t>
      </w:r>
      <w:r w:rsidR="00FF271B" w:rsidRPr="00314A8D">
        <w:rPr>
          <w:sz w:val="24"/>
          <w:lang w:val="en-GB"/>
        </w:rPr>
        <w:t>:</w:t>
      </w:r>
    </w:p>
    <w:p w:rsidR="00D229BF" w:rsidRPr="00314A8D" w:rsidRDefault="00D229BF" w:rsidP="00A06B9C">
      <w:pPr>
        <w:pStyle w:val="ListParagraph"/>
        <w:spacing w:line="240" w:lineRule="auto"/>
        <w:rPr>
          <w:sz w:val="24"/>
          <w:lang w:val="en-GB"/>
        </w:rPr>
      </w:pPr>
    </w:p>
    <w:p w:rsidR="00D229BF" w:rsidRPr="00314A8D" w:rsidRDefault="00FF271B" w:rsidP="00A06B9C">
      <w:pPr>
        <w:pStyle w:val="ListParagraph"/>
        <w:spacing w:line="240" w:lineRule="auto"/>
        <w:ind w:left="990"/>
        <w:rPr>
          <w:sz w:val="24"/>
          <w:lang w:val="en-GB"/>
        </w:rPr>
      </w:pPr>
      <w:r w:rsidRPr="00314A8D">
        <w:rPr>
          <w:sz w:val="24"/>
          <w:lang w:val="en-GB"/>
        </w:rPr>
        <w:t xml:space="preserve"> “</w:t>
      </w:r>
      <w:r w:rsidR="005D5615" w:rsidRPr="005D5615">
        <w:rPr>
          <w:i/>
          <w:sz w:val="24"/>
          <w:lang w:val="en-GB"/>
        </w:rPr>
        <w:t>The</w:t>
      </w:r>
      <w:r w:rsidR="005D5615">
        <w:rPr>
          <w:sz w:val="24"/>
          <w:lang w:val="en-GB"/>
        </w:rPr>
        <w:t xml:space="preserve"> </w:t>
      </w:r>
      <w:r w:rsidR="005D5615">
        <w:rPr>
          <w:i/>
          <w:sz w:val="24"/>
          <w:lang w:val="en-GB"/>
        </w:rPr>
        <w:t xml:space="preserve">Respondent </w:t>
      </w:r>
      <w:r w:rsidR="005D5615" w:rsidRPr="005D5615">
        <w:rPr>
          <w:i/>
          <w:sz w:val="24"/>
          <w:lang w:val="en-GB"/>
        </w:rPr>
        <w:t xml:space="preserve">Kosovo Insurance Bureau based in </w:t>
      </w:r>
      <w:proofErr w:type="spellStart"/>
      <w:r w:rsidR="005D5615" w:rsidRPr="005D5615">
        <w:rPr>
          <w:i/>
          <w:sz w:val="24"/>
          <w:lang w:val="en-GB"/>
        </w:rPr>
        <w:t>Prishtina</w:t>
      </w:r>
      <w:proofErr w:type="spellEnd"/>
      <w:r w:rsidR="005D5615">
        <w:rPr>
          <w:i/>
          <w:sz w:val="24"/>
          <w:lang w:val="en-GB"/>
        </w:rPr>
        <w:t xml:space="preserve"> was OBLIGED</w:t>
      </w:r>
      <w:r w:rsidR="005D5615" w:rsidRPr="005D5615">
        <w:rPr>
          <w:i/>
          <w:sz w:val="24"/>
          <w:lang w:val="en-GB"/>
        </w:rPr>
        <w:t xml:space="preserve"> [...] </w:t>
      </w:r>
      <w:r w:rsidR="005D5615">
        <w:rPr>
          <w:i/>
          <w:sz w:val="24"/>
          <w:lang w:val="en-GB"/>
        </w:rPr>
        <w:t>to pay to</w:t>
      </w:r>
      <w:r w:rsidR="005D5615" w:rsidRPr="005D5615">
        <w:rPr>
          <w:i/>
          <w:sz w:val="24"/>
          <w:lang w:val="en-GB"/>
        </w:rPr>
        <w:t xml:space="preserve"> the </w:t>
      </w:r>
      <w:r w:rsidR="005D5615">
        <w:rPr>
          <w:i/>
          <w:sz w:val="24"/>
          <w:lang w:val="en-GB"/>
        </w:rPr>
        <w:t>claimant</w:t>
      </w:r>
      <w:r w:rsidR="005D5615" w:rsidRPr="005D5615">
        <w:rPr>
          <w:i/>
          <w:sz w:val="24"/>
          <w:lang w:val="en-GB"/>
        </w:rPr>
        <w:t xml:space="preserve"> [the insured M.B.], [...] for all categories of damage, </w:t>
      </w:r>
      <w:r w:rsidR="005D5615">
        <w:rPr>
          <w:i/>
          <w:sz w:val="24"/>
          <w:lang w:val="en-GB"/>
        </w:rPr>
        <w:t>be it</w:t>
      </w:r>
      <w:r w:rsidR="005D5615" w:rsidRPr="005D5615">
        <w:rPr>
          <w:i/>
          <w:sz w:val="24"/>
          <w:lang w:val="en-GB"/>
        </w:rPr>
        <w:t xml:space="preserve"> material or non-material, </w:t>
      </w:r>
      <w:r w:rsidR="005D5615">
        <w:rPr>
          <w:i/>
          <w:sz w:val="24"/>
          <w:lang w:val="en-GB"/>
        </w:rPr>
        <w:t xml:space="preserve">relating to </w:t>
      </w:r>
      <w:r w:rsidR="005D5615" w:rsidRPr="005D5615">
        <w:rPr>
          <w:i/>
          <w:sz w:val="24"/>
          <w:lang w:val="en-GB"/>
        </w:rPr>
        <w:t>the accident that occurred on  19.01.2012 [...]</w:t>
      </w:r>
      <w:r w:rsidR="005D5615">
        <w:rPr>
          <w:i/>
          <w:sz w:val="24"/>
          <w:lang w:val="en-GB"/>
        </w:rPr>
        <w:t xml:space="preserve"> </w:t>
      </w:r>
      <w:r w:rsidR="005D5615" w:rsidRPr="005D5615">
        <w:rPr>
          <w:i/>
          <w:sz w:val="24"/>
          <w:lang w:val="en-GB"/>
        </w:rPr>
        <w:t xml:space="preserve">the amount of 1000 </w:t>
      </w:r>
      <w:r w:rsidR="005D5615">
        <w:rPr>
          <w:i/>
          <w:sz w:val="24"/>
          <w:lang w:val="en-GB"/>
        </w:rPr>
        <w:t>E</w:t>
      </w:r>
      <w:r w:rsidR="005D5615" w:rsidRPr="005D5615">
        <w:rPr>
          <w:i/>
          <w:sz w:val="24"/>
          <w:lang w:val="en-GB"/>
        </w:rPr>
        <w:t xml:space="preserve">uros </w:t>
      </w:r>
      <w:r w:rsidRPr="00314A8D">
        <w:rPr>
          <w:i/>
          <w:sz w:val="24"/>
          <w:lang w:val="en-GB"/>
        </w:rPr>
        <w:t>[...]. “</w:t>
      </w:r>
    </w:p>
    <w:p w:rsidR="00D229BF" w:rsidRPr="00314A8D" w:rsidRDefault="00D229BF" w:rsidP="00A06B9C">
      <w:pPr>
        <w:pStyle w:val="ListParagraph"/>
        <w:spacing w:line="240" w:lineRule="auto"/>
        <w:ind w:left="990"/>
        <w:rPr>
          <w:sz w:val="24"/>
          <w:lang w:val="en-GB"/>
        </w:rPr>
      </w:pPr>
    </w:p>
    <w:p w:rsidR="00D229BF" w:rsidRPr="00314A8D" w:rsidRDefault="00FF271B" w:rsidP="00A06B9C">
      <w:pPr>
        <w:pStyle w:val="ListParagraph"/>
        <w:spacing w:line="240" w:lineRule="auto"/>
        <w:ind w:left="990"/>
        <w:rPr>
          <w:i/>
          <w:sz w:val="24"/>
          <w:lang w:val="en-GB"/>
        </w:rPr>
      </w:pPr>
      <w:r w:rsidRPr="00314A8D">
        <w:rPr>
          <w:i/>
          <w:sz w:val="24"/>
          <w:lang w:val="en-GB"/>
        </w:rPr>
        <w:t xml:space="preserve"> [...] </w:t>
      </w:r>
    </w:p>
    <w:p w:rsidR="00D229BF" w:rsidRPr="00314A8D" w:rsidRDefault="00FF271B" w:rsidP="00A06B9C">
      <w:pPr>
        <w:pStyle w:val="ListParagraph"/>
        <w:spacing w:line="240" w:lineRule="auto"/>
        <w:ind w:left="990"/>
        <w:rPr>
          <w:i/>
          <w:sz w:val="24"/>
          <w:lang w:val="en-GB"/>
        </w:rPr>
      </w:pPr>
      <w:r w:rsidRPr="00314A8D">
        <w:rPr>
          <w:i/>
          <w:sz w:val="24"/>
          <w:lang w:val="en-GB"/>
        </w:rPr>
        <w:t>“</w:t>
      </w:r>
      <w:r w:rsidR="005D5615" w:rsidRPr="005D5615">
        <w:rPr>
          <w:i/>
          <w:sz w:val="24"/>
          <w:lang w:val="en-GB"/>
        </w:rPr>
        <w:t xml:space="preserve">Since the court considers that we are dealing with a request which the litigants can freely </w:t>
      </w:r>
      <w:r w:rsidR="00E33F21">
        <w:rPr>
          <w:i/>
          <w:sz w:val="24"/>
          <w:lang w:val="en-GB"/>
        </w:rPr>
        <w:t>have in disposal</w:t>
      </w:r>
      <w:r w:rsidR="005D5615">
        <w:rPr>
          <w:i/>
          <w:sz w:val="24"/>
          <w:lang w:val="en-GB"/>
        </w:rPr>
        <w:t xml:space="preserve"> </w:t>
      </w:r>
      <w:r w:rsidR="005D5615" w:rsidRPr="005D5615">
        <w:rPr>
          <w:i/>
          <w:sz w:val="24"/>
          <w:lang w:val="en-GB"/>
        </w:rPr>
        <w:t>and that their request is not contrary to the provisions of Article 3, par</w:t>
      </w:r>
      <w:r w:rsidR="005D5615">
        <w:rPr>
          <w:i/>
          <w:sz w:val="24"/>
          <w:lang w:val="en-GB"/>
        </w:rPr>
        <w:t>a</w:t>
      </w:r>
      <w:r w:rsidR="005D5615" w:rsidRPr="005D5615">
        <w:rPr>
          <w:i/>
          <w:sz w:val="24"/>
          <w:lang w:val="en-GB"/>
        </w:rPr>
        <w:t>.3 of the LCP, the court after t</w:t>
      </w:r>
      <w:r w:rsidR="005D5615">
        <w:rPr>
          <w:i/>
          <w:sz w:val="24"/>
          <w:lang w:val="en-GB"/>
        </w:rPr>
        <w:t>his</w:t>
      </w:r>
      <w:r w:rsidR="005D5615" w:rsidRPr="005D5615">
        <w:rPr>
          <w:i/>
          <w:sz w:val="24"/>
          <w:lang w:val="en-GB"/>
        </w:rPr>
        <w:t xml:space="preserve"> in support of the provision of Article 412 and 414 of the LCP, </w:t>
      </w:r>
      <w:r w:rsidR="005D5615">
        <w:rPr>
          <w:i/>
          <w:sz w:val="24"/>
          <w:lang w:val="en-GB"/>
        </w:rPr>
        <w:t>renders</w:t>
      </w:r>
      <w:r w:rsidRPr="00314A8D">
        <w:rPr>
          <w:i/>
          <w:sz w:val="24"/>
          <w:lang w:val="en-GB"/>
        </w:rPr>
        <w:t>:</w:t>
      </w:r>
    </w:p>
    <w:p w:rsidR="00D229BF" w:rsidRPr="00314A8D" w:rsidRDefault="00D229BF" w:rsidP="00A06B9C">
      <w:pPr>
        <w:pStyle w:val="ListParagraph"/>
        <w:spacing w:line="240" w:lineRule="auto"/>
        <w:ind w:left="990"/>
        <w:rPr>
          <w:i/>
          <w:sz w:val="24"/>
          <w:lang w:val="en-GB"/>
        </w:rPr>
      </w:pPr>
    </w:p>
    <w:p w:rsidR="00D229BF" w:rsidRPr="00314A8D" w:rsidRDefault="005D5615" w:rsidP="00A06B9C">
      <w:pPr>
        <w:pStyle w:val="ListParagraph"/>
        <w:spacing w:line="240" w:lineRule="auto"/>
        <w:ind w:left="990"/>
        <w:rPr>
          <w:i/>
          <w:sz w:val="24"/>
          <w:lang w:val="en-GB"/>
        </w:rPr>
      </w:pPr>
      <w:r>
        <w:rPr>
          <w:i/>
          <w:sz w:val="24"/>
          <w:lang w:val="en-GB"/>
        </w:rPr>
        <w:t>DECISION</w:t>
      </w:r>
    </w:p>
    <w:p w:rsidR="00D229BF" w:rsidRPr="00314A8D" w:rsidRDefault="00D229BF" w:rsidP="00A06B9C">
      <w:pPr>
        <w:pStyle w:val="ListParagraph"/>
        <w:spacing w:line="240" w:lineRule="auto"/>
        <w:ind w:left="990"/>
        <w:rPr>
          <w:i/>
          <w:sz w:val="24"/>
          <w:lang w:val="en-GB"/>
        </w:rPr>
      </w:pPr>
    </w:p>
    <w:p w:rsidR="00D229BF" w:rsidRPr="00314A8D" w:rsidRDefault="005D5615" w:rsidP="00A06B9C">
      <w:pPr>
        <w:pStyle w:val="ListParagraph"/>
        <w:spacing w:line="240" w:lineRule="auto"/>
        <w:ind w:left="990"/>
        <w:rPr>
          <w:i/>
          <w:sz w:val="24"/>
          <w:lang w:val="en-GB"/>
        </w:rPr>
      </w:pPr>
      <w:r>
        <w:rPr>
          <w:i/>
          <w:sz w:val="24"/>
          <w:lang w:val="en-GB"/>
        </w:rPr>
        <w:t xml:space="preserve">APPROVING the </w:t>
      </w:r>
      <w:r w:rsidR="003001A8">
        <w:rPr>
          <w:i/>
          <w:sz w:val="24"/>
          <w:lang w:val="en-GB"/>
        </w:rPr>
        <w:t>Court settlement</w:t>
      </w:r>
      <w:r>
        <w:rPr>
          <w:i/>
          <w:sz w:val="24"/>
          <w:lang w:val="en-GB"/>
        </w:rPr>
        <w:t xml:space="preserve"> reached in today’s session between the litigants’ authorized persons and the </w:t>
      </w:r>
      <w:r w:rsidR="003E3030">
        <w:rPr>
          <w:i/>
          <w:sz w:val="24"/>
          <w:lang w:val="en-GB"/>
        </w:rPr>
        <w:t>same represents a valid enforcement title</w:t>
      </w:r>
      <w:r w:rsidR="00FF271B" w:rsidRPr="00314A8D">
        <w:rPr>
          <w:i/>
          <w:sz w:val="24"/>
          <w:lang w:val="en-GB"/>
        </w:rPr>
        <w:t>.”</w:t>
      </w:r>
    </w:p>
    <w:p w:rsidR="00D229BF" w:rsidRPr="00314A8D" w:rsidRDefault="00D229BF" w:rsidP="00A06B9C">
      <w:pPr>
        <w:pStyle w:val="ListParagraph"/>
        <w:spacing w:line="240" w:lineRule="auto"/>
        <w:ind w:left="990"/>
        <w:rPr>
          <w:i/>
          <w:sz w:val="24"/>
          <w:lang w:val="en-GB"/>
        </w:rPr>
      </w:pPr>
    </w:p>
    <w:p w:rsidR="00D229BF" w:rsidRPr="00314A8D" w:rsidRDefault="00FF271B" w:rsidP="00A06B9C">
      <w:pPr>
        <w:pStyle w:val="ListParagraph"/>
        <w:spacing w:line="240" w:lineRule="auto"/>
        <w:ind w:left="990"/>
        <w:rPr>
          <w:i/>
          <w:sz w:val="24"/>
          <w:lang w:val="en-GB"/>
        </w:rPr>
      </w:pPr>
      <w:r w:rsidRPr="00314A8D">
        <w:rPr>
          <w:i/>
          <w:sz w:val="24"/>
          <w:lang w:val="en-GB"/>
        </w:rPr>
        <w:t>[...]</w:t>
      </w:r>
    </w:p>
    <w:p w:rsidR="00D229BF" w:rsidRPr="00314A8D" w:rsidRDefault="00D229BF" w:rsidP="00A06B9C">
      <w:pPr>
        <w:pStyle w:val="ListParagraph"/>
        <w:spacing w:line="240" w:lineRule="auto"/>
        <w:rPr>
          <w:sz w:val="24"/>
          <w:lang w:val="en-GB"/>
        </w:rPr>
      </w:pPr>
    </w:p>
    <w:p w:rsidR="00D229BF" w:rsidRPr="00314A8D" w:rsidRDefault="00333C6C" w:rsidP="00A06B9C">
      <w:pPr>
        <w:numPr>
          <w:ilvl w:val="0"/>
          <w:numId w:val="63"/>
        </w:numPr>
        <w:spacing w:line="240" w:lineRule="auto"/>
        <w:ind w:left="630" w:hanging="630"/>
        <w:rPr>
          <w:sz w:val="24"/>
          <w:lang w:val="en-GB"/>
        </w:rPr>
      </w:pPr>
      <w:r w:rsidRPr="00333C6C">
        <w:rPr>
          <w:sz w:val="24"/>
          <w:lang w:val="en-GB"/>
        </w:rPr>
        <w:lastRenderedPageBreak/>
        <w:t xml:space="preserve">On 14 April 2017, the Basic Court </w:t>
      </w:r>
      <w:r>
        <w:rPr>
          <w:sz w:val="24"/>
          <w:lang w:val="en-GB"/>
        </w:rPr>
        <w:t>by</w:t>
      </w:r>
      <w:r w:rsidRPr="00333C6C">
        <w:rPr>
          <w:sz w:val="24"/>
          <w:lang w:val="en-GB"/>
        </w:rPr>
        <w:t xml:space="preserve"> Judgment [II.EK. no. 8/15] rejected the claimant's</w:t>
      </w:r>
      <w:r>
        <w:rPr>
          <w:sz w:val="24"/>
          <w:lang w:val="en-GB"/>
        </w:rPr>
        <w:t xml:space="preserve"> statement of</w:t>
      </w:r>
      <w:r w:rsidRPr="00333C6C">
        <w:rPr>
          <w:sz w:val="24"/>
          <w:lang w:val="en-GB"/>
        </w:rPr>
        <w:t xml:space="preserve"> claim in its entirety</w:t>
      </w:r>
      <w:r w:rsidR="00FF271B" w:rsidRPr="00314A8D">
        <w:rPr>
          <w:sz w:val="24"/>
          <w:lang w:val="en-GB"/>
        </w:rPr>
        <w:t>.</w:t>
      </w:r>
    </w:p>
    <w:p w:rsidR="00D229BF" w:rsidRPr="00314A8D" w:rsidRDefault="00D229BF" w:rsidP="00A06B9C">
      <w:pPr>
        <w:pStyle w:val="ListParagraph"/>
        <w:spacing w:line="240" w:lineRule="auto"/>
        <w:ind w:left="540" w:hanging="540"/>
        <w:rPr>
          <w:sz w:val="24"/>
          <w:lang w:val="en-GB"/>
        </w:rPr>
      </w:pPr>
    </w:p>
    <w:p w:rsidR="00D229BF" w:rsidRPr="00E6009D" w:rsidRDefault="00A66812" w:rsidP="00A06B9C">
      <w:pPr>
        <w:numPr>
          <w:ilvl w:val="0"/>
          <w:numId w:val="63"/>
        </w:numPr>
        <w:tabs>
          <w:tab w:val="left" w:pos="8820"/>
        </w:tabs>
        <w:spacing w:line="240" w:lineRule="auto"/>
        <w:ind w:left="630" w:hanging="630"/>
        <w:rPr>
          <w:i/>
          <w:sz w:val="24"/>
          <w:lang w:val="en-GB"/>
        </w:rPr>
      </w:pPr>
      <w:r>
        <w:rPr>
          <w:sz w:val="24"/>
          <w:lang w:val="en-GB"/>
        </w:rPr>
        <w:t>T</w:t>
      </w:r>
      <w:r w:rsidRPr="00A66812">
        <w:rPr>
          <w:sz w:val="24"/>
          <w:lang w:val="en-GB"/>
        </w:rPr>
        <w:t xml:space="preserve">he Basic Court found that with the </w:t>
      </w:r>
      <w:r>
        <w:rPr>
          <w:sz w:val="24"/>
          <w:lang w:val="en-GB"/>
        </w:rPr>
        <w:t xml:space="preserve">extrajudicial agreement </w:t>
      </w:r>
      <w:r w:rsidRPr="00A66812">
        <w:rPr>
          <w:sz w:val="24"/>
          <w:lang w:val="en-GB"/>
        </w:rPr>
        <w:t xml:space="preserve">concluded on 25 January 2015 in the Basic Court in </w:t>
      </w:r>
      <w:proofErr w:type="spellStart"/>
      <w:r w:rsidRPr="00A66812">
        <w:rPr>
          <w:sz w:val="24"/>
          <w:lang w:val="en-GB"/>
        </w:rPr>
        <w:t>Peja</w:t>
      </w:r>
      <w:proofErr w:type="spellEnd"/>
      <w:r w:rsidRPr="00A66812">
        <w:rPr>
          <w:sz w:val="24"/>
          <w:lang w:val="en-GB"/>
        </w:rPr>
        <w:t xml:space="preserve"> </w:t>
      </w:r>
      <w:r w:rsidRPr="00E6009D">
        <w:rPr>
          <w:i/>
          <w:sz w:val="24"/>
          <w:lang w:val="en-GB"/>
        </w:rPr>
        <w:t xml:space="preserve">“[...] a </w:t>
      </w:r>
      <w:r w:rsidR="007669A5">
        <w:rPr>
          <w:i/>
          <w:sz w:val="24"/>
          <w:lang w:val="en-GB"/>
        </w:rPr>
        <w:t>Court settlement</w:t>
      </w:r>
      <w:r w:rsidRPr="00E6009D">
        <w:rPr>
          <w:i/>
          <w:sz w:val="24"/>
          <w:lang w:val="en-GB"/>
        </w:rPr>
        <w:t xml:space="preserve"> was concluded between [the</w:t>
      </w:r>
      <w:r w:rsidR="00D80508" w:rsidRPr="00E6009D">
        <w:rPr>
          <w:i/>
          <w:sz w:val="24"/>
          <w:lang w:val="en-GB"/>
        </w:rPr>
        <w:t xml:space="preserve"> Applicant’s</w:t>
      </w:r>
      <w:r w:rsidRPr="00E6009D">
        <w:rPr>
          <w:i/>
          <w:sz w:val="24"/>
          <w:lang w:val="en-GB"/>
        </w:rPr>
        <w:t xml:space="preserve"> insured </w:t>
      </w:r>
      <w:r w:rsidR="00D80508" w:rsidRPr="00E6009D">
        <w:rPr>
          <w:i/>
          <w:sz w:val="24"/>
          <w:lang w:val="en-GB"/>
        </w:rPr>
        <w:t>person] and the respondent [</w:t>
      </w:r>
      <w:r w:rsidRPr="00E6009D">
        <w:rPr>
          <w:i/>
          <w:sz w:val="24"/>
          <w:lang w:val="en-GB"/>
        </w:rPr>
        <w:t>K</w:t>
      </w:r>
      <w:r w:rsidR="00D80508" w:rsidRPr="00E6009D">
        <w:rPr>
          <w:i/>
          <w:sz w:val="24"/>
          <w:lang w:val="en-GB"/>
        </w:rPr>
        <w:t>IB</w:t>
      </w:r>
      <w:r w:rsidRPr="00E6009D">
        <w:rPr>
          <w:i/>
          <w:sz w:val="24"/>
          <w:lang w:val="en-GB"/>
        </w:rPr>
        <w:t>]. Therefore, since this agreement is concluded for all categories of material and non-material damage, it clear</w:t>
      </w:r>
      <w:r w:rsidR="00D80508" w:rsidRPr="00E6009D">
        <w:rPr>
          <w:i/>
          <w:sz w:val="24"/>
          <w:lang w:val="en-GB"/>
        </w:rPr>
        <w:t>ly implie</w:t>
      </w:r>
      <w:r w:rsidR="00410CC3">
        <w:rPr>
          <w:i/>
          <w:sz w:val="24"/>
          <w:lang w:val="en-GB"/>
        </w:rPr>
        <w:t>s</w:t>
      </w:r>
      <w:r w:rsidRPr="00E6009D">
        <w:rPr>
          <w:i/>
          <w:sz w:val="24"/>
          <w:lang w:val="en-GB"/>
        </w:rPr>
        <w:t xml:space="preserve"> that all possible claims arising from the compensation of the damage for which this contract was concluded, as well as the respondent [K</w:t>
      </w:r>
      <w:r w:rsidR="00D80508" w:rsidRPr="00E6009D">
        <w:rPr>
          <w:i/>
          <w:sz w:val="24"/>
          <w:lang w:val="en-GB"/>
        </w:rPr>
        <w:t>IB</w:t>
      </w:r>
      <w:r w:rsidRPr="00E6009D">
        <w:rPr>
          <w:i/>
          <w:sz w:val="24"/>
          <w:lang w:val="en-GB"/>
        </w:rPr>
        <w:t xml:space="preserve">] </w:t>
      </w:r>
      <w:r w:rsidR="00D80508" w:rsidRPr="00E6009D">
        <w:rPr>
          <w:i/>
          <w:sz w:val="24"/>
          <w:lang w:val="en-GB"/>
        </w:rPr>
        <w:t>within t</w:t>
      </w:r>
      <w:r w:rsidRPr="00E6009D">
        <w:rPr>
          <w:i/>
          <w:sz w:val="24"/>
          <w:lang w:val="en-GB"/>
        </w:rPr>
        <w:t>he meaning of Article 940 of the L</w:t>
      </w:r>
      <w:r w:rsidR="00D80508" w:rsidRPr="00E6009D">
        <w:rPr>
          <w:i/>
          <w:sz w:val="24"/>
          <w:lang w:val="en-GB"/>
        </w:rPr>
        <w:t>OR, was obliged</w:t>
      </w:r>
      <w:r w:rsidRPr="00E6009D">
        <w:rPr>
          <w:i/>
          <w:sz w:val="24"/>
          <w:lang w:val="en-GB"/>
        </w:rPr>
        <w:t xml:space="preserve"> </w:t>
      </w:r>
      <w:r w:rsidR="00D80508" w:rsidRPr="00E6009D">
        <w:rPr>
          <w:i/>
          <w:sz w:val="24"/>
          <w:lang w:val="en-GB"/>
        </w:rPr>
        <w:t>to compensate  the [Applicant’s] insured person</w:t>
      </w:r>
      <w:r w:rsidR="00E6009D" w:rsidRPr="00E6009D">
        <w:rPr>
          <w:i/>
          <w:sz w:val="24"/>
          <w:lang w:val="en-GB"/>
        </w:rPr>
        <w:t xml:space="preserve"> for</w:t>
      </w:r>
      <w:r w:rsidRPr="00E6009D">
        <w:rPr>
          <w:i/>
          <w:sz w:val="24"/>
          <w:lang w:val="en-GB"/>
        </w:rPr>
        <w:t xml:space="preserve">  the </w:t>
      </w:r>
      <w:r w:rsidR="00D80508" w:rsidRPr="00E6009D">
        <w:rPr>
          <w:i/>
          <w:sz w:val="24"/>
          <w:lang w:val="en-GB"/>
        </w:rPr>
        <w:t>claimed</w:t>
      </w:r>
      <w:r w:rsidRPr="00E6009D">
        <w:rPr>
          <w:i/>
          <w:sz w:val="24"/>
          <w:lang w:val="en-GB"/>
        </w:rPr>
        <w:t xml:space="preserve"> damage and it is not disput</w:t>
      </w:r>
      <w:r w:rsidR="00D80508" w:rsidRPr="00E6009D">
        <w:rPr>
          <w:i/>
          <w:sz w:val="24"/>
          <w:lang w:val="en-GB"/>
        </w:rPr>
        <w:t>able</w:t>
      </w:r>
      <w:r w:rsidRPr="00E6009D">
        <w:rPr>
          <w:i/>
          <w:sz w:val="24"/>
          <w:lang w:val="en-GB"/>
        </w:rPr>
        <w:t xml:space="preserve"> that </w:t>
      </w:r>
      <w:r w:rsidR="00D80508" w:rsidRPr="00E6009D">
        <w:rPr>
          <w:i/>
          <w:sz w:val="24"/>
          <w:lang w:val="en-GB"/>
        </w:rPr>
        <w:t>following the</w:t>
      </w:r>
      <w:r w:rsidRPr="00E6009D">
        <w:rPr>
          <w:i/>
          <w:sz w:val="24"/>
          <w:lang w:val="en-GB"/>
        </w:rPr>
        <w:t xml:space="preserve"> conclu</w:t>
      </w:r>
      <w:r w:rsidR="00D80508" w:rsidRPr="00E6009D">
        <w:rPr>
          <w:i/>
          <w:sz w:val="24"/>
          <w:lang w:val="en-GB"/>
        </w:rPr>
        <w:t>sion of</w:t>
      </w:r>
      <w:r w:rsidRPr="00E6009D">
        <w:rPr>
          <w:i/>
          <w:sz w:val="24"/>
          <w:lang w:val="en-GB"/>
        </w:rPr>
        <w:t xml:space="preserve"> the above mentioned agreement [</w:t>
      </w:r>
      <w:r w:rsidR="00D80508" w:rsidRPr="00E6009D">
        <w:rPr>
          <w:i/>
          <w:sz w:val="24"/>
          <w:lang w:val="en-GB"/>
        </w:rPr>
        <w:t xml:space="preserve">the </w:t>
      </w:r>
      <w:r w:rsidRPr="00E6009D">
        <w:rPr>
          <w:i/>
          <w:sz w:val="24"/>
          <w:lang w:val="en-GB"/>
        </w:rPr>
        <w:t>K</w:t>
      </w:r>
      <w:r w:rsidR="00D80508" w:rsidRPr="00E6009D">
        <w:rPr>
          <w:i/>
          <w:sz w:val="24"/>
          <w:lang w:val="en-GB"/>
        </w:rPr>
        <w:t>IB] h</w:t>
      </w:r>
      <w:r w:rsidRPr="00E6009D">
        <w:rPr>
          <w:i/>
          <w:sz w:val="24"/>
          <w:lang w:val="en-GB"/>
        </w:rPr>
        <w:t xml:space="preserve">as paid </w:t>
      </w:r>
      <w:r w:rsidR="00D80508" w:rsidRPr="00E6009D">
        <w:rPr>
          <w:i/>
          <w:sz w:val="24"/>
          <w:lang w:val="en-GB"/>
        </w:rPr>
        <w:t>for the claimed damage</w:t>
      </w:r>
      <w:r w:rsidRPr="00E6009D">
        <w:rPr>
          <w:i/>
          <w:sz w:val="24"/>
          <w:lang w:val="en-GB"/>
        </w:rPr>
        <w:t xml:space="preserve">, as well as the </w:t>
      </w:r>
      <w:r w:rsidR="00E6009D" w:rsidRPr="00E6009D">
        <w:rPr>
          <w:i/>
          <w:sz w:val="24"/>
          <w:lang w:val="en-GB"/>
        </w:rPr>
        <w:t>claimant</w:t>
      </w:r>
      <w:r w:rsidRPr="00E6009D">
        <w:rPr>
          <w:i/>
          <w:sz w:val="24"/>
          <w:lang w:val="en-GB"/>
        </w:rPr>
        <w:t xml:space="preserve">'s insured </w:t>
      </w:r>
      <w:r w:rsidR="00D80508" w:rsidRPr="00E6009D">
        <w:rPr>
          <w:i/>
          <w:sz w:val="24"/>
          <w:lang w:val="en-GB"/>
        </w:rPr>
        <w:t xml:space="preserve">person </w:t>
      </w:r>
      <w:r w:rsidRPr="00E6009D">
        <w:rPr>
          <w:i/>
          <w:sz w:val="24"/>
          <w:lang w:val="en-GB"/>
        </w:rPr>
        <w:t>in the sense of Article 941 of the L</w:t>
      </w:r>
      <w:r w:rsidR="00D80508" w:rsidRPr="00E6009D">
        <w:rPr>
          <w:i/>
          <w:sz w:val="24"/>
          <w:lang w:val="en-GB"/>
        </w:rPr>
        <w:t>OR</w:t>
      </w:r>
      <w:r w:rsidRPr="00E6009D">
        <w:rPr>
          <w:i/>
          <w:sz w:val="24"/>
          <w:lang w:val="en-GB"/>
        </w:rPr>
        <w:t>,</w:t>
      </w:r>
      <w:r w:rsidR="00E6009D" w:rsidRPr="00E6009D">
        <w:rPr>
          <w:i/>
          <w:sz w:val="24"/>
          <w:lang w:val="en-GB"/>
        </w:rPr>
        <w:t xml:space="preserve"> </w:t>
      </w:r>
      <w:r w:rsidR="00410CC3">
        <w:rPr>
          <w:i/>
          <w:sz w:val="24"/>
          <w:lang w:val="en-GB"/>
        </w:rPr>
        <w:t>based on</w:t>
      </w:r>
      <w:r w:rsidR="00E6009D" w:rsidRPr="00E6009D">
        <w:rPr>
          <w:i/>
          <w:sz w:val="24"/>
          <w:lang w:val="en-GB"/>
        </w:rPr>
        <w:t xml:space="preserve"> the</w:t>
      </w:r>
      <w:r w:rsidRPr="00E6009D">
        <w:rPr>
          <w:i/>
          <w:sz w:val="24"/>
          <w:lang w:val="en-GB"/>
        </w:rPr>
        <w:t xml:space="preserve"> </w:t>
      </w:r>
      <w:r w:rsidR="00E6009D" w:rsidRPr="00E6009D">
        <w:rPr>
          <w:i/>
          <w:sz w:val="24"/>
          <w:lang w:val="en-GB"/>
        </w:rPr>
        <w:t>fault of the respondent</w:t>
      </w:r>
      <w:r w:rsidRPr="00E6009D">
        <w:rPr>
          <w:i/>
          <w:sz w:val="24"/>
          <w:lang w:val="en-GB"/>
        </w:rPr>
        <w:t>'s insured</w:t>
      </w:r>
      <w:r w:rsidR="00E6009D" w:rsidRPr="00E6009D">
        <w:rPr>
          <w:i/>
          <w:sz w:val="24"/>
          <w:lang w:val="en-GB"/>
        </w:rPr>
        <w:t xml:space="preserve"> person was </w:t>
      </w:r>
      <w:r w:rsidRPr="00E6009D">
        <w:rPr>
          <w:i/>
          <w:sz w:val="24"/>
          <w:lang w:val="en-GB"/>
        </w:rPr>
        <w:t xml:space="preserve"> </w:t>
      </w:r>
      <w:r w:rsidR="00E6009D" w:rsidRPr="00E6009D">
        <w:rPr>
          <w:i/>
          <w:sz w:val="24"/>
          <w:lang w:val="en-GB"/>
        </w:rPr>
        <w:t>entitled to claim compensation</w:t>
      </w:r>
      <w:r w:rsidRPr="00E6009D">
        <w:rPr>
          <w:i/>
          <w:sz w:val="24"/>
          <w:lang w:val="en-GB"/>
        </w:rPr>
        <w:t xml:space="preserve"> </w:t>
      </w:r>
      <w:r w:rsidR="00E6009D" w:rsidRPr="00E6009D">
        <w:rPr>
          <w:i/>
          <w:sz w:val="24"/>
          <w:lang w:val="en-GB"/>
        </w:rPr>
        <w:t xml:space="preserve">directly </w:t>
      </w:r>
      <w:r w:rsidRPr="00E6009D">
        <w:rPr>
          <w:i/>
          <w:sz w:val="24"/>
          <w:lang w:val="en-GB"/>
        </w:rPr>
        <w:t xml:space="preserve">from the </w:t>
      </w:r>
      <w:r w:rsidR="00E6009D" w:rsidRPr="00E6009D">
        <w:rPr>
          <w:i/>
          <w:sz w:val="24"/>
          <w:lang w:val="en-GB"/>
        </w:rPr>
        <w:t>respondent</w:t>
      </w:r>
      <w:r w:rsidR="00FF271B" w:rsidRPr="00E6009D">
        <w:rPr>
          <w:i/>
          <w:sz w:val="24"/>
          <w:lang w:val="en-GB"/>
        </w:rPr>
        <w:t>.</w:t>
      </w:r>
      <w:r w:rsidR="00E6009D" w:rsidRPr="00E6009D">
        <w:rPr>
          <w:i/>
          <w:sz w:val="24"/>
          <w:lang w:val="en-GB"/>
        </w:rPr>
        <w:t>”</w:t>
      </w:r>
      <w:r w:rsidR="00FF271B" w:rsidRPr="00E6009D">
        <w:rPr>
          <w:i/>
          <w:sz w:val="24"/>
          <w:lang w:val="en-GB"/>
        </w:rPr>
        <w:t>“</w:t>
      </w:r>
    </w:p>
    <w:p w:rsidR="00D229BF" w:rsidRPr="00314A8D" w:rsidRDefault="00D229BF" w:rsidP="00A06B9C">
      <w:pPr>
        <w:pStyle w:val="ListParagraph"/>
        <w:spacing w:line="240" w:lineRule="auto"/>
        <w:ind w:left="540" w:hanging="540"/>
        <w:rPr>
          <w:sz w:val="24"/>
          <w:lang w:val="en-GB"/>
        </w:rPr>
      </w:pPr>
    </w:p>
    <w:p w:rsidR="00D229BF" w:rsidRPr="00314A8D" w:rsidRDefault="00410CC3" w:rsidP="00A06B9C">
      <w:pPr>
        <w:numPr>
          <w:ilvl w:val="0"/>
          <w:numId w:val="63"/>
        </w:numPr>
        <w:spacing w:line="240" w:lineRule="auto"/>
        <w:ind w:left="630" w:hanging="630"/>
        <w:rPr>
          <w:sz w:val="24"/>
          <w:lang w:val="en-GB"/>
        </w:rPr>
      </w:pPr>
      <w:r>
        <w:rPr>
          <w:sz w:val="24"/>
          <w:lang w:val="en-GB"/>
        </w:rPr>
        <w:t>I</w:t>
      </w:r>
      <w:r w:rsidRPr="00410CC3">
        <w:rPr>
          <w:sz w:val="24"/>
          <w:lang w:val="en-GB"/>
        </w:rPr>
        <w:t xml:space="preserve">n the end, the Basic Court found that </w:t>
      </w:r>
      <w:r w:rsidR="00D3096F">
        <w:rPr>
          <w:sz w:val="24"/>
          <w:lang w:val="en-GB"/>
        </w:rPr>
        <w:t>following</w:t>
      </w:r>
      <w:r>
        <w:rPr>
          <w:sz w:val="24"/>
          <w:lang w:val="en-GB"/>
        </w:rPr>
        <w:t xml:space="preserve"> the conclusion of the extrajudicial agreement</w:t>
      </w:r>
      <w:r w:rsidRPr="00410CC3">
        <w:rPr>
          <w:sz w:val="24"/>
          <w:lang w:val="en-GB"/>
        </w:rPr>
        <w:t>, the</w:t>
      </w:r>
      <w:r>
        <w:rPr>
          <w:sz w:val="24"/>
          <w:lang w:val="en-GB"/>
        </w:rPr>
        <w:t xml:space="preserve"> Applicant’s insured person</w:t>
      </w:r>
      <w:r w:rsidRPr="00410CC3">
        <w:rPr>
          <w:sz w:val="24"/>
          <w:lang w:val="en-GB"/>
        </w:rPr>
        <w:t xml:space="preserve"> had </w:t>
      </w:r>
      <w:r>
        <w:rPr>
          <w:sz w:val="24"/>
          <w:lang w:val="en-GB"/>
        </w:rPr>
        <w:t>consumed</w:t>
      </w:r>
      <w:r w:rsidRPr="00410CC3">
        <w:rPr>
          <w:sz w:val="24"/>
          <w:lang w:val="en-GB"/>
        </w:rPr>
        <w:t xml:space="preserve"> his right</w:t>
      </w:r>
      <w:r>
        <w:rPr>
          <w:sz w:val="24"/>
          <w:lang w:val="en-GB"/>
        </w:rPr>
        <w:t>,</w:t>
      </w:r>
      <w:r w:rsidRPr="00410CC3">
        <w:rPr>
          <w:sz w:val="24"/>
          <w:lang w:val="en-GB"/>
        </w:rPr>
        <w:t xml:space="preserve"> to claim</w:t>
      </w:r>
      <w:r>
        <w:rPr>
          <w:sz w:val="24"/>
          <w:lang w:val="en-GB"/>
        </w:rPr>
        <w:t xml:space="preserve"> compensation of </w:t>
      </w:r>
      <w:r w:rsidRPr="00410CC3">
        <w:rPr>
          <w:sz w:val="24"/>
          <w:lang w:val="en-GB"/>
        </w:rPr>
        <w:t xml:space="preserve">damages, while </w:t>
      </w:r>
      <w:r>
        <w:rPr>
          <w:sz w:val="24"/>
          <w:lang w:val="en-GB"/>
        </w:rPr>
        <w:t>as for the Applicant’s allegations</w:t>
      </w:r>
      <w:r w:rsidRPr="00410CC3">
        <w:rPr>
          <w:sz w:val="24"/>
          <w:lang w:val="en-GB"/>
        </w:rPr>
        <w:t xml:space="preserve"> regarding the transfer of the right</w:t>
      </w:r>
      <w:r>
        <w:rPr>
          <w:sz w:val="24"/>
          <w:lang w:val="en-GB"/>
        </w:rPr>
        <w:t>,</w:t>
      </w:r>
      <w:r w:rsidRPr="00410CC3">
        <w:rPr>
          <w:sz w:val="24"/>
          <w:lang w:val="en-GB"/>
        </w:rPr>
        <w:t xml:space="preserve"> according to this the Court </w:t>
      </w:r>
      <w:r>
        <w:rPr>
          <w:sz w:val="24"/>
          <w:lang w:val="en-GB"/>
        </w:rPr>
        <w:t>they are</w:t>
      </w:r>
      <w:r w:rsidRPr="00410CC3">
        <w:rPr>
          <w:sz w:val="24"/>
          <w:lang w:val="en-GB"/>
        </w:rPr>
        <w:t xml:space="preserve"> unfounded. Consequently, the Bas</w:t>
      </w:r>
      <w:r>
        <w:rPr>
          <w:sz w:val="24"/>
          <w:lang w:val="en-GB"/>
        </w:rPr>
        <w:t>ic Court found that no one can</w:t>
      </w:r>
      <w:r w:rsidRPr="00410CC3">
        <w:rPr>
          <w:sz w:val="24"/>
          <w:lang w:val="en-GB"/>
        </w:rPr>
        <w:t xml:space="preserve"> transfer to another</w:t>
      </w:r>
      <w:r>
        <w:rPr>
          <w:sz w:val="24"/>
          <w:lang w:val="en-GB"/>
        </w:rPr>
        <w:t xml:space="preserve"> person</w:t>
      </w:r>
      <w:r w:rsidR="005C6B6C">
        <w:rPr>
          <w:sz w:val="24"/>
          <w:lang w:val="en-GB"/>
        </w:rPr>
        <w:t>/entity</w:t>
      </w:r>
      <w:r w:rsidRPr="00410CC3">
        <w:rPr>
          <w:sz w:val="24"/>
          <w:lang w:val="en-GB"/>
        </w:rPr>
        <w:t xml:space="preserve"> the right which he had previously </w:t>
      </w:r>
      <w:r>
        <w:rPr>
          <w:sz w:val="24"/>
          <w:lang w:val="en-GB"/>
        </w:rPr>
        <w:t>realised</w:t>
      </w:r>
      <w:r w:rsidRPr="00410CC3">
        <w:rPr>
          <w:sz w:val="24"/>
          <w:lang w:val="en-GB"/>
        </w:rPr>
        <w:t>, and conseque</w:t>
      </w:r>
      <w:r w:rsidR="004E6B14">
        <w:rPr>
          <w:sz w:val="24"/>
          <w:lang w:val="en-GB"/>
        </w:rPr>
        <w:t>ntly this right has ceased to exist</w:t>
      </w:r>
      <w:r w:rsidRPr="00410CC3">
        <w:rPr>
          <w:sz w:val="24"/>
          <w:lang w:val="en-GB"/>
        </w:rPr>
        <w:t>.</w:t>
      </w:r>
      <w:r w:rsidR="00FF271B" w:rsidRPr="00314A8D">
        <w:rPr>
          <w:sz w:val="24"/>
          <w:lang w:val="en-GB"/>
        </w:rPr>
        <w:t xml:space="preserve"> </w:t>
      </w:r>
    </w:p>
    <w:p w:rsidR="00D229BF" w:rsidRPr="00314A8D" w:rsidRDefault="00D229BF" w:rsidP="00A06B9C">
      <w:pPr>
        <w:pStyle w:val="ListParagraph"/>
        <w:spacing w:line="240" w:lineRule="auto"/>
        <w:rPr>
          <w:sz w:val="24"/>
          <w:lang w:val="en-GB"/>
        </w:rPr>
      </w:pPr>
    </w:p>
    <w:p w:rsidR="00D229BF" w:rsidRPr="00314A8D" w:rsidRDefault="00CF4D35" w:rsidP="00A06B9C">
      <w:pPr>
        <w:numPr>
          <w:ilvl w:val="0"/>
          <w:numId w:val="63"/>
        </w:numPr>
        <w:spacing w:line="240" w:lineRule="auto"/>
        <w:ind w:left="630" w:hanging="630"/>
        <w:rPr>
          <w:sz w:val="24"/>
          <w:lang w:val="en-GB"/>
        </w:rPr>
      </w:pPr>
      <w:r w:rsidRPr="00CF4D35">
        <w:rPr>
          <w:sz w:val="24"/>
          <w:lang w:val="en-GB"/>
        </w:rPr>
        <w:t xml:space="preserve">On an unspecified date, the </w:t>
      </w:r>
      <w:r>
        <w:rPr>
          <w:sz w:val="24"/>
          <w:lang w:val="en-GB"/>
        </w:rPr>
        <w:t>A</w:t>
      </w:r>
      <w:r w:rsidRPr="00CF4D35">
        <w:rPr>
          <w:sz w:val="24"/>
          <w:lang w:val="en-GB"/>
        </w:rPr>
        <w:t>pplicant lodged an appeal with the Court of Appeals against the above-mentioned Judgment of the Basic Court, alleging violations of the provisions of the contested procedure, erron</w:t>
      </w:r>
      <w:r>
        <w:rPr>
          <w:sz w:val="24"/>
          <w:lang w:val="en-GB"/>
        </w:rPr>
        <w:t>eous and incomplete determination</w:t>
      </w:r>
      <w:r w:rsidRPr="00CF4D35">
        <w:rPr>
          <w:sz w:val="24"/>
          <w:lang w:val="en-GB"/>
        </w:rPr>
        <w:t xml:space="preserve"> of the factual situation and erroneous application of </w:t>
      </w:r>
      <w:r>
        <w:rPr>
          <w:sz w:val="24"/>
          <w:lang w:val="en-GB"/>
        </w:rPr>
        <w:t>substantive</w:t>
      </w:r>
      <w:r w:rsidRPr="00CF4D35">
        <w:rPr>
          <w:sz w:val="24"/>
          <w:lang w:val="en-GB"/>
        </w:rPr>
        <w:t xml:space="preserve"> law, </w:t>
      </w:r>
      <w:r>
        <w:rPr>
          <w:sz w:val="24"/>
          <w:lang w:val="en-GB"/>
        </w:rPr>
        <w:t>by proposing</w:t>
      </w:r>
      <w:r w:rsidRPr="00CF4D35">
        <w:rPr>
          <w:sz w:val="24"/>
          <w:lang w:val="en-GB"/>
        </w:rPr>
        <w:t xml:space="preserve"> </w:t>
      </w:r>
      <w:r>
        <w:rPr>
          <w:sz w:val="24"/>
          <w:lang w:val="en-GB"/>
        </w:rPr>
        <w:t>to have the challenged</w:t>
      </w:r>
      <w:r w:rsidRPr="00CF4D35">
        <w:rPr>
          <w:sz w:val="24"/>
          <w:lang w:val="en-GB"/>
        </w:rPr>
        <w:t xml:space="preserve"> Judgment annulled and the case</w:t>
      </w:r>
      <w:r w:rsidR="00316F51">
        <w:rPr>
          <w:sz w:val="24"/>
          <w:lang w:val="en-GB"/>
        </w:rPr>
        <w:t xml:space="preserve"> to be</w:t>
      </w:r>
      <w:r w:rsidR="00316F51" w:rsidRPr="00CF4D35">
        <w:rPr>
          <w:sz w:val="24"/>
          <w:lang w:val="en-GB"/>
        </w:rPr>
        <w:t xml:space="preserve"> re</w:t>
      </w:r>
      <w:r w:rsidR="00FA249B">
        <w:rPr>
          <w:sz w:val="24"/>
          <w:lang w:val="en-GB"/>
        </w:rPr>
        <w:t>manded</w:t>
      </w:r>
      <w:r w:rsidRPr="00CF4D35">
        <w:rPr>
          <w:sz w:val="24"/>
          <w:lang w:val="en-GB"/>
        </w:rPr>
        <w:t xml:space="preserve"> for retrial. The K</w:t>
      </w:r>
      <w:r w:rsidR="00316F51">
        <w:rPr>
          <w:sz w:val="24"/>
          <w:lang w:val="en-GB"/>
        </w:rPr>
        <w:t>IB</w:t>
      </w:r>
      <w:r w:rsidRPr="00CF4D35">
        <w:rPr>
          <w:sz w:val="24"/>
          <w:lang w:val="en-GB"/>
        </w:rPr>
        <w:t xml:space="preserve"> </w:t>
      </w:r>
      <w:r w:rsidR="003001A8">
        <w:rPr>
          <w:sz w:val="24"/>
          <w:lang w:val="en-GB"/>
        </w:rPr>
        <w:t xml:space="preserve">submitted a response </w:t>
      </w:r>
      <w:r w:rsidRPr="00CF4D35">
        <w:rPr>
          <w:sz w:val="24"/>
          <w:lang w:val="en-GB"/>
        </w:rPr>
        <w:t xml:space="preserve">to the </w:t>
      </w:r>
      <w:r w:rsidR="003001A8">
        <w:rPr>
          <w:sz w:val="24"/>
          <w:lang w:val="en-GB"/>
        </w:rPr>
        <w:t>appeal</w:t>
      </w:r>
      <w:r w:rsidRPr="00CF4D35">
        <w:rPr>
          <w:sz w:val="24"/>
          <w:lang w:val="en-GB"/>
        </w:rPr>
        <w:t xml:space="preserve"> and proposed that the </w:t>
      </w:r>
      <w:r w:rsidR="003001A8">
        <w:rPr>
          <w:sz w:val="24"/>
          <w:lang w:val="en-GB"/>
        </w:rPr>
        <w:t>A</w:t>
      </w:r>
      <w:r w:rsidRPr="00CF4D35">
        <w:rPr>
          <w:sz w:val="24"/>
          <w:lang w:val="en-GB"/>
        </w:rPr>
        <w:t xml:space="preserve">pplicant's </w:t>
      </w:r>
      <w:r w:rsidR="003001A8">
        <w:rPr>
          <w:sz w:val="24"/>
          <w:lang w:val="en-GB"/>
        </w:rPr>
        <w:t>appeal</w:t>
      </w:r>
      <w:r w:rsidRPr="00CF4D35">
        <w:rPr>
          <w:sz w:val="24"/>
          <w:lang w:val="en-GB"/>
        </w:rPr>
        <w:t xml:space="preserve"> be declared unfounded</w:t>
      </w:r>
      <w:r w:rsidR="00FF271B" w:rsidRPr="00314A8D">
        <w:rPr>
          <w:sz w:val="24"/>
          <w:lang w:val="en-GB"/>
        </w:rPr>
        <w:t>.</w:t>
      </w:r>
    </w:p>
    <w:p w:rsidR="00D229BF" w:rsidRPr="00314A8D" w:rsidRDefault="00D229BF" w:rsidP="00A06B9C">
      <w:pPr>
        <w:spacing w:line="240" w:lineRule="auto"/>
        <w:ind w:left="540" w:hanging="540"/>
        <w:rPr>
          <w:sz w:val="24"/>
          <w:lang w:val="en-GB"/>
        </w:rPr>
      </w:pPr>
    </w:p>
    <w:p w:rsidR="00D229BF" w:rsidRPr="00314A8D" w:rsidRDefault="00D3096F" w:rsidP="00A06B9C">
      <w:pPr>
        <w:numPr>
          <w:ilvl w:val="0"/>
          <w:numId w:val="63"/>
        </w:numPr>
        <w:spacing w:line="240" w:lineRule="auto"/>
        <w:ind w:left="630" w:hanging="630"/>
        <w:rPr>
          <w:sz w:val="24"/>
          <w:lang w:val="en-GB"/>
        </w:rPr>
      </w:pPr>
      <w:r>
        <w:rPr>
          <w:sz w:val="24"/>
          <w:lang w:val="en-GB"/>
        </w:rPr>
        <w:t>Initially, the A</w:t>
      </w:r>
      <w:r w:rsidRPr="00D3096F">
        <w:rPr>
          <w:sz w:val="24"/>
          <w:lang w:val="en-GB"/>
        </w:rPr>
        <w:t xml:space="preserve">pplicant in his appeal, in relation to the allegation </w:t>
      </w:r>
      <w:r>
        <w:rPr>
          <w:sz w:val="24"/>
          <w:lang w:val="en-GB"/>
        </w:rPr>
        <w:t>for essential violations</w:t>
      </w:r>
      <w:r w:rsidRPr="00D3096F">
        <w:rPr>
          <w:sz w:val="24"/>
          <w:lang w:val="en-GB"/>
        </w:rPr>
        <w:t xml:space="preserve"> of the</w:t>
      </w:r>
      <w:r>
        <w:rPr>
          <w:sz w:val="24"/>
          <w:lang w:val="en-GB"/>
        </w:rPr>
        <w:t xml:space="preserve"> provisions of contested procedure</w:t>
      </w:r>
      <w:r w:rsidRPr="00D3096F">
        <w:rPr>
          <w:sz w:val="24"/>
          <w:lang w:val="en-GB"/>
        </w:rPr>
        <w:t>,</w:t>
      </w:r>
      <w:r>
        <w:rPr>
          <w:sz w:val="24"/>
          <w:lang w:val="en-GB"/>
        </w:rPr>
        <w:t xml:space="preserve"> had stated</w:t>
      </w:r>
      <w:r w:rsidRPr="00D3096F">
        <w:rPr>
          <w:sz w:val="24"/>
          <w:lang w:val="en-GB"/>
        </w:rPr>
        <w:t xml:space="preserve"> that</w:t>
      </w:r>
      <w:r>
        <w:rPr>
          <w:sz w:val="24"/>
          <w:lang w:val="en-GB"/>
        </w:rPr>
        <w:t xml:space="preserve"> </w:t>
      </w:r>
      <w:r w:rsidRPr="00D3096F">
        <w:rPr>
          <w:sz w:val="24"/>
          <w:lang w:val="en-GB"/>
        </w:rPr>
        <w:t xml:space="preserve"> </w:t>
      </w:r>
      <w:r>
        <w:rPr>
          <w:sz w:val="24"/>
          <w:lang w:val="en-GB"/>
        </w:rPr>
        <w:t>“t</w:t>
      </w:r>
      <w:r w:rsidRPr="00D3096F">
        <w:rPr>
          <w:sz w:val="24"/>
          <w:lang w:val="en-GB"/>
        </w:rPr>
        <w:t xml:space="preserve">he </w:t>
      </w:r>
      <w:r>
        <w:rPr>
          <w:sz w:val="24"/>
          <w:lang w:val="en-GB"/>
        </w:rPr>
        <w:t>challenged</w:t>
      </w:r>
      <w:r w:rsidRPr="00D3096F">
        <w:rPr>
          <w:sz w:val="24"/>
          <w:lang w:val="en-GB"/>
        </w:rPr>
        <w:t xml:space="preserve"> judgment is unclear, respectively, </w:t>
      </w:r>
      <w:r>
        <w:rPr>
          <w:sz w:val="24"/>
          <w:lang w:val="en-GB"/>
        </w:rPr>
        <w:t>there are distinct</w:t>
      </w:r>
      <w:r w:rsidRPr="00D3096F">
        <w:rPr>
          <w:sz w:val="24"/>
          <w:lang w:val="en-GB"/>
        </w:rPr>
        <w:t xml:space="preserve"> contradictions in the reasoning of the judgment regarding the content of the evidence on which the decision is based, especially on the decisive facts </w:t>
      </w:r>
      <w:r>
        <w:rPr>
          <w:sz w:val="24"/>
          <w:lang w:val="en-GB"/>
        </w:rPr>
        <w:t xml:space="preserve">which </w:t>
      </w:r>
      <w:r w:rsidRPr="00D3096F">
        <w:rPr>
          <w:sz w:val="24"/>
          <w:lang w:val="en-GB"/>
        </w:rPr>
        <w:t xml:space="preserve">concern the </w:t>
      </w:r>
      <w:r>
        <w:rPr>
          <w:sz w:val="24"/>
          <w:lang w:val="en-GB"/>
        </w:rPr>
        <w:t>a</w:t>
      </w:r>
      <w:r w:rsidRPr="00D3096F">
        <w:rPr>
          <w:sz w:val="24"/>
          <w:lang w:val="en-GB"/>
        </w:rPr>
        <w:t xml:space="preserve">ctive legitimacy </w:t>
      </w:r>
      <w:r>
        <w:rPr>
          <w:sz w:val="24"/>
          <w:lang w:val="en-GB"/>
        </w:rPr>
        <w:t xml:space="preserve">of the Applicant </w:t>
      </w:r>
      <w:r w:rsidRPr="00D3096F">
        <w:rPr>
          <w:sz w:val="24"/>
          <w:lang w:val="en-GB"/>
        </w:rPr>
        <w:t>and his insured</w:t>
      </w:r>
      <w:r>
        <w:rPr>
          <w:sz w:val="24"/>
          <w:lang w:val="en-GB"/>
        </w:rPr>
        <w:t xml:space="preserve"> person</w:t>
      </w:r>
      <w:r w:rsidRPr="00D3096F">
        <w:rPr>
          <w:sz w:val="24"/>
          <w:lang w:val="en-GB"/>
        </w:rPr>
        <w:t xml:space="preserve"> </w:t>
      </w:r>
      <w:r>
        <w:rPr>
          <w:sz w:val="24"/>
          <w:lang w:val="en-GB"/>
        </w:rPr>
        <w:t xml:space="preserve">on the occasion of the resolution of </w:t>
      </w:r>
      <w:r w:rsidRPr="00D3096F">
        <w:rPr>
          <w:sz w:val="24"/>
          <w:lang w:val="en-GB"/>
        </w:rPr>
        <w:t>the case</w:t>
      </w:r>
      <w:r>
        <w:rPr>
          <w:sz w:val="24"/>
          <w:lang w:val="en-GB"/>
        </w:rPr>
        <w:t xml:space="preserve"> which has</w:t>
      </w:r>
      <w:r w:rsidRPr="00D3096F">
        <w:rPr>
          <w:sz w:val="24"/>
          <w:lang w:val="en-GB"/>
        </w:rPr>
        <w:t xml:space="preserve"> direct</w:t>
      </w:r>
      <w:r>
        <w:rPr>
          <w:sz w:val="24"/>
          <w:lang w:val="en-GB"/>
        </w:rPr>
        <w:t>ly</w:t>
      </w:r>
      <w:r w:rsidRPr="00D3096F">
        <w:rPr>
          <w:sz w:val="24"/>
          <w:lang w:val="en-GB"/>
        </w:rPr>
        <w:t xml:space="preserve"> preceded the subrogation proceeding. This makes the decision of this judgment, </w:t>
      </w:r>
      <w:r w:rsidR="00F3641C">
        <w:rPr>
          <w:sz w:val="24"/>
          <w:lang w:val="en-GB"/>
        </w:rPr>
        <w:t>to be</w:t>
      </w:r>
      <w:r w:rsidRPr="00D3096F">
        <w:rPr>
          <w:sz w:val="24"/>
          <w:lang w:val="en-GB"/>
        </w:rPr>
        <w:t xml:space="preserve"> confusing, incomprehensible and contradictory</w:t>
      </w:r>
      <w:r w:rsidR="00F3641C">
        <w:rPr>
          <w:sz w:val="24"/>
          <w:lang w:val="en-GB"/>
        </w:rPr>
        <w:t xml:space="preserve"> to its reasoning</w:t>
      </w:r>
      <w:r w:rsidRPr="00D3096F">
        <w:rPr>
          <w:sz w:val="24"/>
          <w:lang w:val="en-GB"/>
        </w:rPr>
        <w:t xml:space="preserve"> </w:t>
      </w:r>
      <w:r w:rsidR="00F3641C">
        <w:rPr>
          <w:sz w:val="24"/>
          <w:lang w:val="en-GB"/>
        </w:rPr>
        <w:t xml:space="preserve">and </w:t>
      </w:r>
      <w:r w:rsidRPr="00D3096F">
        <w:rPr>
          <w:sz w:val="24"/>
          <w:lang w:val="en-GB"/>
        </w:rPr>
        <w:t xml:space="preserve">the </w:t>
      </w:r>
      <w:r w:rsidR="00F3641C">
        <w:rPr>
          <w:sz w:val="24"/>
          <w:lang w:val="en-GB"/>
        </w:rPr>
        <w:t>evidence administered</w:t>
      </w:r>
      <w:r w:rsidR="00FF271B" w:rsidRPr="00314A8D">
        <w:rPr>
          <w:sz w:val="24"/>
          <w:lang w:val="en-GB"/>
        </w:rPr>
        <w:t>.”</w:t>
      </w:r>
    </w:p>
    <w:p w:rsidR="00D229BF" w:rsidRPr="00314A8D" w:rsidRDefault="00D229BF" w:rsidP="00A06B9C">
      <w:pPr>
        <w:pStyle w:val="ListParagraph"/>
        <w:spacing w:line="240" w:lineRule="auto"/>
        <w:rPr>
          <w:sz w:val="24"/>
          <w:lang w:val="en-GB"/>
        </w:rPr>
      </w:pPr>
    </w:p>
    <w:p w:rsidR="00D229BF" w:rsidRPr="00314A8D" w:rsidRDefault="00AB7BC6" w:rsidP="00A06B9C">
      <w:pPr>
        <w:numPr>
          <w:ilvl w:val="0"/>
          <w:numId w:val="63"/>
        </w:numPr>
        <w:spacing w:line="240" w:lineRule="auto"/>
        <w:ind w:left="630" w:hanging="630"/>
        <w:rPr>
          <w:sz w:val="24"/>
          <w:lang w:val="en-GB"/>
        </w:rPr>
      </w:pPr>
      <w:r w:rsidRPr="00AB7BC6">
        <w:rPr>
          <w:sz w:val="24"/>
          <w:lang w:val="en-GB"/>
        </w:rPr>
        <w:t>Second</w:t>
      </w:r>
      <w:r>
        <w:rPr>
          <w:sz w:val="24"/>
          <w:lang w:val="en-GB"/>
        </w:rPr>
        <w:t>ly</w:t>
      </w:r>
      <w:r w:rsidRPr="00AB7BC6">
        <w:rPr>
          <w:sz w:val="24"/>
          <w:lang w:val="en-GB"/>
        </w:rPr>
        <w:t xml:space="preserve">, in relation to the allegation of erroneous </w:t>
      </w:r>
      <w:r>
        <w:rPr>
          <w:sz w:val="24"/>
          <w:lang w:val="en-GB"/>
        </w:rPr>
        <w:t>determination</w:t>
      </w:r>
      <w:r w:rsidRPr="00AB7BC6">
        <w:rPr>
          <w:sz w:val="24"/>
          <w:lang w:val="en-GB"/>
        </w:rPr>
        <w:t xml:space="preserve"> of the factual situation, the </w:t>
      </w:r>
      <w:r>
        <w:rPr>
          <w:sz w:val="24"/>
          <w:lang w:val="en-GB"/>
        </w:rPr>
        <w:t>A</w:t>
      </w:r>
      <w:r w:rsidRPr="00AB7BC6">
        <w:rPr>
          <w:sz w:val="24"/>
          <w:lang w:val="en-GB"/>
        </w:rPr>
        <w:t>pplicant in his complaint had specified the following</w:t>
      </w:r>
      <w:r w:rsidR="00FF271B" w:rsidRPr="00314A8D">
        <w:rPr>
          <w:sz w:val="24"/>
          <w:lang w:val="en-GB"/>
        </w:rPr>
        <w:t>:</w:t>
      </w:r>
    </w:p>
    <w:p w:rsidR="00D229BF" w:rsidRPr="00314A8D" w:rsidRDefault="00D229BF" w:rsidP="00A06B9C">
      <w:pPr>
        <w:pStyle w:val="ListParagraph"/>
        <w:spacing w:line="240" w:lineRule="auto"/>
        <w:rPr>
          <w:sz w:val="24"/>
          <w:lang w:val="en-GB"/>
        </w:rPr>
      </w:pPr>
    </w:p>
    <w:p w:rsidR="00D229BF" w:rsidRPr="00314A8D" w:rsidRDefault="00FF271B" w:rsidP="00A06B9C">
      <w:pPr>
        <w:autoSpaceDE w:val="0"/>
        <w:autoSpaceDN w:val="0"/>
        <w:adjustRightInd w:val="0"/>
        <w:spacing w:line="240" w:lineRule="auto"/>
        <w:ind w:left="990"/>
        <w:rPr>
          <w:i/>
          <w:sz w:val="24"/>
          <w:lang w:val="en-GB"/>
        </w:rPr>
      </w:pPr>
      <w:r w:rsidRPr="00314A8D">
        <w:rPr>
          <w:i/>
          <w:sz w:val="24"/>
          <w:lang w:val="en-GB"/>
        </w:rPr>
        <w:t>“</w:t>
      </w:r>
      <w:r w:rsidR="00AB7BC6" w:rsidRPr="00AB7BC6">
        <w:rPr>
          <w:i/>
          <w:sz w:val="24"/>
          <w:lang w:val="en-GB"/>
        </w:rPr>
        <w:t xml:space="preserve">Since there is no concrete reasoning or reference in the evidence which proves such a thing </w:t>
      </w:r>
      <w:r w:rsidR="00AB7BC6">
        <w:rPr>
          <w:i/>
          <w:sz w:val="24"/>
          <w:lang w:val="en-GB"/>
        </w:rPr>
        <w:t>relating to</w:t>
      </w:r>
      <w:r w:rsidR="00AB7BC6" w:rsidRPr="00AB7BC6">
        <w:rPr>
          <w:i/>
          <w:sz w:val="24"/>
          <w:lang w:val="en-GB"/>
        </w:rPr>
        <w:t xml:space="preserve"> t</w:t>
      </w:r>
      <w:r w:rsidR="00AB7BC6">
        <w:rPr>
          <w:i/>
          <w:sz w:val="24"/>
          <w:lang w:val="en-GB"/>
        </w:rPr>
        <w:t>his</w:t>
      </w:r>
      <w:r w:rsidR="00AB7BC6" w:rsidRPr="00AB7BC6">
        <w:rPr>
          <w:i/>
          <w:sz w:val="24"/>
          <w:lang w:val="en-GB"/>
        </w:rPr>
        <w:t xml:space="preserve"> position of the court of first instance</w:t>
      </w:r>
      <w:r w:rsidR="00AB7BC6">
        <w:rPr>
          <w:i/>
          <w:sz w:val="24"/>
          <w:lang w:val="en-GB"/>
        </w:rPr>
        <w:t>, for the claimant</w:t>
      </w:r>
      <w:r w:rsidR="00AB7BC6" w:rsidRPr="00AB7BC6">
        <w:rPr>
          <w:i/>
          <w:sz w:val="24"/>
          <w:lang w:val="en-GB"/>
        </w:rPr>
        <w:t xml:space="preserve"> remains </w:t>
      </w:r>
      <w:proofErr w:type="spellStart"/>
      <w:r w:rsidR="00AB7BC6" w:rsidRPr="00AB7BC6">
        <w:rPr>
          <w:i/>
          <w:sz w:val="24"/>
          <w:lang w:val="en-GB"/>
        </w:rPr>
        <w:t>unknow</w:t>
      </w:r>
      <w:proofErr w:type="spellEnd"/>
      <w:r w:rsidR="00AB7BC6">
        <w:rPr>
          <w:i/>
          <w:sz w:val="24"/>
          <w:lang w:val="en-GB"/>
        </w:rPr>
        <w:t xml:space="preserve"> the answer to the following </w:t>
      </w:r>
      <w:proofErr w:type="spellStart"/>
      <w:r w:rsidR="00AB7BC6">
        <w:rPr>
          <w:i/>
          <w:sz w:val="24"/>
          <w:lang w:val="en-GB"/>
        </w:rPr>
        <w:t>questionss</w:t>
      </w:r>
      <w:proofErr w:type="spellEnd"/>
      <w:r w:rsidRPr="00314A8D">
        <w:rPr>
          <w:i/>
          <w:sz w:val="24"/>
          <w:lang w:val="en-GB"/>
        </w:rPr>
        <w:t>;</w:t>
      </w:r>
    </w:p>
    <w:p w:rsidR="00D229BF" w:rsidRPr="00314A8D" w:rsidRDefault="00AB7BC6" w:rsidP="00A06B9C">
      <w:pPr>
        <w:autoSpaceDE w:val="0"/>
        <w:autoSpaceDN w:val="0"/>
        <w:adjustRightInd w:val="0"/>
        <w:spacing w:line="240" w:lineRule="auto"/>
        <w:ind w:left="990"/>
        <w:rPr>
          <w:i/>
          <w:sz w:val="24"/>
          <w:lang w:val="en-GB"/>
        </w:rPr>
      </w:pPr>
      <w:r>
        <w:rPr>
          <w:i/>
          <w:sz w:val="24"/>
          <w:lang w:val="en-GB"/>
        </w:rPr>
        <w:t>What were the requests of the claimant’s insured person</w:t>
      </w:r>
      <w:r w:rsidR="00FF271B" w:rsidRPr="00314A8D">
        <w:rPr>
          <w:i/>
          <w:sz w:val="24"/>
          <w:lang w:val="en-GB"/>
        </w:rPr>
        <w:t xml:space="preserve"> [M.B.] </w:t>
      </w:r>
      <w:r>
        <w:rPr>
          <w:i/>
          <w:sz w:val="24"/>
          <w:lang w:val="en-GB"/>
        </w:rPr>
        <w:t xml:space="preserve">in the </w:t>
      </w:r>
      <w:r w:rsidRPr="00314A8D">
        <w:rPr>
          <w:i/>
          <w:sz w:val="24"/>
          <w:lang w:val="en-GB"/>
        </w:rPr>
        <w:t>civil</w:t>
      </w:r>
      <w:r>
        <w:rPr>
          <w:i/>
          <w:sz w:val="24"/>
          <w:lang w:val="en-GB"/>
        </w:rPr>
        <w:t xml:space="preserve"> dispute </w:t>
      </w:r>
      <w:r w:rsidRPr="00314A8D">
        <w:rPr>
          <w:i/>
          <w:sz w:val="24"/>
          <w:lang w:val="en-GB"/>
        </w:rPr>
        <w:t>C</w:t>
      </w:r>
      <w:r w:rsidR="00FF271B" w:rsidRPr="00314A8D">
        <w:rPr>
          <w:i/>
          <w:sz w:val="24"/>
          <w:lang w:val="en-GB"/>
        </w:rPr>
        <w:t>. N</w:t>
      </w:r>
      <w:r>
        <w:rPr>
          <w:i/>
          <w:sz w:val="24"/>
          <w:lang w:val="en-GB"/>
        </w:rPr>
        <w:t>o</w:t>
      </w:r>
      <w:r w:rsidR="00FF271B" w:rsidRPr="00314A8D">
        <w:rPr>
          <w:i/>
          <w:sz w:val="24"/>
          <w:lang w:val="en-GB"/>
        </w:rPr>
        <w:t xml:space="preserve">. 185/13 </w:t>
      </w:r>
      <w:r>
        <w:rPr>
          <w:i/>
          <w:sz w:val="24"/>
          <w:lang w:val="en-GB"/>
        </w:rPr>
        <w:t>which was concluded by a court settlement on</w:t>
      </w:r>
      <w:r w:rsidR="00FF271B" w:rsidRPr="00314A8D">
        <w:rPr>
          <w:i/>
          <w:sz w:val="24"/>
          <w:lang w:val="en-GB"/>
        </w:rPr>
        <w:t xml:space="preserve"> 25.02.2015?</w:t>
      </w:r>
    </w:p>
    <w:p w:rsidR="00D229BF" w:rsidRPr="00314A8D" w:rsidRDefault="00AB7BC6" w:rsidP="00A06B9C">
      <w:pPr>
        <w:autoSpaceDE w:val="0"/>
        <w:autoSpaceDN w:val="0"/>
        <w:adjustRightInd w:val="0"/>
        <w:spacing w:line="240" w:lineRule="auto"/>
        <w:ind w:left="990"/>
        <w:rPr>
          <w:i/>
          <w:sz w:val="24"/>
          <w:lang w:val="en-GB"/>
        </w:rPr>
      </w:pPr>
      <w:r w:rsidRPr="00AB7BC6">
        <w:rPr>
          <w:i/>
          <w:sz w:val="24"/>
          <w:lang w:val="en-GB"/>
        </w:rPr>
        <w:lastRenderedPageBreak/>
        <w:t xml:space="preserve">If eventually in the civil dispute C. Nr. 185/13 the subject of </w:t>
      </w:r>
      <w:r>
        <w:rPr>
          <w:i/>
          <w:sz w:val="24"/>
          <w:lang w:val="en-GB"/>
        </w:rPr>
        <w:t xml:space="preserve">the statement of claim were the </w:t>
      </w:r>
      <w:r w:rsidRPr="00AB7BC6">
        <w:rPr>
          <w:i/>
          <w:sz w:val="24"/>
          <w:lang w:val="en-GB"/>
        </w:rPr>
        <w:t xml:space="preserve">medical expenses and compensation for incapacity </w:t>
      </w:r>
      <w:proofErr w:type="spellStart"/>
      <w:r>
        <w:rPr>
          <w:i/>
          <w:sz w:val="24"/>
          <w:lang w:val="en-GB"/>
        </w:rPr>
        <w:t>ti</w:t>
      </w:r>
      <w:proofErr w:type="spellEnd"/>
      <w:r w:rsidRPr="00AB7BC6">
        <w:rPr>
          <w:i/>
          <w:sz w:val="24"/>
          <w:lang w:val="en-GB"/>
        </w:rPr>
        <w:t xml:space="preserve"> work, what</w:t>
      </w:r>
      <w:r>
        <w:rPr>
          <w:i/>
          <w:sz w:val="24"/>
          <w:lang w:val="en-GB"/>
        </w:rPr>
        <w:t xml:space="preserve"> did they </w:t>
      </w:r>
      <w:r w:rsidRPr="00AB7BC6">
        <w:rPr>
          <w:i/>
          <w:sz w:val="24"/>
          <w:lang w:val="en-GB"/>
        </w:rPr>
        <w:t>consist of and what were</w:t>
      </w:r>
      <w:r>
        <w:rPr>
          <w:i/>
          <w:sz w:val="24"/>
          <w:lang w:val="en-GB"/>
        </w:rPr>
        <w:t xml:space="preserve"> they </w:t>
      </w:r>
      <w:proofErr w:type="gramStart"/>
      <w:r>
        <w:rPr>
          <w:i/>
          <w:sz w:val="24"/>
          <w:lang w:val="en-GB"/>
        </w:rPr>
        <w:t>proved</w:t>
      </w:r>
      <w:r w:rsidRPr="00AB7BC6">
        <w:rPr>
          <w:i/>
          <w:sz w:val="24"/>
          <w:lang w:val="en-GB"/>
        </w:rPr>
        <w:t xml:space="preserve">  with</w:t>
      </w:r>
      <w:proofErr w:type="gramEnd"/>
      <w:r w:rsidR="00FF271B" w:rsidRPr="00314A8D">
        <w:rPr>
          <w:i/>
          <w:sz w:val="24"/>
          <w:lang w:val="en-GB"/>
        </w:rPr>
        <w:t>?</w:t>
      </w:r>
    </w:p>
    <w:p w:rsidR="00D229BF" w:rsidRPr="00314A8D" w:rsidRDefault="00AB7BC6" w:rsidP="00A06B9C">
      <w:pPr>
        <w:autoSpaceDE w:val="0"/>
        <w:autoSpaceDN w:val="0"/>
        <w:adjustRightInd w:val="0"/>
        <w:spacing w:line="240" w:lineRule="auto"/>
        <w:ind w:left="990"/>
        <w:rPr>
          <w:i/>
          <w:sz w:val="24"/>
          <w:lang w:val="en-GB"/>
        </w:rPr>
      </w:pPr>
      <w:r w:rsidRPr="00AB7BC6">
        <w:rPr>
          <w:i/>
          <w:sz w:val="24"/>
          <w:lang w:val="en-GB"/>
        </w:rPr>
        <w:t>Since the</w:t>
      </w:r>
      <w:r>
        <w:rPr>
          <w:i/>
          <w:sz w:val="24"/>
          <w:lang w:val="en-GB"/>
        </w:rPr>
        <w:t xml:space="preserve"> [Applicant’s]</w:t>
      </w:r>
      <w:r w:rsidRPr="00AB7BC6">
        <w:rPr>
          <w:i/>
          <w:sz w:val="24"/>
          <w:lang w:val="en-GB"/>
        </w:rPr>
        <w:t xml:space="preserve"> claims for reimbursement on the basis of the subrogation of the in the current dispute were filed against the respondent on  24.12.2012, respectively </w:t>
      </w:r>
      <w:r>
        <w:rPr>
          <w:i/>
          <w:sz w:val="24"/>
          <w:lang w:val="en-GB"/>
        </w:rPr>
        <w:t xml:space="preserve">they were </w:t>
      </w:r>
      <w:r w:rsidRPr="00AB7BC6">
        <w:rPr>
          <w:i/>
          <w:sz w:val="24"/>
          <w:lang w:val="en-GB"/>
        </w:rPr>
        <w:t xml:space="preserve"> definitely</w:t>
      </w:r>
      <w:r>
        <w:rPr>
          <w:i/>
          <w:sz w:val="24"/>
          <w:lang w:val="en-GB"/>
        </w:rPr>
        <w:t xml:space="preserve"> specified</w:t>
      </w:r>
      <w:r w:rsidRPr="00AB7BC6">
        <w:rPr>
          <w:i/>
          <w:sz w:val="24"/>
          <w:lang w:val="en-GB"/>
        </w:rPr>
        <w:t xml:space="preserve"> </w:t>
      </w:r>
      <w:r>
        <w:rPr>
          <w:i/>
          <w:sz w:val="24"/>
          <w:lang w:val="en-GB"/>
        </w:rPr>
        <w:t>on</w:t>
      </w:r>
      <w:r w:rsidRPr="00AB7BC6">
        <w:rPr>
          <w:i/>
          <w:sz w:val="24"/>
          <w:lang w:val="en-GB"/>
        </w:rPr>
        <w:t xml:space="preserve"> 12.02.2013, how is it possible that these requests are subject to </w:t>
      </w:r>
      <w:r w:rsidR="003066EB">
        <w:rPr>
          <w:i/>
          <w:sz w:val="24"/>
          <w:lang w:val="en-GB"/>
        </w:rPr>
        <w:t>court settlement</w:t>
      </w:r>
      <w:r w:rsidRPr="00AB7BC6">
        <w:rPr>
          <w:i/>
          <w:sz w:val="24"/>
          <w:lang w:val="en-GB"/>
        </w:rPr>
        <w:t xml:space="preserve"> dated 25.02.2015</w:t>
      </w:r>
      <w:r w:rsidR="00FF271B" w:rsidRPr="00314A8D">
        <w:rPr>
          <w:i/>
          <w:sz w:val="24"/>
          <w:lang w:val="en-GB"/>
        </w:rPr>
        <w:t>?</w:t>
      </w:r>
    </w:p>
    <w:p w:rsidR="00D229BF" w:rsidRPr="00314A8D" w:rsidRDefault="003066EB" w:rsidP="00A06B9C">
      <w:pPr>
        <w:autoSpaceDE w:val="0"/>
        <w:autoSpaceDN w:val="0"/>
        <w:adjustRightInd w:val="0"/>
        <w:spacing w:line="240" w:lineRule="auto"/>
        <w:ind w:left="990"/>
        <w:rPr>
          <w:i/>
          <w:sz w:val="24"/>
          <w:lang w:val="en-GB"/>
        </w:rPr>
      </w:pPr>
      <w:r w:rsidRPr="003066EB">
        <w:rPr>
          <w:i/>
          <w:sz w:val="24"/>
          <w:lang w:val="en-GB"/>
        </w:rPr>
        <w:t>How is it possible that for the costs of medical treatment and compensation for temporary incapacity for work [...] paid by the [</w:t>
      </w:r>
      <w:r>
        <w:rPr>
          <w:i/>
          <w:sz w:val="24"/>
          <w:lang w:val="en-GB"/>
        </w:rPr>
        <w:t>Applicant] in 2012/2013, its</w:t>
      </w:r>
      <w:r w:rsidRPr="003066EB">
        <w:rPr>
          <w:i/>
          <w:sz w:val="24"/>
          <w:lang w:val="en-GB"/>
        </w:rPr>
        <w:t xml:space="preserve"> insured</w:t>
      </w:r>
      <w:r>
        <w:rPr>
          <w:i/>
          <w:sz w:val="24"/>
          <w:lang w:val="en-GB"/>
        </w:rPr>
        <w:t xml:space="preserve"> person</w:t>
      </w:r>
      <w:r w:rsidRPr="003066EB">
        <w:rPr>
          <w:i/>
          <w:sz w:val="24"/>
          <w:lang w:val="en-GB"/>
        </w:rPr>
        <w:t xml:space="preserve"> [</w:t>
      </w:r>
      <w:r>
        <w:rPr>
          <w:i/>
          <w:sz w:val="24"/>
          <w:lang w:val="en-GB"/>
        </w:rPr>
        <w:t>M.B</w:t>
      </w:r>
      <w:r w:rsidRPr="003066EB">
        <w:rPr>
          <w:i/>
          <w:sz w:val="24"/>
          <w:lang w:val="en-GB"/>
        </w:rPr>
        <w:t>] still ha</w:t>
      </w:r>
      <w:r>
        <w:rPr>
          <w:i/>
          <w:sz w:val="24"/>
          <w:lang w:val="en-GB"/>
        </w:rPr>
        <w:t>d</w:t>
      </w:r>
      <w:r w:rsidRPr="003066EB">
        <w:rPr>
          <w:i/>
          <w:sz w:val="24"/>
          <w:lang w:val="en-GB"/>
        </w:rPr>
        <w:t xml:space="preserve"> active legitimacy to sign the </w:t>
      </w:r>
      <w:r>
        <w:rPr>
          <w:i/>
          <w:sz w:val="24"/>
          <w:lang w:val="en-GB"/>
        </w:rPr>
        <w:t>court settlement</w:t>
      </w:r>
      <w:r w:rsidRPr="003066EB">
        <w:rPr>
          <w:i/>
          <w:sz w:val="24"/>
          <w:lang w:val="en-GB"/>
        </w:rPr>
        <w:t xml:space="preserve"> on 25.02.2015</w:t>
      </w:r>
      <w:r w:rsidR="00FF271B" w:rsidRPr="00314A8D">
        <w:rPr>
          <w:i/>
          <w:sz w:val="24"/>
          <w:lang w:val="en-GB"/>
        </w:rPr>
        <w:t>?”</w:t>
      </w:r>
    </w:p>
    <w:p w:rsidR="00D229BF" w:rsidRPr="00314A8D" w:rsidRDefault="00D229BF" w:rsidP="00A06B9C">
      <w:pPr>
        <w:autoSpaceDE w:val="0"/>
        <w:autoSpaceDN w:val="0"/>
        <w:adjustRightInd w:val="0"/>
        <w:spacing w:line="240" w:lineRule="auto"/>
        <w:ind w:left="540" w:hanging="540"/>
        <w:rPr>
          <w:i/>
          <w:sz w:val="24"/>
          <w:lang w:val="en-GB"/>
        </w:rPr>
      </w:pPr>
    </w:p>
    <w:p w:rsidR="00D229BF" w:rsidRPr="00314A8D" w:rsidRDefault="00450081" w:rsidP="00A06B9C">
      <w:pPr>
        <w:numPr>
          <w:ilvl w:val="0"/>
          <w:numId w:val="63"/>
        </w:numPr>
        <w:spacing w:line="240" w:lineRule="auto"/>
        <w:ind w:left="630" w:hanging="630"/>
        <w:rPr>
          <w:sz w:val="24"/>
          <w:lang w:val="en-GB"/>
        </w:rPr>
      </w:pPr>
      <w:r w:rsidRPr="00450081">
        <w:rPr>
          <w:sz w:val="24"/>
          <w:lang w:val="en-GB"/>
        </w:rPr>
        <w:t xml:space="preserve">Based on the above, the Applicant stated that in the present case the Judgment of the Basic Court contains an erroneous </w:t>
      </w:r>
      <w:r>
        <w:rPr>
          <w:sz w:val="24"/>
          <w:lang w:val="en-GB"/>
        </w:rPr>
        <w:t>determination</w:t>
      </w:r>
      <w:r w:rsidRPr="00450081">
        <w:rPr>
          <w:sz w:val="24"/>
          <w:lang w:val="en-GB"/>
        </w:rPr>
        <w:t xml:space="preserve"> of the factual situation, which results in the denial of the</w:t>
      </w:r>
      <w:r>
        <w:rPr>
          <w:sz w:val="24"/>
          <w:lang w:val="en-GB"/>
        </w:rPr>
        <w:t xml:space="preserve"> Applicant’s</w:t>
      </w:r>
      <w:r w:rsidRPr="00450081">
        <w:rPr>
          <w:sz w:val="24"/>
          <w:lang w:val="en-GB"/>
        </w:rPr>
        <w:t xml:space="preserve"> right to subrogation. Consequently, the Applicant </w:t>
      </w:r>
      <w:r>
        <w:rPr>
          <w:sz w:val="24"/>
          <w:lang w:val="en-GB"/>
        </w:rPr>
        <w:t>addresses</w:t>
      </w:r>
      <w:r w:rsidRPr="00450081">
        <w:rPr>
          <w:sz w:val="24"/>
          <w:lang w:val="en-GB"/>
        </w:rPr>
        <w:t xml:space="preserve"> the Court of Appeals with a request to re</w:t>
      </w:r>
      <w:r>
        <w:rPr>
          <w:sz w:val="24"/>
          <w:lang w:val="en-GB"/>
        </w:rPr>
        <w:t xml:space="preserve">mand </w:t>
      </w:r>
      <w:r w:rsidRPr="00450081">
        <w:rPr>
          <w:sz w:val="24"/>
          <w:lang w:val="en-GB"/>
        </w:rPr>
        <w:t xml:space="preserve">the case for retrial, where the Basic Court, in order to prove the </w:t>
      </w:r>
      <w:r>
        <w:rPr>
          <w:sz w:val="24"/>
          <w:lang w:val="en-GB"/>
        </w:rPr>
        <w:t>issue</w:t>
      </w:r>
      <w:r w:rsidRPr="00450081">
        <w:rPr>
          <w:sz w:val="24"/>
          <w:lang w:val="en-GB"/>
        </w:rPr>
        <w:t xml:space="preserve"> of the active legitimacy of the Applicant, must reconsider the factual situation regarding the compensation of the costs of medical treatment and payment for the period of incapacity </w:t>
      </w:r>
      <w:r>
        <w:rPr>
          <w:sz w:val="24"/>
          <w:lang w:val="en-GB"/>
        </w:rPr>
        <w:t>to</w:t>
      </w:r>
      <w:r w:rsidRPr="00450081">
        <w:rPr>
          <w:sz w:val="24"/>
          <w:lang w:val="en-GB"/>
        </w:rPr>
        <w:t xml:space="preserve"> work of </w:t>
      </w:r>
      <w:r>
        <w:rPr>
          <w:sz w:val="24"/>
          <w:lang w:val="en-GB"/>
        </w:rPr>
        <w:t>Applicant’s insured person</w:t>
      </w:r>
      <w:r w:rsidRPr="00450081">
        <w:rPr>
          <w:sz w:val="24"/>
          <w:lang w:val="en-GB"/>
        </w:rPr>
        <w:t xml:space="preserve">. In the following, the </w:t>
      </w:r>
      <w:r>
        <w:rPr>
          <w:sz w:val="24"/>
          <w:lang w:val="en-GB"/>
        </w:rPr>
        <w:t>A</w:t>
      </w:r>
      <w:r w:rsidRPr="00450081">
        <w:rPr>
          <w:sz w:val="24"/>
          <w:lang w:val="en-GB"/>
        </w:rPr>
        <w:t>pplicant also requests clarification</w:t>
      </w:r>
      <w:r>
        <w:rPr>
          <w:sz w:val="24"/>
          <w:lang w:val="en-GB"/>
        </w:rPr>
        <w:t xml:space="preserve"> explaining</w:t>
      </w:r>
      <w:r w:rsidRPr="00450081">
        <w:rPr>
          <w:sz w:val="24"/>
          <w:lang w:val="en-GB"/>
        </w:rPr>
        <w:t xml:space="preserve"> what</w:t>
      </w:r>
      <w:r>
        <w:rPr>
          <w:sz w:val="24"/>
          <w:lang w:val="en-GB"/>
        </w:rPr>
        <w:t xml:space="preserve"> was</w:t>
      </w:r>
      <w:r w:rsidRPr="00450081">
        <w:rPr>
          <w:sz w:val="24"/>
          <w:lang w:val="en-GB"/>
        </w:rPr>
        <w:t xml:space="preserve"> the injured party M.B.</w:t>
      </w:r>
      <w:r>
        <w:rPr>
          <w:sz w:val="24"/>
          <w:lang w:val="en-GB"/>
        </w:rPr>
        <w:t xml:space="preserve"> </w:t>
      </w:r>
      <w:proofErr w:type="spellStart"/>
      <w:r>
        <w:rPr>
          <w:sz w:val="24"/>
          <w:lang w:val="en-GB"/>
        </w:rPr>
        <w:t>compendated</w:t>
      </w:r>
      <w:proofErr w:type="spellEnd"/>
      <w:r w:rsidRPr="00450081">
        <w:rPr>
          <w:sz w:val="24"/>
          <w:lang w:val="en-GB"/>
        </w:rPr>
        <w:t xml:space="preserve"> by the K</w:t>
      </w:r>
      <w:r>
        <w:rPr>
          <w:sz w:val="24"/>
          <w:lang w:val="en-GB"/>
        </w:rPr>
        <w:t>IB</w:t>
      </w:r>
      <w:r w:rsidRPr="00450081">
        <w:rPr>
          <w:sz w:val="24"/>
          <w:lang w:val="en-GB"/>
        </w:rPr>
        <w:t xml:space="preserve">, and if the latter has been notified </w:t>
      </w:r>
      <w:r>
        <w:rPr>
          <w:sz w:val="24"/>
          <w:lang w:val="en-GB"/>
        </w:rPr>
        <w:t xml:space="preserve">about the </w:t>
      </w:r>
      <w:r w:rsidRPr="00450081">
        <w:rPr>
          <w:sz w:val="24"/>
          <w:lang w:val="en-GB"/>
        </w:rPr>
        <w:t xml:space="preserve">medical expenses and incapacity </w:t>
      </w:r>
      <w:r>
        <w:rPr>
          <w:sz w:val="24"/>
          <w:lang w:val="en-GB"/>
        </w:rPr>
        <w:t>to</w:t>
      </w:r>
      <w:r w:rsidRPr="00450081">
        <w:rPr>
          <w:sz w:val="24"/>
          <w:lang w:val="en-GB"/>
        </w:rPr>
        <w:t xml:space="preserve"> work, paid by the </w:t>
      </w:r>
      <w:r>
        <w:rPr>
          <w:sz w:val="24"/>
          <w:lang w:val="en-GB"/>
        </w:rPr>
        <w:t>A</w:t>
      </w:r>
      <w:r w:rsidRPr="00450081">
        <w:rPr>
          <w:sz w:val="24"/>
          <w:lang w:val="en-GB"/>
        </w:rPr>
        <w:t>pplicant</w:t>
      </w:r>
      <w:r w:rsidR="00FF271B" w:rsidRPr="00314A8D">
        <w:rPr>
          <w:sz w:val="24"/>
          <w:lang w:val="en-GB"/>
        </w:rPr>
        <w:t xml:space="preserve">. </w:t>
      </w:r>
    </w:p>
    <w:p w:rsidR="00D229BF" w:rsidRPr="00314A8D" w:rsidRDefault="00D229BF" w:rsidP="00A06B9C">
      <w:pPr>
        <w:autoSpaceDE w:val="0"/>
        <w:autoSpaceDN w:val="0"/>
        <w:adjustRightInd w:val="0"/>
        <w:spacing w:line="240" w:lineRule="auto"/>
        <w:ind w:left="540" w:hanging="540"/>
        <w:rPr>
          <w:i/>
          <w:sz w:val="24"/>
          <w:lang w:val="en-GB"/>
        </w:rPr>
      </w:pPr>
    </w:p>
    <w:p w:rsidR="00D229BF" w:rsidRPr="00314A8D" w:rsidRDefault="00450081" w:rsidP="00A06B9C">
      <w:pPr>
        <w:numPr>
          <w:ilvl w:val="0"/>
          <w:numId w:val="63"/>
        </w:numPr>
        <w:spacing w:line="240" w:lineRule="auto"/>
        <w:ind w:left="630" w:hanging="630"/>
        <w:rPr>
          <w:sz w:val="24"/>
          <w:lang w:val="en-GB"/>
        </w:rPr>
      </w:pPr>
      <w:r w:rsidRPr="00450081">
        <w:rPr>
          <w:sz w:val="24"/>
          <w:lang w:val="en-GB"/>
        </w:rPr>
        <w:t xml:space="preserve">Thirdly, </w:t>
      </w:r>
      <w:r w:rsidR="00737609">
        <w:rPr>
          <w:sz w:val="24"/>
          <w:lang w:val="en-GB"/>
        </w:rPr>
        <w:t>as regards</w:t>
      </w:r>
      <w:r w:rsidRPr="00450081">
        <w:rPr>
          <w:sz w:val="24"/>
          <w:lang w:val="en-GB"/>
        </w:rPr>
        <w:t xml:space="preserve"> the allegation of </w:t>
      </w:r>
      <w:r>
        <w:rPr>
          <w:sz w:val="24"/>
          <w:lang w:val="en-GB"/>
        </w:rPr>
        <w:t>erroneous</w:t>
      </w:r>
      <w:r w:rsidRPr="00450081">
        <w:rPr>
          <w:sz w:val="24"/>
          <w:lang w:val="en-GB"/>
        </w:rPr>
        <w:t xml:space="preserve"> application of substantive law, the Applicant claimed that the Basic Court in its judgment referred only to Articles 940 and 941 of the Law on Obligation</w:t>
      </w:r>
      <w:r>
        <w:rPr>
          <w:sz w:val="24"/>
          <w:lang w:val="en-GB"/>
        </w:rPr>
        <w:t>al Relationships</w:t>
      </w:r>
      <w:r w:rsidRPr="00450081">
        <w:rPr>
          <w:sz w:val="24"/>
          <w:lang w:val="en-GB"/>
        </w:rPr>
        <w:t xml:space="preserve"> (hereinafter:</w:t>
      </w:r>
      <w:r>
        <w:rPr>
          <w:sz w:val="24"/>
          <w:lang w:val="en-GB"/>
        </w:rPr>
        <w:t xml:space="preserve"> the LOR</w:t>
      </w:r>
      <w:r w:rsidRPr="00450081">
        <w:rPr>
          <w:sz w:val="24"/>
          <w:lang w:val="en-GB"/>
        </w:rPr>
        <w:t>), provisions</w:t>
      </w:r>
      <w:r>
        <w:rPr>
          <w:sz w:val="24"/>
          <w:lang w:val="en-GB"/>
        </w:rPr>
        <w:t xml:space="preserve"> which</w:t>
      </w:r>
      <w:r w:rsidRPr="00450081">
        <w:rPr>
          <w:sz w:val="24"/>
          <w:lang w:val="en-GB"/>
        </w:rPr>
        <w:t xml:space="preserve"> according to the </w:t>
      </w:r>
      <w:r>
        <w:rPr>
          <w:sz w:val="24"/>
          <w:lang w:val="en-GB"/>
        </w:rPr>
        <w:t>A</w:t>
      </w:r>
      <w:r w:rsidRPr="00450081">
        <w:rPr>
          <w:sz w:val="24"/>
          <w:lang w:val="en-GB"/>
        </w:rPr>
        <w:t xml:space="preserve">pplicant define the obligation of the liability insurer and install the right in </w:t>
      </w:r>
      <w:r>
        <w:rPr>
          <w:sz w:val="24"/>
          <w:lang w:val="en-GB"/>
        </w:rPr>
        <w:t>“</w:t>
      </w:r>
      <w:proofErr w:type="spellStart"/>
      <w:r w:rsidRPr="00450081">
        <w:rPr>
          <w:sz w:val="24"/>
          <w:lang w:val="en-GB"/>
        </w:rPr>
        <w:t>actiodirecta</w:t>
      </w:r>
      <w:proofErr w:type="spellEnd"/>
      <w:r>
        <w:rPr>
          <w:sz w:val="24"/>
          <w:lang w:val="en-GB"/>
        </w:rPr>
        <w:t>”</w:t>
      </w:r>
      <w:r w:rsidRPr="00450081">
        <w:rPr>
          <w:sz w:val="24"/>
          <w:lang w:val="en-GB"/>
        </w:rPr>
        <w:t xml:space="preserve"> of the injured party, but this Court </w:t>
      </w:r>
      <w:r>
        <w:rPr>
          <w:sz w:val="24"/>
          <w:lang w:val="en-GB"/>
        </w:rPr>
        <w:t>has</w:t>
      </w:r>
      <w:r w:rsidRPr="00450081">
        <w:rPr>
          <w:sz w:val="24"/>
          <w:lang w:val="en-GB"/>
        </w:rPr>
        <w:t xml:space="preserve"> not based</w:t>
      </w:r>
      <w:r>
        <w:rPr>
          <w:sz w:val="24"/>
          <w:lang w:val="en-GB"/>
        </w:rPr>
        <w:t xml:space="preserve"> upon</w:t>
      </w:r>
      <w:r w:rsidRPr="00450081">
        <w:rPr>
          <w:sz w:val="24"/>
          <w:lang w:val="en-GB"/>
        </w:rPr>
        <w:t xml:space="preserve"> the relevant provisions referring to the right to subrogation, respectively </w:t>
      </w:r>
      <w:r>
        <w:rPr>
          <w:sz w:val="24"/>
          <w:lang w:val="en-GB"/>
        </w:rPr>
        <w:t>A</w:t>
      </w:r>
      <w:r w:rsidRPr="00450081">
        <w:rPr>
          <w:sz w:val="24"/>
          <w:lang w:val="en-GB"/>
        </w:rPr>
        <w:t>rticles 301 and 939 of</w:t>
      </w:r>
      <w:r>
        <w:rPr>
          <w:sz w:val="24"/>
          <w:lang w:val="en-GB"/>
        </w:rPr>
        <w:t xml:space="preserve"> the</w:t>
      </w:r>
      <w:r w:rsidRPr="00450081">
        <w:rPr>
          <w:sz w:val="24"/>
          <w:lang w:val="en-GB"/>
        </w:rPr>
        <w:t xml:space="preserve"> LOR</w:t>
      </w:r>
      <w:r w:rsidR="00FF271B" w:rsidRPr="00314A8D">
        <w:rPr>
          <w:sz w:val="24"/>
          <w:lang w:val="en-GB"/>
        </w:rPr>
        <w:t xml:space="preserve">. </w:t>
      </w:r>
    </w:p>
    <w:p w:rsidR="00D229BF" w:rsidRPr="00314A8D" w:rsidRDefault="00D229BF" w:rsidP="00A06B9C">
      <w:pPr>
        <w:autoSpaceDE w:val="0"/>
        <w:autoSpaceDN w:val="0"/>
        <w:adjustRightInd w:val="0"/>
        <w:spacing w:line="240" w:lineRule="auto"/>
        <w:ind w:left="540" w:hanging="540"/>
        <w:rPr>
          <w:sz w:val="24"/>
          <w:lang w:val="en-GB"/>
        </w:rPr>
      </w:pPr>
    </w:p>
    <w:p w:rsidR="00D229BF" w:rsidRPr="00314A8D" w:rsidRDefault="00FF271B" w:rsidP="00A06B9C">
      <w:pPr>
        <w:numPr>
          <w:ilvl w:val="0"/>
          <w:numId w:val="63"/>
        </w:numPr>
        <w:spacing w:line="240" w:lineRule="auto"/>
        <w:ind w:left="630" w:hanging="630"/>
        <w:rPr>
          <w:i/>
          <w:sz w:val="24"/>
          <w:lang w:val="en-GB"/>
        </w:rPr>
      </w:pPr>
      <w:proofErr w:type="spellStart"/>
      <w:r w:rsidRPr="00314A8D">
        <w:rPr>
          <w:sz w:val="24"/>
          <w:lang w:val="en-GB"/>
        </w:rPr>
        <w:t>Në</w:t>
      </w:r>
      <w:proofErr w:type="spellEnd"/>
      <w:r w:rsidRPr="00314A8D">
        <w:rPr>
          <w:sz w:val="24"/>
          <w:lang w:val="en-GB"/>
        </w:rPr>
        <w:t xml:space="preserve"> </w:t>
      </w:r>
      <w:proofErr w:type="spellStart"/>
      <w:r w:rsidRPr="00314A8D">
        <w:rPr>
          <w:sz w:val="24"/>
          <w:lang w:val="en-GB"/>
        </w:rPr>
        <w:t>vijim</w:t>
      </w:r>
      <w:proofErr w:type="spellEnd"/>
      <w:r w:rsidRPr="00314A8D">
        <w:rPr>
          <w:sz w:val="24"/>
          <w:lang w:val="en-GB"/>
        </w:rPr>
        <w:t xml:space="preserve">, </w:t>
      </w:r>
      <w:proofErr w:type="spellStart"/>
      <w:r w:rsidRPr="00314A8D">
        <w:rPr>
          <w:sz w:val="24"/>
          <w:lang w:val="en-GB"/>
        </w:rPr>
        <w:t>parashtruesi</w:t>
      </w:r>
      <w:proofErr w:type="spellEnd"/>
      <w:r w:rsidRPr="00314A8D">
        <w:rPr>
          <w:sz w:val="24"/>
          <w:lang w:val="en-GB"/>
        </w:rPr>
        <w:t xml:space="preserve"> </w:t>
      </w:r>
      <w:proofErr w:type="spellStart"/>
      <w:r w:rsidRPr="00314A8D">
        <w:rPr>
          <w:sz w:val="24"/>
          <w:lang w:val="en-GB"/>
        </w:rPr>
        <w:t>i</w:t>
      </w:r>
      <w:proofErr w:type="spellEnd"/>
      <w:r w:rsidRPr="00314A8D">
        <w:rPr>
          <w:sz w:val="24"/>
          <w:lang w:val="en-GB"/>
        </w:rPr>
        <w:t xml:space="preserve"> </w:t>
      </w:r>
      <w:proofErr w:type="spellStart"/>
      <w:r w:rsidRPr="00314A8D">
        <w:rPr>
          <w:sz w:val="24"/>
          <w:lang w:val="en-GB"/>
        </w:rPr>
        <w:t>kërkesës</w:t>
      </w:r>
      <w:proofErr w:type="spellEnd"/>
      <w:r w:rsidRPr="00314A8D">
        <w:rPr>
          <w:sz w:val="24"/>
          <w:lang w:val="en-GB"/>
        </w:rPr>
        <w:t xml:space="preserve"> </w:t>
      </w:r>
      <w:proofErr w:type="spellStart"/>
      <w:r w:rsidRPr="00314A8D">
        <w:rPr>
          <w:sz w:val="24"/>
          <w:lang w:val="en-GB"/>
        </w:rPr>
        <w:t>pretendon</w:t>
      </w:r>
      <w:proofErr w:type="spellEnd"/>
      <w:r w:rsidRPr="00314A8D">
        <w:rPr>
          <w:sz w:val="24"/>
          <w:lang w:val="en-GB"/>
        </w:rPr>
        <w:t xml:space="preserve"> se:</w:t>
      </w:r>
      <w:r w:rsidRPr="00314A8D">
        <w:rPr>
          <w:i/>
          <w:sz w:val="24"/>
          <w:lang w:val="en-GB"/>
        </w:rPr>
        <w:t xml:space="preserve"> “[...] </w:t>
      </w:r>
      <w:proofErr w:type="spellStart"/>
      <w:r w:rsidRPr="00314A8D">
        <w:rPr>
          <w:i/>
          <w:sz w:val="24"/>
          <w:lang w:val="en-GB"/>
        </w:rPr>
        <w:t>një</w:t>
      </w:r>
      <w:proofErr w:type="spellEnd"/>
      <w:r w:rsidRPr="00314A8D">
        <w:rPr>
          <w:i/>
          <w:sz w:val="24"/>
          <w:lang w:val="en-GB"/>
        </w:rPr>
        <w:t xml:space="preserve"> </w:t>
      </w:r>
      <w:proofErr w:type="spellStart"/>
      <w:r w:rsidRPr="00314A8D">
        <w:rPr>
          <w:i/>
          <w:sz w:val="24"/>
          <w:lang w:val="en-GB"/>
        </w:rPr>
        <w:t>raport</w:t>
      </w:r>
      <w:proofErr w:type="spellEnd"/>
      <w:r w:rsidRPr="00314A8D">
        <w:rPr>
          <w:i/>
          <w:sz w:val="24"/>
          <w:lang w:val="en-GB"/>
        </w:rPr>
        <w:t xml:space="preserve"> me </w:t>
      </w:r>
      <w:proofErr w:type="spellStart"/>
      <w:r w:rsidRPr="00314A8D">
        <w:rPr>
          <w:i/>
          <w:sz w:val="24"/>
          <w:lang w:val="en-GB"/>
        </w:rPr>
        <w:t>karakter</w:t>
      </w:r>
      <w:proofErr w:type="spellEnd"/>
      <w:r w:rsidRPr="00314A8D">
        <w:rPr>
          <w:i/>
          <w:sz w:val="24"/>
          <w:lang w:val="en-GB"/>
        </w:rPr>
        <w:t xml:space="preserve"> </w:t>
      </w:r>
      <w:proofErr w:type="spellStart"/>
      <w:r w:rsidRPr="00314A8D">
        <w:rPr>
          <w:i/>
          <w:sz w:val="24"/>
          <w:lang w:val="en-GB"/>
        </w:rPr>
        <w:t>juridik</w:t>
      </w:r>
      <w:proofErr w:type="spellEnd"/>
      <w:r w:rsidRPr="00314A8D">
        <w:rPr>
          <w:i/>
          <w:sz w:val="24"/>
          <w:lang w:val="en-GB"/>
        </w:rPr>
        <w:t xml:space="preserve"> </w:t>
      </w:r>
      <w:proofErr w:type="spellStart"/>
      <w:r w:rsidRPr="00314A8D">
        <w:rPr>
          <w:i/>
          <w:sz w:val="24"/>
          <w:lang w:val="en-GB"/>
        </w:rPr>
        <w:t>detyrimor</w:t>
      </w:r>
      <w:proofErr w:type="spellEnd"/>
      <w:r w:rsidRPr="00314A8D">
        <w:rPr>
          <w:i/>
          <w:sz w:val="24"/>
          <w:lang w:val="en-GB"/>
        </w:rPr>
        <w:t xml:space="preserve"> </w:t>
      </w:r>
      <w:proofErr w:type="spellStart"/>
      <w:r w:rsidRPr="00314A8D">
        <w:rPr>
          <w:i/>
          <w:sz w:val="24"/>
          <w:lang w:val="en-GB"/>
        </w:rPr>
        <w:t>mes</w:t>
      </w:r>
      <w:proofErr w:type="spellEnd"/>
      <w:r w:rsidRPr="00314A8D">
        <w:rPr>
          <w:i/>
          <w:sz w:val="24"/>
          <w:lang w:val="en-GB"/>
        </w:rPr>
        <w:t xml:space="preserve"> </w:t>
      </w:r>
      <w:proofErr w:type="spellStart"/>
      <w:proofErr w:type="gramStart"/>
      <w:r w:rsidRPr="00314A8D">
        <w:rPr>
          <w:i/>
          <w:sz w:val="24"/>
          <w:lang w:val="en-GB"/>
        </w:rPr>
        <w:t>dy</w:t>
      </w:r>
      <w:proofErr w:type="spellEnd"/>
      <w:proofErr w:type="gramEnd"/>
      <w:r w:rsidRPr="00314A8D">
        <w:rPr>
          <w:i/>
          <w:sz w:val="24"/>
          <w:lang w:val="en-GB"/>
        </w:rPr>
        <w:t xml:space="preserve"> </w:t>
      </w:r>
      <w:proofErr w:type="spellStart"/>
      <w:r w:rsidRPr="00314A8D">
        <w:rPr>
          <w:i/>
          <w:sz w:val="24"/>
          <w:lang w:val="en-GB"/>
        </w:rPr>
        <w:t>palëve</w:t>
      </w:r>
      <w:proofErr w:type="spellEnd"/>
      <w:r w:rsidRPr="00314A8D">
        <w:rPr>
          <w:i/>
          <w:sz w:val="24"/>
          <w:lang w:val="en-GB"/>
        </w:rPr>
        <w:t xml:space="preserve"> </w:t>
      </w:r>
      <w:proofErr w:type="spellStart"/>
      <w:r w:rsidRPr="00314A8D">
        <w:rPr>
          <w:i/>
          <w:sz w:val="24"/>
          <w:lang w:val="en-GB"/>
        </w:rPr>
        <w:t>mund</w:t>
      </w:r>
      <w:proofErr w:type="spellEnd"/>
      <w:r w:rsidRPr="00314A8D">
        <w:rPr>
          <w:i/>
          <w:sz w:val="24"/>
          <w:lang w:val="en-GB"/>
        </w:rPr>
        <w:t xml:space="preserve"> </w:t>
      </w:r>
      <w:proofErr w:type="spellStart"/>
      <w:r w:rsidRPr="00314A8D">
        <w:rPr>
          <w:i/>
          <w:sz w:val="24"/>
          <w:lang w:val="en-GB"/>
        </w:rPr>
        <w:t>te</w:t>
      </w:r>
      <w:proofErr w:type="spellEnd"/>
      <w:r w:rsidRPr="00314A8D">
        <w:rPr>
          <w:i/>
          <w:sz w:val="24"/>
          <w:lang w:val="en-GB"/>
        </w:rPr>
        <w:t xml:space="preserve"> </w:t>
      </w:r>
      <w:proofErr w:type="spellStart"/>
      <w:r w:rsidRPr="00314A8D">
        <w:rPr>
          <w:i/>
          <w:sz w:val="24"/>
          <w:lang w:val="en-GB"/>
        </w:rPr>
        <w:t>ketë</w:t>
      </w:r>
      <w:proofErr w:type="spellEnd"/>
      <w:r w:rsidRPr="00314A8D">
        <w:rPr>
          <w:i/>
          <w:sz w:val="24"/>
          <w:lang w:val="en-GB"/>
        </w:rPr>
        <w:t xml:space="preserve"> </w:t>
      </w:r>
      <w:proofErr w:type="spellStart"/>
      <w:r w:rsidRPr="00314A8D">
        <w:rPr>
          <w:i/>
          <w:sz w:val="24"/>
          <w:lang w:val="en-GB"/>
        </w:rPr>
        <w:t>efekt</w:t>
      </w:r>
      <w:proofErr w:type="spellEnd"/>
      <w:r w:rsidRPr="00314A8D">
        <w:rPr>
          <w:i/>
          <w:sz w:val="24"/>
          <w:lang w:val="en-GB"/>
        </w:rPr>
        <w:t xml:space="preserve"> </w:t>
      </w:r>
      <w:proofErr w:type="spellStart"/>
      <w:r w:rsidRPr="00314A8D">
        <w:rPr>
          <w:i/>
          <w:sz w:val="24"/>
          <w:lang w:val="en-GB"/>
        </w:rPr>
        <w:t>juridik</w:t>
      </w:r>
      <w:proofErr w:type="spellEnd"/>
      <w:r w:rsidRPr="00314A8D">
        <w:rPr>
          <w:i/>
          <w:sz w:val="24"/>
          <w:lang w:val="en-GB"/>
        </w:rPr>
        <w:t xml:space="preserve"> jo </w:t>
      </w:r>
      <w:proofErr w:type="spellStart"/>
      <w:r w:rsidRPr="00314A8D">
        <w:rPr>
          <w:i/>
          <w:sz w:val="24"/>
          <w:lang w:val="en-GB"/>
        </w:rPr>
        <w:t>vetëm</w:t>
      </w:r>
      <w:proofErr w:type="spellEnd"/>
      <w:r w:rsidRPr="00314A8D">
        <w:rPr>
          <w:i/>
          <w:sz w:val="24"/>
          <w:lang w:val="en-GB"/>
        </w:rPr>
        <w:t xml:space="preserve"> </w:t>
      </w:r>
      <w:r w:rsidRPr="00314A8D">
        <w:rPr>
          <w:i/>
          <w:iCs/>
          <w:sz w:val="24"/>
          <w:lang w:val="en-GB"/>
        </w:rPr>
        <w:t>"</w:t>
      </w:r>
      <w:proofErr w:type="spellStart"/>
      <w:r w:rsidRPr="00314A8D">
        <w:rPr>
          <w:i/>
          <w:iCs/>
          <w:sz w:val="24"/>
          <w:lang w:val="en-GB"/>
        </w:rPr>
        <w:t>Interpartes</w:t>
      </w:r>
      <w:proofErr w:type="spellEnd"/>
      <w:r w:rsidRPr="00314A8D">
        <w:rPr>
          <w:i/>
          <w:iCs/>
          <w:sz w:val="24"/>
          <w:lang w:val="en-GB"/>
        </w:rPr>
        <w:t xml:space="preserve">" </w:t>
      </w:r>
      <w:proofErr w:type="spellStart"/>
      <w:r w:rsidRPr="00314A8D">
        <w:rPr>
          <w:i/>
          <w:sz w:val="24"/>
          <w:lang w:val="en-GB"/>
        </w:rPr>
        <w:t>por</w:t>
      </w:r>
      <w:proofErr w:type="spellEnd"/>
      <w:r w:rsidRPr="00314A8D">
        <w:rPr>
          <w:i/>
          <w:sz w:val="24"/>
          <w:lang w:val="en-GB"/>
        </w:rPr>
        <w:t xml:space="preserve"> </w:t>
      </w:r>
      <w:proofErr w:type="spellStart"/>
      <w:r w:rsidRPr="00314A8D">
        <w:rPr>
          <w:i/>
          <w:sz w:val="24"/>
          <w:lang w:val="en-GB"/>
        </w:rPr>
        <w:t>edhe</w:t>
      </w:r>
      <w:proofErr w:type="spellEnd"/>
      <w:r w:rsidRPr="00314A8D">
        <w:rPr>
          <w:i/>
          <w:sz w:val="24"/>
          <w:lang w:val="en-GB"/>
        </w:rPr>
        <w:t xml:space="preserve"> </w:t>
      </w:r>
      <w:proofErr w:type="spellStart"/>
      <w:r w:rsidRPr="00314A8D">
        <w:rPr>
          <w:i/>
          <w:sz w:val="24"/>
          <w:lang w:val="en-GB"/>
        </w:rPr>
        <w:t>ndaj</w:t>
      </w:r>
      <w:proofErr w:type="spellEnd"/>
      <w:r w:rsidRPr="00314A8D">
        <w:rPr>
          <w:i/>
          <w:sz w:val="24"/>
          <w:lang w:val="en-GB"/>
        </w:rPr>
        <w:t xml:space="preserve"> </w:t>
      </w:r>
      <w:proofErr w:type="spellStart"/>
      <w:r w:rsidRPr="00314A8D">
        <w:rPr>
          <w:i/>
          <w:sz w:val="24"/>
          <w:lang w:val="en-GB"/>
        </w:rPr>
        <w:t>palëve</w:t>
      </w:r>
      <w:proofErr w:type="spellEnd"/>
      <w:r w:rsidRPr="00314A8D">
        <w:rPr>
          <w:i/>
          <w:sz w:val="24"/>
          <w:lang w:val="en-GB"/>
        </w:rPr>
        <w:t xml:space="preserve"> </w:t>
      </w:r>
      <w:proofErr w:type="spellStart"/>
      <w:r w:rsidRPr="00314A8D">
        <w:rPr>
          <w:i/>
          <w:sz w:val="24"/>
          <w:lang w:val="en-GB"/>
        </w:rPr>
        <w:t>të</w:t>
      </w:r>
      <w:proofErr w:type="spellEnd"/>
      <w:r w:rsidRPr="00314A8D">
        <w:rPr>
          <w:i/>
          <w:sz w:val="24"/>
          <w:lang w:val="en-GB"/>
        </w:rPr>
        <w:t xml:space="preserve"> </w:t>
      </w:r>
      <w:proofErr w:type="spellStart"/>
      <w:r w:rsidRPr="00314A8D">
        <w:rPr>
          <w:i/>
          <w:sz w:val="24"/>
          <w:lang w:val="en-GB"/>
        </w:rPr>
        <w:t>treta</w:t>
      </w:r>
      <w:proofErr w:type="spellEnd"/>
      <w:r w:rsidRPr="00314A8D">
        <w:rPr>
          <w:i/>
          <w:sz w:val="24"/>
          <w:lang w:val="en-GB"/>
        </w:rPr>
        <w:t xml:space="preserve"> </w:t>
      </w:r>
      <w:proofErr w:type="spellStart"/>
      <w:r w:rsidRPr="00314A8D">
        <w:rPr>
          <w:i/>
          <w:sz w:val="24"/>
          <w:lang w:val="en-GB"/>
        </w:rPr>
        <w:t>çështje</w:t>
      </w:r>
      <w:proofErr w:type="spellEnd"/>
      <w:r w:rsidRPr="00314A8D">
        <w:rPr>
          <w:i/>
          <w:sz w:val="24"/>
          <w:lang w:val="en-GB"/>
        </w:rPr>
        <w:t xml:space="preserve"> </w:t>
      </w:r>
      <w:proofErr w:type="spellStart"/>
      <w:r w:rsidRPr="00314A8D">
        <w:rPr>
          <w:i/>
          <w:sz w:val="24"/>
          <w:lang w:val="en-GB"/>
        </w:rPr>
        <w:t>kjo</w:t>
      </w:r>
      <w:proofErr w:type="spellEnd"/>
      <w:r w:rsidRPr="00314A8D">
        <w:rPr>
          <w:i/>
          <w:sz w:val="24"/>
          <w:lang w:val="en-GB"/>
        </w:rPr>
        <w:t xml:space="preserve">, </w:t>
      </w:r>
      <w:proofErr w:type="spellStart"/>
      <w:r w:rsidRPr="00314A8D">
        <w:rPr>
          <w:i/>
          <w:sz w:val="24"/>
          <w:lang w:val="en-GB"/>
        </w:rPr>
        <w:t>që</w:t>
      </w:r>
      <w:proofErr w:type="spellEnd"/>
      <w:r w:rsidRPr="00314A8D">
        <w:rPr>
          <w:i/>
          <w:sz w:val="24"/>
          <w:lang w:val="en-GB"/>
        </w:rPr>
        <w:t xml:space="preserve"> ne </w:t>
      </w:r>
      <w:proofErr w:type="spellStart"/>
      <w:r w:rsidRPr="00314A8D">
        <w:rPr>
          <w:i/>
          <w:sz w:val="24"/>
          <w:lang w:val="en-GB"/>
        </w:rPr>
        <w:t>një</w:t>
      </w:r>
      <w:proofErr w:type="spellEnd"/>
      <w:r w:rsidRPr="00314A8D">
        <w:rPr>
          <w:i/>
          <w:sz w:val="24"/>
          <w:lang w:val="en-GB"/>
        </w:rPr>
        <w:t xml:space="preserve"> </w:t>
      </w:r>
      <w:proofErr w:type="spellStart"/>
      <w:r w:rsidRPr="00314A8D">
        <w:rPr>
          <w:i/>
          <w:sz w:val="24"/>
          <w:lang w:val="en-GB"/>
        </w:rPr>
        <w:t>rast</w:t>
      </w:r>
      <w:proofErr w:type="spellEnd"/>
      <w:r w:rsidRPr="00314A8D">
        <w:rPr>
          <w:i/>
          <w:sz w:val="24"/>
          <w:lang w:val="en-GB"/>
        </w:rPr>
        <w:t xml:space="preserve"> </w:t>
      </w:r>
      <w:proofErr w:type="spellStart"/>
      <w:r w:rsidRPr="00314A8D">
        <w:rPr>
          <w:i/>
          <w:sz w:val="24"/>
          <w:lang w:val="en-GB"/>
        </w:rPr>
        <w:t>te</w:t>
      </w:r>
      <w:proofErr w:type="spellEnd"/>
      <w:r w:rsidRPr="00314A8D">
        <w:rPr>
          <w:i/>
          <w:sz w:val="24"/>
          <w:lang w:val="en-GB"/>
        </w:rPr>
        <w:t xml:space="preserve"> </w:t>
      </w:r>
      <w:proofErr w:type="spellStart"/>
      <w:r w:rsidRPr="00314A8D">
        <w:rPr>
          <w:i/>
          <w:sz w:val="24"/>
          <w:lang w:val="en-GB"/>
        </w:rPr>
        <w:t>ngjashëm</w:t>
      </w:r>
      <w:proofErr w:type="spellEnd"/>
      <w:r w:rsidRPr="00314A8D">
        <w:rPr>
          <w:i/>
          <w:sz w:val="24"/>
          <w:lang w:val="en-GB"/>
        </w:rPr>
        <w:t xml:space="preserve">, </w:t>
      </w:r>
      <w:proofErr w:type="spellStart"/>
      <w:r w:rsidRPr="00314A8D">
        <w:rPr>
          <w:i/>
          <w:sz w:val="24"/>
          <w:lang w:val="en-GB"/>
        </w:rPr>
        <w:t>ku</w:t>
      </w:r>
      <w:proofErr w:type="spellEnd"/>
      <w:r w:rsidRPr="00314A8D">
        <w:rPr>
          <w:i/>
          <w:sz w:val="24"/>
          <w:lang w:val="en-GB"/>
        </w:rPr>
        <w:t xml:space="preserve"> </w:t>
      </w:r>
      <w:proofErr w:type="spellStart"/>
      <w:r w:rsidRPr="00314A8D">
        <w:rPr>
          <w:i/>
          <w:sz w:val="24"/>
          <w:lang w:val="en-GB"/>
        </w:rPr>
        <w:t>incidentalisht</w:t>
      </w:r>
      <w:proofErr w:type="spellEnd"/>
      <w:r w:rsidRPr="00314A8D">
        <w:rPr>
          <w:i/>
          <w:sz w:val="24"/>
          <w:lang w:val="en-GB"/>
        </w:rPr>
        <w:t xml:space="preserve"> </w:t>
      </w:r>
      <w:proofErr w:type="spellStart"/>
      <w:r w:rsidRPr="00314A8D">
        <w:rPr>
          <w:i/>
          <w:sz w:val="24"/>
          <w:lang w:val="en-GB"/>
        </w:rPr>
        <w:t>kishte</w:t>
      </w:r>
      <w:proofErr w:type="spellEnd"/>
      <w:r w:rsidRPr="00314A8D">
        <w:rPr>
          <w:i/>
          <w:sz w:val="24"/>
          <w:lang w:val="en-GB"/>
        </w:rPr>
        <w:t xml:space="preserve"> </w:t>
      </w:r>
      <w:proofErr w:type="spellStart"/>
      <w:r w:rsidRPr="00314A8D">
        <w:rPr>
          <w:i/>
          <w:sz w:val="24"/>
          <w:lang w:val="en-GB"/>
        </w:rPr>
        <w:t>mbërritur</w:t>
      </w:r>
      <w:proofErr w:type="spellEnd"/>
      <w:r w:rsidRPr="00314A8D">
        <w:rPr>
          <w:i/>
          <w:sz w:val="24"/>
          <w:lang w:val="en-GB"/>
        </w:rPr>
        <w:t xml:space="preserve"> </w:t>
      </w:r>
      <w:proofErr w:type="spellStart"/>
      <w:r w:rsidRPr="00314A8D">
        <w:rPr>
          <w:i/>
          <w:sz w:val="24"/>
          <w:lang w:val="en-GB"/>
        </w:rPr>
        <w:t>te</w:t>
      </w:r>
      <w:proofErr w:type="spellEnd"/>
      <w:r w:rsidRPr="00314A8D">
        <w:rPr>
          <w:i/>
          <w:sz w:val="24"/>
          <w:lang w:val="en-GB"/>
        </w:rPr>
        <w:t xml:space="preserve"> </w:t>
      </w:r>
      <w:proofErr w:type="spellStart"/>
      <w:r w:rsidRPr="00314A8D">
        <w:rPr>
          <w:i/>
          <w:sz w:val="24"/>
          <w:lang w:val="en-GB"/>
        </w:rPr>
        <w:t>trajtohej</w:t>
      </w:r>
      <w:proofErr w:type="spellEnd"/>
      <w:r w:rsidRPr="00314A8D">
        <w:rPr>
          <w:i/>
          <w:sz w:val="24"/>
          <w:lang w:val="en-GB"/>
        </w:rPr>
        <w:t xml:space="preserve"> </w:t>
      </w:r>
      <w:proofErr w:type="spellStart"/>
      <w:r w:rsidRPr="00314A8D">
        <w:rPr>
          <w:i/>
          <w:sz w:val="24"/>
          <w:lang w:val="en-GB"/>
        </w:rPr>
        <w:t>edhe</w:t>
      </w:r>
      <w:proofErr w:type="spellEnd"/>
      <w:r w:rsidRPr="00314A8D">
        <w:rPr>
          <w:i/>
          <w:sz w:val="24"/>
          <w:lang w:val="en-GB"/>
        </w:rPr>
        <w:t xml:space="preserve"> </w:t>
      </w:r>
      <w:proofErr w:type="spellStart"/>
      <w:r w:rsidRPr="00314A8D">
        <w:rPr>
          <w:i/>
          <w:sz w:val="24"/>
          <w:lang w:val="en-GB"/>
        </w:rPr>
        <w:t>nga</w:t>
      </w:r>
      <w:proofErr w:type="spellEnd"/>
      <w:r w:rsidRPr="00314A8D">
        <w:rPr>
          <w:i/>
          <w:sz w:val="24"/>
          <w:lang w:val="en-GB"/>
        </w:rPr>
        <w:t xml:space="preserve"> </w:t>
      </w:r>
      <w:proofErr w:type="spellStart"/>
      <w:r w:rsidRPr="00314A8D">
        <w:rPr>
          <w:i/>
          <w:sz w:val="24"/>
          <w:lang w:val="en-GB"/>
        </w:rPr>
        <w:t>Gjykata</w:t>
      </w:r>
      <w:proofErr w:type="spellEnd"/>
      <w:r w:rsidRPr="00314A8D">
        <w:rPr>
          <w:i/>
          <w:sz w:val="24"/>
          <w:lang w:val="en-GB"/>
        </w:rPr>
        <w:t xml:space="preserve"> Supreme e </w:t>
      </w:r>
      <w:proofErr w:type="spellStart"/>
      <w:r w:rsidRPr="00314A8D">
        <w:rPr>
          <w:i/>
          <w:sz w:val="24"/>
          <w:lang w:val="en-GB"/>
        </w:rPr>
        <w:t>Kosovës</w:t>
      </w:r>
      <w:proofErr w:type="spellEnd"/>
      <w:r w:rsidRPr="00314A8D">
        <w:rPr>
          <w:i/>
          <w:sz w:val="24"/>
          <w:lang w:val="en-GB"/>
        </w:rPr>
        <w:t>.”</w:t>
      </w:r>
    </w:p>
    <w:p w:rsidR="00D229BF" w:rsidRPr="00314A8D" w:rsidRDefault="00D229BF" w:rsidP="00A06B9C">
      <w:pPr>
        <w:spacing w:line="240" w:lineRule="auto"/>
        <w:ind w:left="540" w:hanging="540"/>
        <w:rPr>
          <w:sz w:val="24"/>
          <w:lang w:val="en-GB"/>
        </w:rPr>
      </w:pPr>
    </w:p>
    <w:p w:rsidR="00D229BF" w:rsidRPr="00314A8D" w:rsidRDefault="00A25178" w:rsidP="00A06B9C">
      <w:pPr>
        <w:numPr>
          <w:ilvl w:val="0"/>
          <w:numId w:val="63"/>
        </w:numPr>
        <w:spacing w:line="240" w:lineRule="auto"/>
        <w:ind w:left="630" w:hanging="630"/>
        <w:rPr>
          <w:sz w:val="24"/>
          <w:lang w:val="en-GB"/>
        </w:rPr>
      </w:pPr>
      <w:r w:rsidRPr="00A25178">
        <w:rPr>
          <w:sz w:val="24"/>
          <w:lang w:val="en-GB"/>
        </w:rPr>
        <w:t xml:space="preserve">On 26 February 2019, the Court of Appeals, </w:t>
      </w:r>
      <w:r>
        <w:rPr>
          <w:sz w:val="24"/>
          <w:lang w:val="en-GB"/>
        </w:rPr>
        <w:t>by</w:t>
      </w:r>
      <w:r w:rsidRPr="00A25178">
        <w:rPr>
          <w:sz w:val="24"/>
          <w:lang w:val="en-GB"/>
        </w:rPr>
        <w:t xml:space="preserve"> </w:t>
      </w:r>
      <w:r>
        <w:rPr>
          <w:sz w:val="24"/>
          <w:lang w:val="en-GB"/>
        </w:rPr>
        <w:t>J</w:t>
      </w:r>
      <w:r w:rsidRPr="00A25178">
        <w:rPr>
          <w:sz w:val="24"/>
          <w:lang w:val="en-GB"/>
        </w:rPr>
        <w:t>udgment N</w:t>
      </w:r>
      <w:r>
        <w:rPr>
          <w:sz w:val="24"/>
          <w:lang w:val="en-GB"/>
        </w:rPr>
        <w:t>o</w:t>
      </w:r>
      <w:r w:rsidRPr="00A25178">
        <w:rPr>
          <w:sz w:val="24"/>
          <w:lang w:val="en-GB"/>
        </w:rPr>
        <w:t xml:space="preserve">. 146/17, rejected as unfounded the appeal of the </w:t>
      </w:r>
      <w:r>
        <w:rPr>
          <w:sz w:val="24"/>
          <w:lang w:val="en-GB"/>
        </w:rPr>
        <w:t>A</w:t>
      </w:r>
      <w:r w:rsidRPr="00A25178">
        <w:rPr>
          <w:sz w:val="24"/>
          <w:lang w:val="en-GB"/>
        </w:rPr>
        <w:t xml:space="preserve">pplicant and </w:t>
      </w:r>
      <w:r>
        <w:rPr>
          <w:sz w:val="24"/>
          <w:lang w:val="en-GB"/>
        </w:rPr>
        <w:t>confirmed</w:t>
      </w:r>
      <w:r w:rsidRPr="00A25178">
        <w:rPr>
          <w:sz w:val="24"/>
          <w:lang w:val="en-GB"/>
        </w:rPr>
        <w:t xml:space="preserve"> the Judgment of the Basic Court.</w:t>
      </w:r>
      <w:r w:rsidR="00FF271B" w:rsidRPr="00314A8D">
        <w:rPr>
          <w:sz w:val="24"/>
          <w:lang w:val="en-GB"/>
        </w:rPr>
        <w:t xml:space="preserve"> </w:t>
      </w:r>
    </w:p>
    <w:p w:rsidR="00D229BF" w:rsidRPr="00314A8D" w:rsidRDefault="00D229BF" w:rsidP="00A06B9C">
      <w:pPr>
        <w:pStyle w:val="ListParagraph"/>
        <w:spacing w:line="240" w:lineRule="auto"/>
        <w:ind w:left="540" w:hanging="540"/>
        <w:rPr>
          <w:sz w:val="24"/>
          <w:lang w:val="en-GB"/>
        </w:rPr>
      </w:pPr>
    </w:p>
    <w:p w:rsidR="00D229BF" w:rsidRPr="00314A8D" w:rsidRDefault="005C2C90" w:rsidP="00A06B9C">
      <w:pPr>
        <w:numPr>
          <w:ilvl w:val="0"/>
          <w:numId w:val="63"/>
        </w:numPr>
        <w:spacing w:line="240" w:lineRule="auto"/>
        <w:ind w:left="630" w:hanging="630"/>
        <w:rPr>
          <w:sz w:val="24"/>
          <w:lang w:val="en-GB"/>
        </w:rPr>
      </w:pPr>
      <w:r w:rsidRPr="005C2C90">
        <w:rPr>
          <w:sz w:val="24"/>
          <w:lang w:val="en-GB"/>
        </w:rPr>
        <w:t>The Courts of Appeal</w:t>
      </w:r>
      <w:r>
        <w:rPr>
          <w:sz w:val="24"/>
          <w:lang w:val="en-GB"/>
        </w:rPr>
        <w:t>s</w:t>
      </w:r>
      <w:r w:rsidRPr="005C2C90">
        <w:rPr>
          <w:sz w:val="24"/>
          <w:lang w:val="en-GB"/>
        </w:rPr>
        <w:t xml:space="preserve"> initially found that the </w:t>
      </w:r>
      <w:r>
        <w:rPr>
          <w:sz w:val="24"/>
          <w:lang w:val="en-GB"/>
        </w:rPr>
        <w:t>challenged</w:t>
      </w:r>
      <w:r w:rsidRPr="005C2C90">
        <w:rPr>
          <w:sz w:val="24"/>
          <w:lang w:val="en-GB"/>
        </w:rPr>
        <w:t xml:space="preserve"> judgment of the Basic Court did not contain substantial violation</w:t>
      </w:r>
      <w:r>
        <w:rPr>
          <w:sz w:val="24"/>
          <w:lang w:val="en-GB"/>
        </w:rPr>
        <w:t>s</w:t>
      </w:r>
      <w:r w:rsidRPr="005C2C90">
        <w:rPr>
          <w:sz w:val="24"/>
          <w:lang w:val="en-GB"/>
        </w:rPr>
        <w:t xml:space="preserve"> of the</w:t>
      </w:r>
      <w:r>
        <w:rPr>
          <w:sz w:val="24"/>
          <w:lang w:val="en-GB"/>
        </w:rPr>
        <w:t xml:space="preserve"> provisions of the</w:t>
      </w:r>
      <w:r w:rsidRPr="005C2C90">
        <w:rPr>
          <w:sz w:val="24"/>
          <w:lang w:val="en-GB"/>
        </w:rPr>
        <w:t xml:space="preserve"> </w:t>
      </w:r>
      <w:r>
        <w:rPr>
          <w:sz w:val="24"/>
          <w:lang w:val="en-GB"/>
        </w:rPr>
        <w:t>contested</w:t>
      </w:r>
      <w:r w:rsidRPr="005C2C90">
        <w:rPr>
          <w:sz w:val="24"/>
          <w:lang w:val="en-GB"/>
        </w:rPr>
        <w:t xml:space="preserve"> provisions and that the Basic Court </w:t>
      </w:r>
      <w:r>
        <w:rPr>
          <w:sz w:val="24"/>
          <w:lang w:val="en-GB"/>
        </w:rPr>
        <w:t>has correctly</w:t>
      </w:r>
      <w:r w:rsidRPr="005C2C90">
        <w:rPr>
          <w:sz w:val="24"/>
          <w:lang w:val="en-GB"/>
        </w:rPr>
        <w:t xml:space="preserve"> applied the substantive law.</w:t>
      </w:r>
      <w:r w:rsidR="00FF271B" w:rsidRPr="00314A8D">
        <w:rPr>
          <w:sz w:val="24"/>
          <w:lang w:val="en-GB"/>
        </w:rPr>
        <w:t xml:space="preserve"> </w:t>
      </w:r>
    </w:p>
    <w:p w:rsidR="00D229BF" w:rsidRPr="00314A8D" w:rsidRDefault="00D229BF" w:rsidP="00A06B9C">
      <w:pPr>
        <w:pStyle w:val="ListParagraph"/>
        <w:spacing w:line="240" w:lineRule="auto"/>
        <w:ind w:left="540" w:hanging="540"/>
        <w:rPr>
          <w:sz w:val="24"/>
          <w:lang w:val="en-GB"/>
        </w:rPr>
      </w:pPr>
    </w:p>
    <w:p w:rsidR="00D229BF" w:rsidRPr="00314A8D" w:rsidRDefault="005C2C90" w:rsidP="00A06B9C">
      <w:pPr>
        <w:numPr>
          <w:ilvl w:val="0"/>
          <w:numId w:val="63"/>
        </w:numPr>
        <w:spacing w:line="240" w:lineRule="auto"/>
        <w:ind w:left="630" w:hanging="630"/>
        <w:rPr>
          <w:sz w:val="24"/>
          <w:lang w:val="en-GB"/>
        </w:rPr>
      </w:pPr>
      <w:r w:rsidRPr="005C2C90">
        <w:rPr>
          <w:sz w:val="24"/>
          <w:lang w:val="en-GB"/>
        </w:rPr>
        <w:t xml:space="preserve">The Court of Appeals stated that the Basic Court had </w:t>
      </w:r>
      <w:r>
        <w:rPr>
          <w:sz w:val="24"/>
          <w:lang w:val="en-GB"/>
        </w:rPr>
        <w:t>provided</w:t>
      </w:r>
      <w:r w:rsidRPr="005C2C90">
        <w:rPr>
          <w:sz w:val="24"/>
          <w:lang w:val="en-GB"/>
        </w:rPr>
        <w:t xml:space="preserve"> sufficient and convincing reasons, finding that </w:t>
      </w:r>
      <w:r>
        <w:rPr>
          <w:sz w:val="24"/>
          <w:lang w:val="en-GB"/>
        </w:rPr>
        <w:t>an extrajudicial agreement was</w:t>
      </w:r>
      <w:r w:rsidRPr="005C2C90">
        <w:rPr>
          <w:sz w:val="24"/>
          <w:lang w:val="en-GB"/>
        </w:rPr>
        <w:t xml:space="preserve"> concluded between him and the </w:t>
      </w:r>
      <w:r>
        <w:rPr>
          <w:sz w:val="24"/>
          <w:lang w:val="en-GB"/>
        </w:rPr>
        <w:t>KIB</w:t>
      </w:r>
      <w:r w:rsidRPr="005C2C90">
        <w:rPr>
          <w:sz w:val="24"/>
          <w:lang w:val="en-GB"/>
        </w:rPr>
        <w:t xml:space="preserve"> </w:t>
      </w:r>
      <w:r>
        <w:rPr>
          <w:sz w:val="24"/>
          <w:lang w:val="en-GB"/>
        </w:rPr>
        <w:t>for</w:t>
      </w:r>
      <w:r w:rsidRPr="005C2C90">
        <w:rPr>
          <w:sz w:val="24"/>
          <w:lang w:val="en-GB"/>
        </w:rPr>
        <w:t xml:space="preserve"> </w:t>
      </w:r>
      <w:r>
        <w:rPr>
          <w:sz w:val="24"/>
          <w:lang w:val="en-GB"/>
        </w:rPr>
        <w:t xml:space="preserve">the </w:t>
      </w:r>
      <w:r w:rsidRPr="005C2C90">
        <w:rPr>
          <w:sz w:val="24"/>
          <w:lang w:val="en-GB"/>
        </w:rPr>
        <w:t>compensat</w:t>
      </w:r>
      <w:r>
        <w:rPr>
          <w:sz w:val="24"/>
          <w:lang w:val="en-GB"/>
        </w:rPr>
        <w:t>ion of</w:t>
      </w:r>
      <w:r w:rsidRPr="005C2C90">
        <w:rPr>
          <w:sz w:val="24"/>
          <w:lang w:val="en-GB"/>
        </w:rPr>
        <w:t xml:space="preserve"> all forms of damage </w:t>
      </w:r>
      <w:r>
        <w:rPr>
          <w:sz w:val="24"/>
          <w:lang w:val="en-GB"/>
        </w:rPr>
        <w:t>resulting</w:t>
      </w:r>
      <w:r w:rsidRPr="005C2C90">
        <w:rPr>
          <w:sz w:val="24"/>
          <w:lang w:val="en-GB"/>
        </w:rPr>
        <w:t xml:space="preserve"> from the traffic accident. Based on this finding, the Court of Appeals found that the </w:t>
      </w:r>
      <w:r>
        <w:rPr>
          <w:sz w:val="24"/>
          <w:lang w:val="en-GB"/>
        </w:rPr>
        <w:t xml:space="preserve">Applicant’s </w:t>
      </w:r>
      <w:r w:rsidRPr="005C2C90">
        <w:rPr>
          <w:sz w:val="24"/>
          <w:lang w:val="en-GB"/>
        </w:rPr>
        <w:t>insured</w:t>
      </w:r>
      <w:r>
        <w:rPr>
          <w:sz w:val="24"/>
          <w:lang w:val="en-GB"/>
        </w:rPr>
        <w:t xml:space="preserve"> person</w:t>
      </w:r>
      <w:r w:rsidRPr="005C2C90">
        <w:rPr>
          <w:sz w:val="24"/>
          <w:lang w:val="en-GB"/>
        </w:rPr>
        <w:t xml:space="preserve"> had exercised his right to compensation under the legislation of the Republic of Kosovo and consequently had no legal right to claim </w:t>
      </w:r>
      <w:r w:rsidRPr="005C2C90">
        <w:rPr>
          <w:sz w:val="24"/>
          <w:lang w:val="en-GB"/>
        </w:rPr>
        <w:lastRenderedPageBreak/>
        <w:t>compensation</w:t>
      </w:r>
      <w:r>
        <w:rPr>
          <w:sz w:val="24"/>
          <w:lang w:val="en-GB"/>
        </w:rPr>
        <w:t xml:space="preserve"> also</w:t>
      </w:r>
      <w:r w:rsidRPr="005C2C90">
        <w:rPr>
          <w:sz w:val="24"/>
          <w:lang w:val="en-GB"/>
        </w:rPr>
        <w:t xml:space="preserve"> from the </w:t>
      </w:r>
      <w:r>
        <w:rPr>
          <w:sz w:val="24"/>
          <w:lang w:val="en-GB"/>
        </w:rPr>
        <w:t>A</w:t>
      </w:r>
      <w:r w:rsidRPr="005C2C90">
        <w:rPr>
          <w:sz w:val="24"/>
          <w:lang w:val="en-GB"/>
        </w:rPr>
        <w:t xml:space="preserve">pplicant. </w:t>
      </w:r>
      <w:r w:rsidR="007012D2">
        <w:rPr>
          <w:sz w:val="24"/>
          <w:lang w:val="en-GB"/>
        </w:rPr>
        <w:t>Moreover, t</w:t>
      </w:r>
      <w:r w:rsidRPr="005C2C90">
        <w:rPr>
          <w:sz w:val="24"/>
          <w:lang w:val="en-GB"/>
        </w:rPr>
        <w:t>he Court of Appeals, on the</w:t>
      </w:r>
      <w:r w:rsidR="007012D2">
        <w:rPr>
          <w:sz w:val="24"/>
          <w:lang w:val="en-GB"/>
        </w:rPr>
        <w:t xml:space="preserve"> basis of the</w:t>
      </w:r>
      <w:r w:rsidRPr="005C2C90">
        <w:rPr>
          <w:sz w:val="24"/>
          <w:lang w:val="en-GB"/>
        </w:rPr>
        <w:t xml:space="preserve"> case file, found that the</w:t>
      </w:r>
      <w:r w:rsidR="007012D2">
        <w:rPr>
          <w:sz w:val="24"/>
          <w:lang w:val="en-GB"/>
        </w:rPr>
        <w:t xml:space="preserve"> A</w:t>
      </w:r>
      <w:r w:rsidRPr="005C2C90">
        <w:rPr>
          <w:sz w:val="24"/>
          <w:lang w:val="en-GB"/>
        </w:rPr>
        <w:t xml:space="preserve">pplicant had not been notified by </w:t>
      </w:r>
      <w:r w:rsidR="007012D2">
        <w:rPr>
          <w:sz w:val="24"/>
          <w:lang w:val="en-GB"/>
        </w:rPr>
        <w:t xml:space="preserve">its insured person </w:t>
      </w:r>
      <w:r w:rsidRPr="005C2C90">
        <w:rPr>
          <w:sz w:val="24"/>
          <w:lang w:val="en-GB"/>
        </w:rPr>
        <w:t>that</w:t>
      </w:r>
      <w:r w:rsidR="007012D2">
        <w:rPr>
          <w:sz w:val="24"/>
          <w:lang w:val="en-GB"/>
        </w:rPr>
        <w:t xml:space="preserve"> </w:t>
      </w:r>
      <w:r w:rsidRPr="005C2C90">
        <w:rPr>
          <w:sz w:val="24"/>
          <w:lang w:val="en-GB"/>
        </w:rPr>
        <w:t>he had exercised this legal right to compensation in the Republic of Kosovo</w:t>
      </w:r>
      <w:r w:rsidR="007012D2">
        <w:rPr>
          <w:sz w:val="24"/>
          <w:lang w:val="en-GB"/>
        </w:rPr>
        <w:t>, specifically</w:t>
      </w:r>
      <w:r w:rsidRPr="005C2C90">
        <w:rPr>
          <w:sz w:val="24"/>
          <w:lang w:val="en-GB"/>
        </w:rPr>
        <w:t xml:space="preserve"> through judicial proceedings.</w:t>
      </w:r>
    </w:p>
    <w:p w:rsidR="00D229BF" w:rsidRPr="00314A8D" w:rsidRDefault="00D229BF" w:rsidP="00A06B9C">
      <w:pPr>
        <w:pStyle w:val="ListParagraph"/>
        <w:spacing w:line="240" w:lineRule="auto"/>
        <w:ind w:left="540" w:hanging="540"/>
        <w:rPr>
          <w:sz w:val="24"/>
          <w:lang w:val="en-GB"/>
        </w:rPr>
      </w:pPr>
    </w:p>
    <w:p w:rsidR="00D229BF" w:rsidRPr="00314A8D" w:rsidRDefault="00477F3E" w:rsidP="00A06B9C">
      <w:pPr>
        <w:numPr>
          <w:ilvl w:val="0"/>
          <w:numId w:val="63"/>
        </w:numPr>
        <w:spacing w:line="240" w:lineRule="auto"/>
        <w:ind w:left="630" w:hanging="630"/>
        <w:rPr>
          <w:sz w:val="24"/>
          <w:lang w:val="en-GB"/>
        </w:rPr>
      </w:pPr>
      <w:r w:rsidRPr="00477F3E">
        <w:rPr>
          <w:sz w:val="24"/>
          <w:lang w:val="en-GB"/>
        </w:rPr>
        <w:t xml:space="preserve">Finally, the Court of Appeals, </w:t>
      </w:r>
      <w:r>
        <w:rPr>
          <w:sz w:val="24"/>
          <w:lang w:val="en-GB"/>
        </w:rPr>
        <w:t xml:space="preserve">having </w:t>
      </w:r>
      <w:r w:rsidRPr="00477F3E">
        <w:rPr>
          <w:sz w:val="24"/>
          <w:lang w:val="en-GB"/>
        </w:rPr>
        <w:t>referr</w:t>
      </w:r>
      <w:r>
        <w:rPr>
          <w:sz w:val="24"/>
          <w:lang w:val="en-GB"/>
        </w:rPr>
        <w:t>ed</w:t>
      </w:r>
      <w:r w:rsidRPr="00477F3E">
        <w:rPr>
          <w:sz w:val="24"/>
          <w:lang w:val="en-GB"/>
        </w:rPr>
        <w:t xml:space="preserve"> to Article 391, </w:t>
      </w:r>
      <w:r>
        <w:rPr>
          <w:sz w:val="24"/>
          <w:lang w:val="en-GB"/>
        </w:rPr>
        <w:t>item</w:t>
      </w:r>
      <w:r w:rsidRPr="00477F3E">
        <w:rPr>
          <w:sz w:val="24"/>
          <w:lang w:val="en-GB"/>
        </w:rPr>
        <w:t xml:space="preserve"> e) of the Law on Contested Procedure (hereinafter: the LCP), found that </w:t>
      </w:r>
      <w:r>
        <w:rPr>
          <w:sz w:val="24"/>
          <w:lang w:val="en-GB"/>
        </w:rPr>
        <w:t>court settlement</w:t>
      </w:r>
      <w:r w:rsidRPr="00477F3E">
        <w:rPr>
          <w:sz w:val="24"/>
          <w:lang w:val="en-GB"/>
        </w:rPr>
        <w:t xml:space="preserve"> has the characteristics of a final judgment and as such produces the same</w:t>
      </w:r>
      <w:r>
        <w:rPr>
          <w:sz w:val="24"/>
          <w:lang w:val="en-GB"/>
        </w:rPr>
        <w:t xml:space="preserve"> legal</w:t>
      </w:r>
      <w:r w:rsidRPr="00477F3E">
        <w:rPr>
          <w:sz w:val="24"/>
          <w:lang w:val="en-GB"/>
        </w:rPr>
        <w:t xml:space="preserve"> effects a judgment, and consequently in </w:t>
      </w:r>
      <w:r>
        <w:rPr>
          <w:sz w:val="24"/>
          <w:lang w:val="en-GB"/>
        </w:rPr>
        <w:t>relation</w:t>
      </w:r>
      <w:r w:rsidRPr="00477F3E">
        <w:rPr>
          <w:sz w:val="24"/>
          <w:lang w:val="en-GB"/>
        </w:rPr>
        <w:t xml:space="preserve"> to the legal issue, for which the parties have reached a court agreement, no dispute can be </w:t>
      </w:r>
      <w:r>
        <w:rPr>
          <w:sz w:val="24"/>
          <w:lang w:val="en-GB"/>
        </w:rPr>
        <w:t>conducted</w:t>
      </w:r>
      <w:r w:rsidRPr="00477F3E">
        <w:rPr>
          <w:sz w:val="24"/>
          <w:lang w:val="en-GB"/>
        </w:rPr>
        <w:t xml:space="preserve">. </w:t>
      </w:r>
      <w:r w:rsidR="009E0B1C">
        <w:rPr>
          <w:sz w:val="24"/>
          <w:lang w:val="en-GB"/>
        </w:rPr>
        <w:t>Further,</w:t>
      </w:r>
      <w:r>
        <w:rPr>
          <w:sz w:val="24"/>
          <w:lang w:val="en-GB"/>
        </w:rPr>
        <w:t xml:space="preserve"> the Court of </w:t>
      </w:r>
      <w:proofErr w:type="spellStart"/>
      <w:r>
        <w:rPr>
          <w:sz w:val="24"/>
          <w:lang w:val="en-GB"/>
        </w:rPr>
        <w:t>Apppeals</w:t>
      </w:r>
      <w:proofErr w:type="spellEnd"/>
      <w:r w:rsidRPr="00477F3E">
        <w:rPr>
          <w:sz w:val="24"/>
          <w:lang w:val="en-GB"/>
        </w:rPr>
        <w:t xml:space="preserve">, referring to Article 418 of the LCP, which stipulates that </w:t>
      </w:r>
      <w:r w:rsidRPr="00B87A77">
        <w:rPr>
          <w:i/>
          <w:sz w:val="24"/>
          <w:lang w:val="en-GB"/>
        </w:rPr>
        <w:t>“</w:t>
      </w:r>
      <w:r w:rsidR="009E0B1C" w:rsidRPr="00B87A77">
        <w:rPr>
          <w:i/>
          <w:sz w:val="24"/>
          <w:lang w:val="en-GB"/>
        </w:rPr>
        <w:t>Court settlement can be reached only if charges are raised</w:t>
      </w:r>
      <w:r w:rsidRPr="00B87A77">
        <w:rPr>
          <w:i/>
          <w:sz w:val="24"/>
          <w:lang w:val="en-GB"/>
        </w:rPr>
        <w:t>”</w:t>
      </w:r>
      <w:r w:rsidRPr="00477F3E">
        <w:rPr>
          <w:sz w:val="24"/>
          <w:lang w:val="en-GB"/>
        </w:rPr>
        <w:t xml:space="preserve"> and </w:t>
      </w:r>
      <w:r w:rsidR="00B87A77">
        <w:rPr>
          <w:sz w:val="24"/>
          <w:lang w:val="en-GB"/>
        </w:rPr>
        <w:t xml:space="preserve">that </w:t>
      </w:r>
      <w:r w:rsidRPr="00477F3E">
        <w:rPr>
          <w:sz w:val="24"/>
          <w:lang w:val="en-GB"/>
        </w:rPr>
        <w:t xml:space="preserve">“[...] </w:t>
      </w:r>
      <w:r w:rsidRPr="00B87A77">
        <w:rPr>
          <w:i/>
          <w:sz w:val="24"/>
          <w:lang w:val="en-GB"/>
        </w:rPr>
        <w:t xml:space="preserve">that </w:t>
      </w:r>
      <w:r w:rsidR="00B87A77" w:rsidRPr="00B87A77">
        <w:rPr>
          <w:i/>
          <w:sz w:val="24"/>
          <w:lang w:val="en-GB"/>
        </w:rPr>
        <w:t>court settlement</w:t>
      </w:r>
      <w:r w:rsidRPr="00B87A77">
        <w:rPr>
          <w:i/>
          <w:sz w:val="24"/>
          <w:lang w:val="en-GB"/>
        </w:rPr>
        <w:t xml:space="preserve"> is annulled if </w:t>
      </w:r>
      <w:r w:rsidR="00B87A77" w:rsidRPr="00B87A77">
        <w:rPr>
          <w:i/>
          <w:sz w:val="24"/>
          <w:lang w:val="en-GB"/>
        </w:rPr>
        <w:t>reached by flattering</w:t>
      </w:r>
      <w:r w:rsidRPr="00B87A77">
        <w:rPr>
          <w:i/>
          <w:sz w:val="24"/>
          <w:lang w:val="en-GB"/>
        </w:rPr>
        <w:t xml:space="preserve">, </w:t>
      </w:r>
      <w:r w:rsidR="00B87A77" w:rsidRPr="00B87A77">
        <w:rPr>
          <w:i/>
          <w:sz w:val="24"/>
          <w:lang w:val="en-GB"/>
        </w:rPr>
        <w:t>deceit or</w:t>
      </w:r>
      <w:r w:rsidRPr="00B87A77">
        <w:rPr>
          <w:i/>
          <w:sz w:val="24"/>
          <w:lang w:val="en-GB"/>
        </w:rPr>
        <w:t xml:space="preserve"> </w:t>
      </w:r>
      <w:r w:rsidR="00B87A77" w:rsidRPr="00B87A77">
        <w:rPr>
          <w:i/>
          <w:sz w:val="24"/>
          <w:lang w:val="en-GB"/>
        </w:rPr>
        <w:t>force</w:t>
      </w:r>
      <w:r w:rsidRPr="00B87A77">
        <w:rPr>
          <w:i/>
          <w:sz w:val="24"/>
          <w:lang w:val="en-GB"/>
        </w:rPr>
        <w:t>”</w:t>
      </w:r>
      <w:r w:rsidRPr="00477F3E">
        <w:rPr>
          <w:sz w:val="24"/>
          <w:lang w:val="en-GB"/>
        </w:rPr>
        <w:t>, found that in th</w:t>
      </w:r>
      <w:r w:rsidR="00B87A77">
        <w:rPr>
          <w:sz w:val="24"/>
          <w:lang w:val="en-GB"/>
        </w:rPr>
        <w:t>e present</w:t>
      </w:r>
      <w:r w:rsidRPr="00477F3E">
        <w:rPr>
          <w:sz w:val="24"/>
          <w:lang w:val="en-GB"/>
        </w:rPr>
        <w:t xml:space="preserve"> case the</w:t>
      </w:r>
      <w:r w:rsidR="00B87A77">
        <w:rPr>
          <w:sz w:val="24"/>
          <w:lang w:val="en-GB"/>
        </w:rPr>
        <w:t>re have not been met the</w:t>
      </w:r>
      <w:r w:rsidRPr="00477F3E">
        <w:rPr>
          <w:sz w:val="24"/>
          <w:lang w:val="en-GB"/>
        </w:rPr>
        <w:t xml:space="preserve"> legal conditions for compensation </w:t>
      </w:r>
      <w:r w:rsidR="00B87A77">
        <w:rPr>
          <w:sz w:val="24"/>
          <w:lang w:val="en-GB"/>
        </w:rPr>
        <w:t>pursuant</w:t>
      </w:r>
      <w:r w:rsidRPr="00477F3E">
        <w:rPr>
          <w:sz w:val="24"/>
          <w:lang w:val="en-GB"/>
        </w:rPr>
        <w:t xml:space="preserve"> to Article 941 of the LCT, as the</w:t>
      </w:r>
      <w:r w:rsidR="00B87A77">
        <w:rPr>
          <w:sz w:val="24"/>
          <w:lang w:val="en-GB"/>
        </w:rPr>
        <w:t xml:space="preserve"> Applicant’s insured person</w:t>
      </w:r>
      <w:r w:rsidRPr="00477F3E">
        <w:rPr>
          <w:sz w:val="24"/>
          <w:lang w:val="en-GB"/>
        </w:rPr>
        <w:t xml:space="preserve"> has exercised his legal right before the courts of the Republic of Kosovo. The Court of Appeals concluded that if the Basic Court</w:t>
      </w:r>
      <w:r w:rsidR="00B87A77">
        <w:rPr>
          <w:sz w:val="24"/>
          <w:lang w:val="en-GB"/>
        </w:rPr>
        <w:t xml:space="preserve"> would</w:t>
      </w:r>
      <w:r w:rsidRPr="00477F3E">
        <w:rPr>
          <w:sz w:val="24"/>
          <w:lang w:val="en-GB"/>
        </w:rPr>
        <w:t xml:space="preserve"> upheld the </w:t>
      </w:r>
      <w:r w:rsidR="00B87A77">
        <w:rPr>
          <w:sz w:val="24"/>
          <w:lang w:val="en-GB"/>
        </w:rPr>
        <w:t>A</w:t>
      </w:r>
      <w:r w:rsidRPr="00477F3E">
        <w:rPr>
          <w:sz w:val="24"/>
          <w:lang w:val="en-GB"/>
        </w:rPr>
        <w:t>pplicant</w:t>
      </w:r>
      <w:r w:rsidR="00B87A77">
        <w:rPr>
          <w:sz w:val="24"/>
          <w:lang w:val="en-GB"/>
        </w:rPr>
        <w:t>'s claim, it would infringe the “</w:t>
      </w:r>
      <w:r w:rsidRPr="00477F3E">
        <w:rPr>
          <w:sz w:val="24"/>
          <w:lang w:val="en-GB"/>
        </w:rPr>
        <w:t>legal certainty</w:t>
      </w:r>
      <w:r w:rsidR="00B87A77">
        <w:rPr>
          <w:sz w:val="24"/>
          <w:lang w:val="en-GB"/>
        </w:rPr>
        <w:t>”</w:t>
      </w:r>
      <w:r w:rsidRPr="00477F3E">
        <w:rPr>
          <w:sz w:val="24"/>
          <w:lang w:val="en-GB"/>
        </w:rPr>
        <w:t xml:space="preserve"> of</w:t>
      </w:r>
      <w:r w:rsidR="00B87A77">
        <w:rPr>
          <w:sz w:val="24"/>
          <w:lang w:val="en-GB"/>
        </w:rPr>
        <w:t xml:space="preserve"> (in)</w:t>
      </w:r>
      <w:r w:rsidRPr="00477F3E">
        <w:rPr>
          <w:sz w:val="24"/>
          <w:lang w:val="en-GB"/>
        </w:rPr>
        <w:t xml:space="preserve"> the Republic of Kosovo by stripping the country's judicial decisions of legal effect.</w:t>
      </w:r>
      <w:r w:rsidR="00FF271B" w:rsidRPr="00314A8D">
        <w:rPr>
          <w:i/>
          <w:sz w:val="24"/>
          <w:lang w:val="en-GB"/>
        </w:rPr>
        <w:t>”</w:t>
      </w:r>
    </w:p>
    <w:p w:rsidR="00D229BF" w:rsidRPr="00314A8D" w:rsidRDefault="00D229BF" w:rsidP="00A06B9C">
      <w:pPr>
        <w:spacing w:line="240" w:lineRule="auto"/>
        <w:ind w:left="630"/>
        <w:rPr>
          <w:sz w:val="24"/>
          <w:lang w:val="en-GB"/>
        </w:rPr>
      </w:pPr>
    </w:p>
    <w:p w:rsidR="00D229BF" w:rsidRPr="00314A8D" w:rsidRDefault="00B87A77" w:rsidP="00A06B9C">
      <w:pPr>
        <w:spacing w:line="240" w:lineRule="auto"/>
        <w:rPr>
          <w:sz w:val="24"/>
          <w:lang w:val="en-GB"/>
        </w:rPr>
      </w:pPr>
      <w:r>
        <w:rPr>
          <w:b/>
          <w:sz w:val="24"/>
          <w:lang w:val="en-GB"/>
        </w:rPr>
        <w:t>Applicant’s allegations</w:t>
      </w:r>
    </w:p>
    <w:p w:rsidR="00D229BF" w:rsidRPr="00314A8D" w:rsidRDefault="00D229BF" w:rsidP="00A06B9C">
      <w:pPr>
        <w:pStyle w:val="ListParagraph"/>
        <w:spacing w:line="240" w:lineRule="auto"/>
        <w:rPr>
          <w:sz w:val="24"/>
          <w:lang w:val="en-GB"/>
        </w:rPr>
      </w:pPr>
    </w:p>
    <w:p w:rsidR="00D229BF" w:rsidRPr="00314A8D" w:rsidRDefault="00595DF2" w:rsidP="00A06B9C">
      <w:pPr>
        <w:numPr>
          <w:ilvl w:val="0"/>
          <w:numId w:val="63"/>
        </w:numPr>
        <w:spacing w:line="240" w:lineRule="auto"/>
        <w:ind w:left="630" w:hanging="630"/>
        <w:rPr>
          <w:rFonts w:cs="TimesNewRomanPSMT"/>
          <w:sz w:val="24"/>
          <w:lang w:val="en-GB"/>
        </w:rPr>
      </w:pPr>
      <w:r w:rsidRPr="00595DF2">
        <w:rPr>
          <w:sz w:val="24"/>
          <w:lang w:val="en-GB"/>
        </w:rPr>
        <w:t>The Applicant alleges that the c</w:t>
      </w:r>
      <w:r>
        <w:rPr>
          <w:sz w:val="24"/>
          <w:lang w:val="en-GB"/>
        </w:rPr>
        <w:t>hallenged</w:t>
      </w:r>
      <w:r w:rsidRPr="00595DF2">
        <w:rPr>
          <w:sz w:val="24"/>
          <w:lang w:val="en-GB"/>
        </w:rPr>
        <w:t xml:space="preserve"> Judgment of the</w:t>
      </w:r>
      <w:r>
        <w:rPr>
          <w:sz w:val="24"/>
          <w:lang w:val="en-GB"/>
        </w:rPr>
        <w:t xml:space="preserve"> Court of Appeals has been rendered</w:t>
      </w:r>
      <w:r w:rsidRPr="00595DF2">
        <w:rPr>
          <w:sz w:val="24"/>
          <w:lang w:val="en-GB"/>
        </w:rPr>
        <w:t xml:space="preserve"> in violation of Article 31 [Right to Fair and Impartial Trial] of the Constitution, in conjunction with Article 6 (Right to a </w:t>
      </w:r>
      <w:r>
        <w:rPr>
          <w:sz w:val="24"/>
          <w:lang w:val="en-GB"/>
        </w:rPr>
        <w:t xml:space="preserve">fair </w:t>
      </w:r>
      <w:proofErr w:type="spellStart"/>
      <w:r>
        <w:rPr>
          <w:sz w:val="24"/>
          <w:lang w:val="en-GB"/>
        </w:rPr>
        <w:t>teial</w:t>
      </w:r>
      <w:proofErr w:type="spellEnd"/>
      <w:r>
        <w:rPr>
          <w:sz w:val="24"/>
          <w:lang w:val="en-GB"/>
        </w:rPr>
        <w:t>) of the</w:t>
      </w:r>
      <w:r w:rsidRPr="00595DF2">
        <w:rPr>
          <w:sz w:val="24"/>
          <w:lang w:val="en-GB"/>
        </w:rPr>
        <w:t xml:space="preserve"> ECHR. The </w:t>
      </w:r>
      <w:r>
        <w:rPr>
          <w:sz w:val="24"/>
          <w:lang w:val="en-GB"/>
        </w:rPr>
        <w:t>A</w:t>
      </w:r>
      <w:r w:rsidRPr="00595DF2">
        <w:rPr>
          <w:sz w:val="24"/>
          <w:lang w:val="en-GB"/>
        </w:rPr>
        <w:t>pplicant specifically claims a violation of: (</w:t>
      </w:r>
      <w:proofErr w:type="spellStart"/>
      <w:r w:rsidRPr="00595DF2">
        <w:rPr>
          <w:sz w:val="24"/>
          <w:lang w:val="en-GB"/>
        </w:rPr>
        <w:t>i</w:t>
      </w:r>
      <w:proofErr w:type="spellEnd"/>
      <w:r w:rsidRPr="00595DF2">
        <w:rPr>
          <w:sz w:val="24"/>
          <w:lang w:val="en-GB"/>
        </w:rPr>
        <w:t xml:space="preserve">) his right to a reasoned </w:t>
      </w:r>
      <w:r>
        <w:rPr>
          <w:sz w:val="24"/>
          <w:lang w:val="en-GB"/>
        </w:rPr>
        <w:t xml:space="preserve">court </w:t>
      </w:r>
      <w:r w:rsidRPr="00595DF2">
        <w:rPr>
          <w:sz w:val="24"/>
          <w:lang w:val="en-GB"/>
        </w:rPr>
        <w:t>decision; and (ii) the principle of legal certainty as a result of divergence in the relevant case law of the Court of Appeals and the Supreme Court</w:t>
      </w:r>
      <w:r w:rsidR="00FF271B" w:rsidRPr="00314A8D">
        <w:rPr>
          <w:rFonts w:eastAsiaTheme="minorHAnsi" w:cstheme="minorBidi"/>
          <w:bCs/>
          <w:sz w:val="24"/>
          <w:lang w:val="en-GB"/>
        </w:rPr>
        <w:t xml:space="preserve">. </w:t>
      </w:r>
    </w:p>
    <w:p w:rsidR="00D229BF" w:rsidRPr="00314A8D" w:rsidRDefault="00D229BF" w:rsidP="00A06B9C">
      <w:pPr>
        <w:spacing w:line="240" w:lineRule="auto"/>
        <w:rPr>
          <w:i/>
          <w:sz w:val="24"/>
          <w:lang w:val="en-GB"/>
        </w:rPr>
      </w:pPr>
    </w:p>
    <w:p w:rsidR="00D229BF" w:rsidRPr="00314A8D" w:rsidRDefault="00356147" w:rsidP="00A06B9C">
      <w:pPr>
        <w:spacing w:line="240" w:lineRule="auto"/>
        <w:rPr>
          <w:i/>
          <w:sz w:val="24"/>
          <w:lang w:val="en-GB"/>
        </w:rPr>
      </w:pPr>
      <w:r>
        <w:rPr>
          <w:i/>
          <w:sz w:val="24"/>
          <w:lang w:val="en-GB"/>
        </w:rPr>
        <w:t>In relation to</w:t>
      </w:r>
      <w:r w:rsidR="00595DF2">
        <w:rPr>
          <w:i/>
          <w:sz w:val="24"/>
          <w:lang w:val="en-GB"/>
        </w:rPr>
        <w:t xml:space="preserve"> the non-reasoning of the court decision</w:t>
      </w:r>
    </w:p>
    <w:p w:rsidR="00D229BF" w:rsidRPr="00314A8D" w:rsidRDefault="00D229BF" w:rsidP="00A06B9C">
      <w:pPr>
        <w:autoSpaceDE w:val="0"/>
        <w:autoSpaceDN w:val="0"/>
        <w:adjustRightInd w:val="0"/>
        <w:spacing w:line="240" w:lineRule="auto"/>
        <w:rPr>
          <w:rFonts w:cs="TimesNewRomanPSMT"/>
          <w:sz w:val="24"/>
          <w:lang w:val="en-GB"/>
        </w:rPr>
      </w:pPr>
    </w:p>
    <w:p w:rsidR="00D229BF" w:rsidRPr="00314A8D" w:rsidRDefault="00356147" w:rsidP="00A06B9C">
      <w:pPr>
        <w:numPr>
          <w:ilvl w:val="0"/>
          <w:numId w:val="63"/>
        </w:numPr>
        <w:spacing w:line="240" w:lineRule="auto"/>
        <w:ind w:left="630" w:hanging="630"/>
        <w:rPr>
          <w:sz w:val="24"/>
          <w:lang w:val="en-GB"/>
        </w:rPr>
      </w:pPr>
      <w:r w:rsidRPr="00356147">
        <w:rPr>
          <w:sz w:val="24"/>
          <w:lang w:val="en-GB"/>
        </w:rPr>
        <w:t xml:space="preserve">With regard to his claim for violation of his right to a reasoned judicial decision, the </w:t>
      </w:r>
      <w:r>
        <w:rPr>
          <w:sz w:val="24"/>
          <w:lang w:val="en-GB"/>
        </w:rPr>
        <w:t>A</w:t>
      </w:r>
      <w:r w:rsidRPr="00356147">
        <w:rPr>
          <w:sz w:val="24"/>
          <w:lang w:val="en-GB"/>
        </w:rPr>
        <w:t>pplicant states that the c</w:t>
      </w:r>
      <w:r>
        <w:rPr>
          <w:sz w:val="24"/>
          <w:lang w:val="en-GB"/>
        </w:rPr>
        <w:t>hallenged Judgment [Ae.No.146</w:t>
      </w:r>
      <w:r w:rsidRPr="00356147">
        <w:rPr>
          <w:sz w:val="24"/>
          <w:lang w:val="en-GB"/>
        </w:rPr>
        <w:t xml:space="preserve">/2017] of the Court of Appeals of Kosovo is characterized by a lack of adequate reasoning </w:t>
      </w:r>
      <w:r>
        <w:rPr>
          <w:sz w:val="24"/>
          <w:lang w:val="en-GB"/>
        </w:rPr>
        <w:t>because</w:t>
      </w:r>
      <w:r w:rsidRPr="00356147">
        <w:rPr>
          <w:sz w:val="24"/>
          <w:lang w:val="en-GB"/>
        </w:rPr>
        <w:t xml:space="preserve"> the Court of Appeals did not</w:t>
      </w:r>
      <w:r>
        <w:rPr>
          <w:sz w:val="24"/>
          <w:lang w:val="en-GB"/>
        </w:rPr>
        <w:t xml:space="preserve"> provide</w:t>
      </w:r>
      <w:r w:rsidRPr="00356147">
        <w:rPr>
          <w:sz w:val="24"/>
          <w:lang w:val="en-GB"/>
        </w:rPr>
        <w:t xml:space="preserve"> any reasoning regarding the denial of the</w:t>
      </w:r>
      <w:r>
        <w:rPr>
          <w:sz w:val="24"/>
          <w:lang w:val="en-GB"/>
        </w:rPr>
        <w:t xml:space="preserve"> Applicant’s</w:t>
      </w:r>
      <w:r w:rsidRPr="00356147">
        <w:rPr>
          <w:sz w:val="24"/>
          <w:lang w:val="en-GB"/>
        </w:rPr>
        <w:t xml:space="preserve"> right </w:t>
      </w:r>
      <w:r>
        <w:rPr>
          <w:sz w:val="24"/>
          <w:lang w:val="en-GB"/>
        </w:rPr>
        <w:t>to</w:t>
      </w:r>
      <w:r w:rsidRPr="00356147">
        <w:rPr>
          <w:sz w:val="24"/>
          <w:lang w:val="en-GB"/>
        </w:rPr>
        <w:t xml:space="preserve"> subrogation</w:t>
      </w:r>
      <w:r w:rsidR="00FF271B" w:rsidRPr="00314A8D">
        <w:rPr>
          <w:sz w:val="24"/>
          <w:lang w:val="en-GB"/>
        </w:rPr>
        <w:t>.</w:t>
      </w:r>
    </w:p>
    <w:p w:rsidR="00D229BF" w:rsidRPr="00314A8D" w:rsidRDefault="00D229BF" w:rsidP="00A06B9C">
      <w:pPr>
        <w:pStyle w:val="ListParagraph"/>
        <w:spacing w:line="240" w:lineRule="auto"/>
        <w:rPr>
          <w:sz w:val="24"/>
          <w:lang w:val="en-GB"/>
        </w:rPr>
      </w:pPr>
    </w:p>
    <w:p w:rsidR="00D229BF" w:rsidRPr="00314A8D" w:rsidRDefault="001B3EE0" w:rsidP="00A06B9C">
      <w:pPr>
        <w:numPr>
          <w:ilvl w:val="0"/>
          <w:numId w:val="63"/>
        </w:numPr>
        <w:spacing w:line="240" w:lineRule="auto"/>
        <w:ind w:left="630" w:hanging="630"/>
        <w:rPr>
          <w:sz w:val="24"/>
          <w:lang w:val="en-GB"/>
        </w:rPr>
      </w:pPr>
      <w:r w:rsidRPr="001B3EE0">
        <w:rPr>
          <w:sz w:val="24"/>
          <w:lang w:val="en-GB"/>
        </w:rPr>
        <w:t xml:space="preserve">According to the Applicant, the lack of adequate </w:t>
      </w:r>
      <w:r>
        <w:rPr>
          <w:sz w:val="24"/>
          <w:lang w:val="en-GB"/>
        </w:rPr>
        <w:t>reasoning</w:t>
      </w:r>
      <w:r w:rsidRPr="001B3EE0">
        <w:rPr>
          <w:sz w:val="24"/>
          <w:lang w:val="en-GB"/>
        </w:rPr>
        <w:t xml:space="preserve"> by the Court of Appeals constitutes a serious violation of Article 31 of the Constitution. In this regard, the Applicant refers to the case law of the Constitutional Court, respectively the case KI55/09 [Applicant, </w:t>
      </w:r>
      <w:r w:rsidRPr="001B3EE0">
        <w:rPr>
          <w:i/>
          <w:sz w:val="24"/>
          <w:lang w:val="en-GB"/>
        </w:rPr>
        <w:t>N.T.SH. Meteor</w:t>
      </w:r>
      <w:r w:rsidRPr="001B3EE0">
        <w:rPr>
          <w:sz w:val="24"/>
          <w:lang w:val="en-GB"/>
        </w:rPr>
        <w:t>, Judgment of 6 April 2011</w:t>
      </w:r>
      <w:r w:rsidR="00FF271B" w:rsidRPr="00314A8D">
        <w:rPr>
          <w:sz w:val="24"/>
          <w:lang w:val="en-GB"/>
        </w:rPr>
        <w:t>].</w:t>
      </w:r>
    </w:p>
    <w:p w:rsidR="00D229BF" w:rsidRPr="00314A8D" w:rsidRDefault="00D229BF" w:rsidP="00A06B9C">
      <w:pPr>
        <w:pStyle w:val="ListParagraph"/>
        <w:spacing w:line="240" w:lineRule="auto"/>
        <w:rPr>
          <w:sz w:val="24"/>
          <w:lang w:val="en-GB"/>
        </w:rPr>
      </w:pPr>
    </w:p>
    <w:p w:rsidR="00D229BF" w:rsidRPr="00D511BC" w:rsidRDefault="00D511BC" w:rsidP="00A06B9C">
      <w:pPr>
        <w:numPr>
          <w:ilvl w:val="0"/>
          <w:numId w:val="63"/>
        </w:numPr>
        <w:spacing w:line="240" w:lineRule="auto"/>
        <w:ind w:left="630" w:hanging="630"/>
        <w:rPr>
          <w:i/>
          <w:sz w:val="24"/>
          <w:lang w:val="en-GB"/>
        </w:rPr>
      </w:pPr>
      <w:r>
        <w:rPr>
          <w:sz w:val="24"/>
          <w:lang w:val="en-GB"/>
        </w:rPr>
        <w:t>T</w:t>
      </w:r>
      <w:r w:rsidRPr="00D511BC">
        <w:rPr>
          <w:sz w:val="24"/>
          <w:lang w:val="en-GB"/>
        </w:rPr>
        <w:t xml:space="preserve">he Applicant states that the Court of Appeals has not </w:t>
      </w:r>
      <w:proofErr w:type="spellStart"/>
      <w:r w:rsidRPr="00D511BC">
        <w:rPr>
          <w:sz w:val="24"/>
          <w:lang w:val="en-GB"/>
        </w:rPr>
        <w:t>analyzed</w:t>
      </w:r>
      <w:proofErr w:type="spellEnd"/>
      <w:r w:rsidRPr="00D511BC">
        <w:rPr>
          <w:sz w:val="24"/>
          <w:lang w:val="en-GB"/>
        </w:rPr>
        <w:t xml:space="preserve"> his </w:t>
      </w:r>
      <w:r>
        <w:rPr>
          <w:sz w:val="24"/>
          <w:lang w:val="en-GB"/>
        </w:rPr>
        <w:t>allegations</w:t>
      </w:r>
      <w:r w:rsidR="002D4B79">
        <w:rPr>
          <w:sz w:val="24"/>
          <w:lang w:val="en-GB"/>
        </w:rPr>
        <w:t xml:space="preserve"> on</w:t>
      </w:r>
      <w:r w:rsidRPr="00D511BC">
        <w:rPr>
          <w:sz w:val="24"/>
          <w:lang w:val="en-GB"/>
        </w:rPr>
        <w:t xml:space="preserve"> all </w:t>
      </w:r>
      <w:r w:rsidR="002D4B79">
        <w:rPr>
          <w:sz w:val="24"/>
          <w:lang w:val="en-GB"/>
        </w:rPr>
        <w:t>issues</w:t>
      </w:r>
      <w:r w:rsidRPr="00D511BC">
        <w:rPr>
          <w:sz w:val="24"/>
          <w:lang w:val="en-GB"/>
        </w:rPr>
        <w:t xml:space="preserve"> raised in his appeal, in particular </w:t>
      </w:r>
      <w:r w:rsidR="002D4B79">
        <w:rPr>
          <w:sz w:val="24"/>
          <w:lang w:val="en-GB"/>
        </w:rPr>
        <w:t>the issue</w:t>
      </w:r>
      <w:r w:rsidRPr="00D511BC">
        <w:rPr>
          <w:sz w:val="24"/>
          <w:lang w:val="en-GB"/>
        </w:rPr>
        <w:t xml:space="preserve"> relating to the refusal to recognize the right to subrogation. In this context, the Applicant specifies that: </w:t>
      </w:r>
      <w:r w:rsidRPr="00D511BC">
        <w:rPr>
          <w:i/>
          <w:sz w:val="24"/>
          <w:lang w:val="en-GB"/>
        </w:rPr>
        <w:t xml:space="preserve">“Instead of properly and analytically </w:t>
      </w:r>
      <w:proofErr w:type="spellStart"/>
      <w:r w:rsidRPr="00D511BC">
        <w:rPr>
          <w:i/>
          <w:sz w:val="24"/>
          <w:lang w:val="en-GB"/>
        </w:rPr>
        <w:t>analyzing</w:t>
      </w:r>
      <w:proofErr w:type="spellEnd"/>
      <w:r w:rsidRPr="00D511BC">
        <w:rPr>
          <w:i/>
          <w:sz w:val="24"/>
          <w:lang w:val="en-GB"/>
        </w:rPr>
        <w:t xml:space="preserve"> the circumstances of the case, the applicable law in Kosovo in the concrete case, and the relevant case law of the Court of Appeals itself and at the same time the case law of the Supreme Court in similar cases, the Court of Appeals arbitrarily denies the right to compensation</w:t>
      </w:r>
      <w:r w:rsidR="00FF271B" w:rsidRPr="00D511BC">
        <w:rPr>
          <w:i/>
          <w:sz w:val="24"/>
          <w:lang w:val="en-GB"/>
        </w:rPr>
        <w:t xml:space="preserve">.” </w:t>
      </w:r>
    </w:p>
    <w:p w:rsidR="00D229BF" w:rsidRPr="00314A8D" w:rsidRDefault="00D229BF" w:rsidP="00A06B9C">
      <w:pPr>
        <w:pStyle w:val="ListParagraph"/>
        <w:autoSpaceDE w:val="0"/>
        <w:autoSpaceDN w:val="0"/>
        <w:adjustRightInd w:val="0"/>
        <w:spacing w:line="240" w:lineRule="auto"/>
        <w:ind w:left="540"/>
        <w:rPr>
          <w:sz w:val="24"/>
          <w:lang w:val="en-GB"/>
        </w:rPr>
      </w:pPr>
    </w:p>
    <w:p w:rsidR="00D229BF" w:rsidRPr="004C15BF" w:rsidRDefault="004C15BF" w:rsidP="00A06B9C">
      <w:pPr>
        <w:numPr>
          <w:ilvl w:val="0"/>
          <w:numId w:val="63"/>
        </w:numPr>
        <w:spacing w:line="240" w:lineRule="auto"/>
        <w:ind w:left="630" w:hanging="630"/>
        <w:rPr>
          <w:i/>
          <w:sz w:val="24"/>
          <w:lang w:val="en-GB"/>
        </w:rPr>
      </w:pPr>
      <w:r>
        <w:rPr>
          <w:sz w:val="24"/>
          <w:lang w:val="en-GB"/>
        </w:rPr>
        <w:lastRenderedPageBreak/>
        <w:t>T</w:t>
      </w:r>
      <w:r w:rsidRPr="004C15BF">
        <w:rPr>
          <w:sz w:val="24"/>
          <w:lang w:val="en-GB"/>
        </w:rPr>
        <w:t xml:space="preserve">he Applicant considers that in the </w:t>
      </w:r>
      <w:r>
        <w:rPr>
          <w:sz w:val="24"/>
          <w:lang w:val="en-GB"/>
        </w:rPr>
        <w:t>challenged</w:t>
      </w:r>
      <w:r w:rsidRPr="004C15BF">
        <w:rPr>
          <w:sz w:val="24"/>
          <w:lang w:val="en-GB"/>
        </w:rPr>
        <w:t xml:space="preserve"> Judgment of the Court of Appeals </w:t>
      </w:r>
      <w:r>
        <w:rPr>
          <w:sz w:val="24"/>
          <w:lang w:val="en-GB"/>
        </w:rPr>
        <w:t xml:space="preserve">was taken into account </w:t>
      </w:r>
      <w:r w:rsidRPr="004C15BF">
        <w:rPr>
          <w:sz w:val="24"/>
          <w:lang w:val="en-GB"/>
        </w:rPr>
        <w:t xml:space="preserve">only the </w:t>
      </w:r>
      <w:r>
        <w:rPr>
          <w:sz w:val="24"/>
          <w:lang w:val="en-GB"/>
        </w:rPr>
        <w:t>court settlement</w:t>
      </w:r>
      <w:r w:rsidRPr="004C15BF">
        <w:rPr>
          <w:sz w:val="24"/>
          <w:lang w:val="en-GB"/>
        </w:rPr>
        <w:t xml:space="preserve"> between </w:t>
      </w:r>
      <w:r>
        <w:rPr>
          <w:sz w:val="24"/>
          <w:lang w:val="en-GB"/>
        </w:rPr>
        <w:t xml:space="preserve">its </w:t>
      </w:r>
      <w:r w:rsidRPr="004C15BF">
        <w:rPr>
          <w:sz w:val="24"/>
          <w:lang w:val="en-GB"/>
        </w:rPr>
        <w:t>insured</w:t>
      </w:r>
      <w:r>
        <w:rPr>
          <w:sz w:val="24"/>
          <w:lang w:val="en-GB"/>
        </w:rPr>
        <w:t xml:space="preserve"> person</w:t>
      </w:r>
      <w:r w:rsidRPr="004C15BF">
        <w:rPr>
          <w:sz w:val="24"/>
          <w:lang w:val="en-GB"/>
        </w:rPr>
        <w:t xml:space="preserve"> and K</w:t>
      </w:r>
      <w:r>
        <w:rPr>
          <w:sz w:val="24"/>
          <w:lang w:val="en-GB"/>
        </w:rPr>
        <w:t xml:space="preserve">IB </w:t>
      </w:r>
      <w:r w:rsidRPr="004C15BF">
        <w:rPr>
          <w:sz w:val="24"/>
          <w:lang w:val="en-GB"/>
        </w:rPr>
        <w:t xml:space="preserve">“[...] </w:t>
      </w:r>
      <w:r w:rsidRPr="004C15BF">
        <w:rPr>
          <w:i/>
          <w:sz w:val="24"/>
          <w:lang w:val="en-GB"/>
        </w:rPr>
        <w:t xml:space="preserve">without </w:t>
      </w:r>
      <w:proofErr w:type="spellStart"/>
      <w:r w:rsidRPr="004C15BF">
        <w:rPr>
          <w:i/>
          <w:sz w:val="24"/>
          <w:lang w:val="en-GB"/>
        </w:rPr>
        <w:t>analyzing</w:t>
      </w:r>
      <w:proofErr w:type="spellEnd"/>
      <w:r w:rsidRPr="004C15BF">
        <w:rPr>
          <w:i/>
          <w:sz w:val="24"/>
          <w:lang w:val="en-GB"/>
        </w:rPr>
        <w:t xml:space="preserve"> at all what is the subject of this Agreement, respectively to what damage caused it refers, if eventually the costs of medical treatment and compensation for the time of recovery were the subject of this Compensation Agreement, respectively whether the insured person had active legitimacy to claim such compensation or if this legitimacy belongs only to the Applicant</w:t>
      </w:r>
      <w:r w:rsidR="00FF271B" w:rsidRPr="004C15BF">
        <w:rPr>
          <w:i/>
          <w:sz w:val="24"/>
          <w:lang w:val="en-GB"/>
        </w:rPr>
        <w:t>.”</w:t>
      </w:r>
    </w:p>
    <w:p w:rsidR="00D229BF" w:rsidRPr="00314A8D" w:rsidRDefault="00D229BF" w:rsidP="00A06B9C">
      <w:pPr>
        <w:autoSpaceDE w:val="0"/>
        <w:autoSpaceDN w:val="0"/>
        <w:adjustRightInd w:val="0"/>
        <w:spacing w:line="240" w:lineRule="auto"/>
        <w:ind w:left="540" w:hanging="540"/>
        <w:rPr>
          <w:sz w:val="24"/>
          <w:lang w:val="en-GB"/>
        </w:rPr>
      </w:pPr>
    </w:p>
    <w:p w:rsidR="00D229BF" w:rsidRPr="00314A8D" w:rsidRDefault="004C15BF" w:rsidP="00A06B9C">
      <w:pPr>
        <w:numPr>
          <w:ilvl w:val="0"/>
          <w:numId w:val="63"/>
        </w:numPr>
        <w:spacing w:line="240" w:lineRule="auto"/>
        <w:ind w:left="630" w:hanging="630"/>
        <w:rPr>
          <w:sz w:val="24"/>
          <w:lang w:val="en-GB"/>
        </w:rPr>
      </w:pPr>
      <w:r>
        <w:rPr>
          <w:sz w:val="24"/>
          <w:lang w:val="en-GB"/>
        </w:rPr>
        <w:t>Moreover</w:t>
      </w:r>
      <w:r w:rsidRPr="004C15BF">
        <w:rPr>
          <w:sz w:val="24"/>
          <w:lang w:val="en-GB"/>
        </w:rPr>
        <w:t xml:space="preserve">, according to the Applicant, the Court of Appeals did not provide a reason why the Applicant could not claim </w:t>
      </w:r>
      <w:r>
        <w:rPr>
          <w:sz w:val="24"/>
          <w:lang w:val="en-GB"/>
        </w:rPr>
        <w:t xml:space="preserve">compensation of </w:t>
      </w:r>
      <w:r w:rsidRPr="004C15BF">
        <w:rPr>
          <w:sz w:val="24"/>
          <w:lang w:val="en-GB"/>
        </w:rPr>
        <w:t xml:space="preserve">damage for </w:t>
      </w:r>
      <w:r>
        <w:rPr>
          <w:sz w:val="24"/>
          <w:lang w:val="en-GB"/>
        </w:rPr>
        <w:t>its</w:t>
      </w:r>
      <w:r w:rsidRPr="004C15BF">
        <w:rPr>
          <w:sz w:val="24"/>
          <w:lang w:val="en-GB"/>
        </w:rPr>
        <w:t xml:space="preserve"> insured</w:t>
      </w:r>
      <w:r>
        <w:rPr>
          <w:sz w:val="24"/>
          <w:lang w:val="en-GB"/>
        </w:rPr>
        <w:t xml:space="preserve"> person</w:t>
      </w:r>
      <w:r w:rsidRPr="004C15BF">
        <w:rPr>
          <w:sz w:val="24"/>
          <w:lang w:val="en-GB"/>
        </w:rPr>
        <w:t xml:space="preserve"> in accordance with the legal provisions in force,</w:t>
      </w:r>
      <w:r>
        <w:rPr>
          <w:sz w:val="24"/>
          <w:lang w:val="en-GB"/>
        </w:rPr>
        <w:t xml:space="preserve"> respectively</w:t>
      </w:r>
      <w:r w:rsidRPr="004C15BF">
        <w:rPr>
          <w:sz w:val="24"/>
          <w:lang w:val="en-GB"/>
        </w:rPr>
        <w:t xml:space="preserve"> Articles 300 and 939 of the L</w:t>
      </w:r>
      <w:r>
        <w:rPr>
          <w:sz w:val="24"/>
          <w:lang w:val="en-GB"/>
        </w:rPr>
        <w:t>OR</w:t>
      </w:r>
      <w:r w:rsidR="00FF271B" w:rsidRPr="00314A8D">
        <w:rPr>
          <w:sz w:val="24"/>
          <w:lang w:val="en-GB"/>
        </w:rPr>
        <w:t xml:space="preserve">. </w:t>
      </w:r>
    </w:p>
    <w:p w:rsidR="00D229BF" w:rsidRPr="00314A8D" w:rsidRDefault="00D229BF" w:rsidP="00A06B9C">
      <w:pPr>
        <w:autoSpaceDE w:val="0"/>
        <w:autoSpaceDN w:val="0"/>
        <w:adjustRightInd w:val="0"/>
        <w:spacing w:line="240" w:lineRule="auto"/>
        <w:ind w:left="540" w:hanging="540"/>
        <w:rPr>
          <w:sz w:val="24"/>
          <w:lang w:val="en-GB"/>
        </w:rPr>
      </w:pPr>
    </w:p>
    <w:p w:rsidR="00D229BF" w:rsidRPr="00314A8D" w:rsidRDefault="00CF1289" w:rsidP="00A06B9C">
      <w:pPr>
        <w:numPr>
          <w:ilvl w:val="0"/>
          <w:numId w:val="63"/>
        </w:numPr>
        <w:spacing w:line="240" w:lineRule="auto"/>
        <w:ind w:left="630" w:hanging="630"/>
        <w:rPr>
          <w:sz w:val="24"/>
          <w:lang w:val="en-GB"/>
        </w:rPr>
      </w:pPr>
      <w:r>
        <w:rPr>
          <w:sz w:val="24"/>
          <w:lang w:val="en-GB"/>
        </w:rPr>
        <w:t>With respect</w:t>
      </w:r>
      <w:r w:rsidRPr="00CF1289">
        <w:rPr>
          <w:sz w:val="24"/>
          <w:lang w:val="en-GB"/>
        </w:rPr>
        <w:t xml:space="preserve"> to the allegation of non-justification of the court decision, the </w:t>
      </w:r>
      <w:r>
        <w:rPr>
          <w:sz w:val="24"/>
          <w:lang w:val="en-GB"/>
        </w:rPr>
        <w:t>A</w:t>
      </w:r>
      <w:r w:rsidRPr="00CF1289">
        <w:rPr>
          <w:sz w:val="24"/>
          <w:lang w:val="en-GB"/>
        </w:rPr>
        <w:t xml:space="preserve">pplicant also referred to the case law of the European Court of Human Rights (hereinafter: the ECHR), respectively </w:t>
      </w:r>
      <w:r>
        <w:rPr>
          <w:sz w:val="24"/>
          <w:lang w:val="en-GB"/>
        </w:rPr>
        <w:t xml:space="preserve">to the cases </w:t>
      </w:r>
      <w:proofErr w:type="spellStart"/>
      <w:r w:rsidRPr="00CF1289">
        <w:rPr>
          <w:i/>
          <w:sz w:val="24"/>
          <w:lang w:val="en-GB"/>
        </w:rPr>
        <w:t>Suominen</w:t>
      </w:r>
      <w:proofErr w:type="spellEnd"/>
      <w:r w:rsidRPr="00CF1289">
        <w:rPr>
          <w:i/>
          <w:sz w:val="24"/>
          <w:lang w:val="en-GB"/>
        </w:rPr>
        <w:t xml:space="preserve"> v. Finland</w:t>
      </w:r>
      <w:r>
        <w:rPr>
          <w:sz w:val="24"/>
          <w:lang w:val="en-GB"/>
        </w:rPr>
        <w:t>, Application</w:t>
      </w:r>
      <w:r w:rsidRPr="00CF1289">
        <w:rPr>
          <w:sz w:val="24"/>
          <w:lang w:val="en-GB"/>
        </w:rPr>
        <w:t xml:space="preserve"> no. 37801/97, Judgment of 1 July 2003; </w:t>
      </w:r>
      <w:proofErr w:type="spellStart"/>
      <w:r w:rsidRPr="00CF1289">
        <w:rPr>
          <w:i/>
          <w:sz w:val="24"/>
          <w:lang w:val="en-GB"/>
        </w:rPr>
        <w:t>Hadjianastassiou</w:t>
      </w:r>
      <w:proofErr w:type="spellEnd"/>
      <w:r w:rsidRPr="00CF1289">
        <w:rPr>
          <w:i/>
          <w:sz w:val="24"/>
          <w:lang w:val="en-GB"/>
        </w:rPr>
        <w:t xml:space="preserve"> v. Greece</w:t>
      </w:r>
      <w:r w:rsidRPr="00CF1289">
        <w:rPr>
          <w:sz w:val="24"/>
          <w:lang w:val="en-GB"/>
        </w:rPr>
        <w:t xml:space="preserve">, </w:t>
      </w:r>
      <w:r>
        <w:rPr>
          <w:sz w:val="24"/>
          <w:lang w:val="en-GB"/>
        </w:rPr>
        <w:t>Application</w:t>
      </w:r>
      <w:r w:rsidRPr="00CF1289">
        <w:rPr>
          <w:sz w:val="24"/>
          <w:lang w:val="en-GB"/>
        </w:rPr>
        <w:t xml:space="preserve"> no. 12945/87, Judgment of 16 December 1992; </w:t>
      </w:r>
      <w:proofErr w:type="spellStart"/>
      <w:r w:rsidRPr="00CF1289">
        <w:rPr>
          <w:i/>
          <w:sz w:val="24"/>
          <w:lang w:val="en-GB"/>
        </w:rPr>
        <w:t>Tatishvili</w:t>
      </w:r>
      <w:proofErr w:type="spellEnd"/>
      <w:r w:rsidRPr="00CF1289">
        <w:rPr>
          <w:i/>
          <w:sz w:val="24"/>
          <w:lang w:val="en-GB"/>
        </w:rPr>
        <w:t xml:space="preserve"> v. Russia</w:t>
      </w:r>
      <w:r w:rsidRPr="00CF1289">
        <w:rPr>
          <w:sz w:val="24"/>
          <w:lang w:val="en-GB"/>
        </w:rPr>
        <w:t xml:space="preserve">, </w:t>
      </w:r>
      <w:r>
        <w:rPr>
          <w:sz w:val="24"/>
          <w:lang w:val="en-GB"/>
        </w:rPr>
        <w:t>Application</w:t>
      </w:r>
      <w:r w:rsidRPr="00CF1289">
        <w:rPr>
          <w:sz w:val="24"/>
          <w:lang w:val="en-GB"/>
        </w:rPr>
        <w:t xml:space="preserve"> no. 1509/02, Judgment of 22 February 2007; </w:t>
      </w:r>
      <w:r w:rsidRPr="00CF1289">
        <w:rPr>
          <w:i/>
          <w:sz w:val="24"/>
          <w:lang w:val="en-GB"/>
        </w:rPr>
        <w:t xml:space="preserve">Hiro </w:t>
      </w:r>
      <w:proofErr w:type="spellStart"/>
      <w:r w:rsidRPr="00CF1289">
        <w:rPr>
          <w:i/>
          <w:sz w:val="24"/>
          <w:lang w:val="en-GB"/>
        </w:rPr>
        <w:t>Balani</w:t>
      </w:r>
      <w:proofErr w:type="spellEnd"/>
      <w:r w:rsidRPr="00CF1289">
        <w:rPr>
          <w:i/>
          <w:sz w:val="24"/>
          <w:lang w:val="en-GB"/>
        </w:rPr>
        <w:t xml:space="preserve"> v. Spain</w:t>
      </w:r>
      <w:r w:rsidRPr="00CF1289">
        <w:rPr>
          <w:sz w:val="24"/>
          <w:lang w:val="en-GB"/>
        </w:rPr>
        <w:t xml:space="preserve">, </w:t>
      </w:r>
      <w:r>
        <w:rPr>
          <w:sz w:val="24"/>
          <w:lang w:val="en-GB"/>
        </w:rPr>
        <w:t>Application</w:t>
      </w:r>
      <w:r w:rsidRPr="00CF1289">
        <w:rPr>
          <w:sz w:val="24"/>
          <w:lang w:val="en-GB"/>
        </w:rPr>
        <w:t xml:space="preserve"> no. 18064/91, Judgment</w:t>
      </w:r>
      <w:r>
        <w:rPr>
          <w:sz w:val="24"/>
          <w:lang w:val="en-GB"/>
        </w:rPr>
        <w:t xml:space="preserve"> of</w:t>
      </w:r>
      <w:r w:rsidRPr="00CF1289">
        <w:rPr>
          <w:sz w:val="24"/>
          <w:lang w:val="en-GB"/>
        </w:rPr>
        <w:t xml:space="preserve"> 19 December 1994; </w:t>
      </w:r>
      <w:proofErr w:type="spellStart"/>
      <w:r w:rsidRPr="00CF1289">
        <w:rPr>
          <w:i/>
          <w:sz w:val="24"/>
          <w:lang w:val="en-GB"/>
        </w:rPr>
        <w:t>RuizTorija</w:t>
      </w:r>
      <w:proofErr w:type="spellEnd"/>
      <w:r w:rsidRPr="00CF1289">
        <w:rPr>
          <w:i/>
          <w:sz w:val="24"/>
          <w:lang w:val="en-GB"/>
        </w:rPr>
        <w:t xml:space="preserve"> v. Spain</w:t>
      </w:r>
      <w:r w:rsidRPr="00CF1289">
        <w:rPr>
          <w:sz w:val="24"/>
          <w:lang w:val="en-GB"/>
        </w:rPr>
        <w:t xml:space="preserve">, </w:t>
      </w:r>
      <w:r>
        <w:rPr>
          <w:sz w:val="24"/>
          <w:lang w:val="en-GB"/>
        </w:rPr>
        <w:t>Application</w:t>
      </w:r>
      <w:r w:rsidRPr="00CF1289">
        <w:rPr>
          <w:sz w:val="24"/>
          <w:lang w:val="en-GB"/>
        </w:rPr>
        <w:t xml:space="preserve"> no. 18390/91, Judgment</w:t>
      </w:r>
      <w:r>
        <w:rPr>
          <w:sz w:val="24"/>
          <w:lang w:val="en-GB"/>
        </w:rPr>
        <w:t xml:space="preserve"> of</w:t>
      </w:r>
      <w:r w:rsidRPr="00CF1289">
        <w:rPr>
          <w:sz w:val="24"/>
          <w:lang w:val="en-GB"/>
        </w:rPr>
        <w:t xml:space="preserve"> 9 December 1994; </w:t>
      </w:r>
      <w:proofErr w:type="spellStart"/>
      <w:r w:rsidRPr="00CF1289">
        <w:rPr>
          <w:i/>
          <w:sz w:val="24"/>
          <w:lang w:val="en-GB"/>
        </w:rPr>
        <w:t>Helle</w:t>
      </w:r>
      <w:proofErr w:type="spellEnd"/>
      <w:r w:rsidRPr="00CF1289">
        <w:rPr>
          <w:i/>
          <w:sz w:val="24"/>
          <w:lang w:val="en-GB"/>
        </w:rPr>
        <w:t xml:space="preserve"> v. Finland</w:t>
      </w:r>
      <w:r w:rsidRPr="00CF1289">
        <w:rPr>
          <w:sz w:val="24"/>
          <w:lang w:val="en-GB"/>
        </w:rPr>
        <w:t>,</w:t>
      </w:r>
      <w:r>
        <w:rPr>
          <w:sz w:val="24"/>
          <w:lang w:val="en-GB"/>
        </w:rPr>
        <w:t xml:space="preserve"> Application</w:t>
      </w:r>
      <w:r w:rsidRPr="00CF1289">
        <w:rPr>
          <w:sz w:val="24"/>
          <w:lang w:val="en-GB"/>
        </w:rPr>
        <w:t xml:space="preserve"> no. 20772/92, Judgment</w:t>
      </w:r>
      <w:r>
        <w:rPr>
          <w:sz w:val="24"/>
          <w:lang w:val="en-GB"/>
        </w:rPr>
        <w:t xml:space="preserve"> of</w:t>
      </w:r>
      <w:r w:rsidRPr="00CF1289">
        <w:rPr>
          <w:sz w:val="24"/>
          <w:lang w:val="en-GB"/>
        </w:rPr>
        <w:t xml:space="preserve"> 19 December 1997; and </w:t>
      </w:r>
      <w:proofErr w:type="spellStart"/>
      <w:r w:rsidRPr="00CF1289">
        <w:rPr>
          <w:i/>
          <w:sz w:val="24"/>
          <w:lang w:val="en-GB"/>
        </w:rPr>
        <w:t>Gradinar</w:t>
      </w:r>
      <w:proofErr w:type="spellEnd"/>
      <w:r w:rsidRPr="00CF1289">
        <w:rPr>
          <w:i/>
          <w:sz w:val="24"/>
          <w:lang w:val="en-GB"/>
        </w:rPr>
        <w:t xml:space="preserve"> v. Moldova</w:t>
      </w:r>
      <w:r w:rsidRPr="00CF1289">
        <w:rPr>
          <w:sz w:val="24"/>
          <w:lang w:val="en-GB"/>
        </w:rPr>
        <w:t xml:space="preserve">, </w:t>
      </w:r>
      <w:r>
        <w:rPr>
          <w:sz w:val="24"/>
          <w:lang w:val="en-GB"/>
        </w:rPr>
        <w:t xml:space="preserve">Application </w:t>
      </w:r>
      <w:r w:rsidRPr="00CF1289">
        <w:rPr>
          <w:sz w:val="24"/>
          <w:lang w:val="en-GB"/>
        </w:rPr>
        <w:t>no. 7170/02, Judgment</w:t>
      </w:r>
      <w:r>
        <w:rPr>
          <w:sz w:val="24"/>
          <w:lang w:val="en-GB"/>
        </w:rPr>
        <w:t xml:space="preserve"> of</w:t>
      </w:r>
      <w:r w:rsidRPr="00CF1289">
        <w:rPr>
          <w:sz w:val="24"/>
          <w:lang w:val="en-GB"/>
        </w:rPr>
        <w:t xml:space="preserve"> 8 April 2008</w:t>
      </w:r>
      <w:r w:rsidR="00FF271B" w:rsidRPr="00314A8D">
        <w:rPr>
          <w:sz w:val="24"/>
          <w:lang w:val="en-GB"/>
        </w:rPr>
        <w:t xml:space="preserve">. </w:t>
      </w:r>
    </w:p>
    <w:p w:rsidR="00D229BF" w:rsidRPr="00314A8D" w:rsidRDefault="00D229BF" w:rsidP="00A06B9C">
      <w:pPr>
        <w:pStyle w:val="ListParagraph"/>
        <w:autoSpaceDE w:val="0"/>
        <w:autoSpaceDN w:val="0"/>
        <w:adjustRightInd w:val="0"/>
        <w:spacing w:line="240" w:lineRule="auto"/>
        <w:ind w:left="540" w:hanging="540"/>
        <w:rPr>
          <w:sz w:val="24"/>
          <w:lang w:val="en-GB"/>
        </w:rPr>
      </w:pPr>
    </w:p>
    <w:p w:rsidR="00D229BF" w:rsidRPr="00314A8D" w:rsidRDefault="00641D29" w:rsidP="00A06B9C">
      <w:pPr>
        <w:numPr>
          <w:ilvl w:val="0"/>
          <w:numId w:val="63"/>
        </w:numPr>
        <w:spacing w:line="240" w:lineRule="auto"/>
        <w:ind w:left="630" w:hanging="630"/>
        <w:rPr>
          <w:sz w:val="24"/>
          <w:lang w:val="en-GB"/>
        </w:rPr>
      </w:pPr>
      <w:r>
        <w:rPr>
          <w:sz w:val="24"/>
          <w:lang w:val="en-GB"/>
        </w:rPr>
        <w:t>T</w:t>
      </w:r>
      <w:r w:rsidRPr="00641D29">
        <w:rPr>
          <w:sz w:val="24"/>
          <w:lang w:val="en-GB"/>
        </w:rPr>
        <w:t>he Applicant considers that in th</w:t>
      </w:r>
      <w:r>
        <w:rPr>
          <w:sz w:val="24"/>
          <w:lang w:val="en-GB"/>
        </w:rPr>
        <w:t>e present</w:t>
      </w:r>
      <w:r w:rsidRPr="00641D29">
        <w:rPr>
          <w:sz w:val="24"/>
          <w:lang w:val="en-GB"/>
        </w:rPr>
        <w:t xml:space="preserve"> case the case law of th</w:t>
      </w:r>
      <w:r>
        <w:rPr>
          <w:sz w:val="24"/>
          <w:lang w:val="en-GB"/>
        </w:rPr>
        <w:t>e Constitutional Court concerning</w:t>
      </w:r>
      <w:r w:rsidRPr="00641D29">
        <w:rPr>
          <w:sz w:val="24"/>
          <w:lang w:val="en-GB"/>
        </w:rPr>
        <w:t xml:space="preserve"> the right to</w:t>
      </w:r>
      <w:r>
        <w:rPr>
          <w:sz w:val="24"/>
          <w:lang w:val="en-GB"/>
        </w:rPr>
        <w:t xml:space="preserve"> a</w:t>
      </w:r>
      <w:r w:rsidRPr="00641D29">
        <w:rPr>
          <w:sz w:val="24"/>
          <w:lang w:val="en-GB"/>
        </w:rPr>
        <w:t xml:space="preserve"> reason</w:t>
      </w:r>
      <w:r>
        <w:rPr>
          <w:sz w:val="24"/>
          <w:lang w:val="en-GB"/>
        </w:rPr>
        <w:t>ed</w:t>
      </w:r>
      <w:r w:rsidRPr="00641D29">
        <w:rPr>
          <w:sz w:val="24"/>
          <w:lang w:val="en-GB"/>
        </w:rPr>
        <w:t xml:space="preserve"> court decision has not been applied. In this regard, the </w:t>
      </w:r>
      <w:r>
        <w:rPr>
          <w:sz w:val="24"/>
          <w:lang w:val="en-GB"/>
        </w:rPr>
        <w:t>A</w:t>
      </w:r>
      <w:r w:rsidRPr="00641D29">
        <w:rPr>
          <w:sz w:val="24"/>
          <w:lang w:val="en-GB"/>
        </w:rPr>
        <w:t xml:space="preserve">pplicant specifically refers to the case law of the Constitutional Court, respectively the case KI135/14, </w:t>
      </w:r>
      <w:r>
        <w:rPr>
          <w:sz w:val="24"/>
          <w:lang w:val="en-GB"/>
        </w:rPr>
        <w:t>A</w:t>
      </w:r>
      <w:r w:rsidRPr="00641D29">
        <w:rPr>
          <w:sz w:val="24"/>
          <w:lang w:val="en-GB"/>
        </w:rPr>
        <w:t xml:space="preserve">pplicant </w:t>
      </w:r>
      <w:r w:rsidRPr="00641D29">
        <w:rPr>
          <w:i/>
          <w:sz w:val="24"/>
          <w:lang w:val="en-GB"/>
        </w:rPr>
        <w:t>IKK Classic</w:t>
      </w:r>
      <w:r w:rsidRPr="00641D29">
        <w:rPr>
          <w:sz w:val="24"/>
          <w:lang w:val="en-GB"/>
        </w:rPr>
        <w:t xml:space="preserve">, Judgment of 9 February 2016, which concerned the issue of the right to subrogation, and where the Court had found a violation of Article 31 of the Constitution, in </w:t>
      </w:r>
      <w:r>
        <w:rPr>
          <w:sz w:val="24"/>
          <w:lang w:val="en-GB"/>
        </w:rPr>
        <w:t>conjunction with</w:t>
      </w:r>
      <w:r w:rsidRPr="00641D29">
        <w:rPr>
          <w:sz w:val="24"/>
          <w:lang w:val="en-GB"/>
        </w:rPr>
        <w:t xml:space="preserve"> Article 6 of the ECHR, as a result of non-</w:t>
      </w:r>
      <w:r>
        <w:rPr>
          <w:sz w:val="24"/>
          <w:lang w:val="en-GB"/>
        </w:rPr>
        <w:t>reasoning</w:t>
      </w:r>
      <w:r w:rsidRPr="00641D29">
        <w:rPr>
          <w:sz w:val="24"/>
          <w:lang w:val="en-GB"/>
        </w:rPr>
        <w:t xml:space="preserve"> of the court decision</w:t>
      </w:r>
      <w:r w:rsidR="00FF271B" w:rsidRPr="00314A8D">
        <w:rPr>
          <w:sz w:val="24"/>
          <w:lang w:val="en-GB"/>
        </w:rPr>
        <w:t xml:space="preserve">. </w:t>
      </w:r>
    </w:p>
    <w:p w:rsidR="00D229BF" w:rsidRPr="00314A8D" w:rsidRDefault="00D229BF" w:rsidP="00A06B9C">
      <w:pPr>
        <w:autoSpaceDE w:val="0"/>
        <w:autoSpaceDN w:val="0"/>
        <w:adjustRightInd w:val="0"/>
        <w:spacing w:line="240" w:lineRule="auto"/>
        <w:ind w:left="540"/>
        <w:rPr>
          <w:i/>
          <w:sz w:val="24"/>
          <w:lang w:val="en-GB"/>
        </w:rPr>
      </w:pPr>
    </w:p>
    <w:p w:rsidR="00D229BF" w:rsidRDefault="00641D29" w:rsidP="00A06B9C">
      <w:pPr>
        <w:autoSpaceDE w:val="0"/>
        <w:autoSpaceDN w:val="0"/>
        <w:adjustRightInd w:val="0"/>
        <w:spacing w:line="240" w:lineRule="auto"/>
        <w:rPr>
          <w:i/>
          <w:sz w:val="24"/>
          <w:lang w:val="en-GB"/>
        </w:rPr>
      </w:pPr>
      <w:r>
        <w:rPr>
          <w:i/>
          <w:sz w:val="24"/>
          <w:lang w:val="en-GB"/>
        </w:rPr>
        <w:t>In relation to</w:t>
      </w:r>
      <w:r w:rsidRPr="00641D29">
        <w:rPr>
          <w:i/>
          <w:sz w:val="24"/>
          <w:lang w:val="en-GB"/>
        </w:rPr>
        <w:t xml:space="preserve"> the allegation </w:t>
      </w:r>
      <w:r>
        <w:rPr>
          <w:i/>
          <w:sz w:val="24"/>
          <w:lang w:val="en-GB"/>
        </w:rPr>
        <w:t>for</w:t>
      </w:r>
      <w:r w:rsidRPr="00641D29">
        <w:rPr>
          <w:i/>
          <w:sz w:val="24"/>
          <w:lang w:val="en-GB"/>
        </w:rPr>
        <w:t xml:space="preserve"> violation of the principle of legal certainty as a result of contradictory decisions in the re</w:t>
      </w:r>
      <w:r>
        <w:rPr>
          <w:i/>
          <w:sz w:val="24"/>
          <w:lang w:val="en-GB"/>
        </w:rPr>
        <w:t xml:space="preserve">spective </w:t>
      </w:r>
      <w:r w:rsidRPr="00641D29">
        <w:rPr>
          <w:i/>
          <w:sz w:val="24"/>
          <w:lang w:val="en-GB"/>
        </w:rPr>
        <w:t xml:space="preserve"> case law of the Court of Appeals and the Supreme Court</w:t>
      </w:r>
    </w:p>
    <w:p w:rsidR="00641D29" w:rsidRPr="00314A8D" w:rsidRDefault="00641D29" w:rsidP="00A06B9C">
      <w:pPr>
        <w:autoSpaceDE w:val="0"/>
        <w:autoSpaceDN w:val="0"/>
        <w:adjustRightInd w:val="0"/>
        <w:spacing w:line="240" w:lineRule="auto"/>
        <w:ind w:left="540"/>
        <w:rPr>
          <w:i/>
          <w:sz w:val="24"/>
          <w:lang w:val="en-GB"/>
        </w:rPr>
      </w:pPr>
    </w:p>
    <w:p w:rsidR="00D229BF" w:rsidRPr="00522445" w:rsidRDefault="00522445" w:rsidP="00A06B9C">
      <w:pPr>
        <w:numPr>
          <w:ilvl w:val="0"/>
          <w:numId w:val="63"/>
        </w:numPr>
        <w:autoSpaceDE w:val="0"/>
        <w:autoSpaceDN w:val="0"/>
        <w:adjustRightInd w:val="0"/>
        <w:spacing w:line="240" w:lineRule="auto"/>
        <w:ind w:left="540" w:hanging="630"/>
        <w:rPr>
          <w:i/>
          <w:sz w:val="24"/>
          <w:lang w:val="en-GB"/>
        </w:rPr>
      </w:pPr>
      <w:r w:rsidRPr="00522445">
        <w:rPr>
          <w:sz w:val="24"/>
          <w:lang w:val="en-GB"/>
        </w:rPr>
        <w:t xml:space="preserve">The Applicant also considers that the impugned decision has infringed the principle of legal certainty, as a result of the contradictory decisions in the relevant case law of the Court of </w:t>
      </w:r>
      <w:r>
        <w:rPr>
          <w:sz w:val="24"/>
          <w:lang w:val="en-GB"/>
        </w:rPr>
        <w:t>Appeals and the Supreme Court. In relation to this allegation</w:t>
      </w:r>
      <w:r w:rsidRPr="00522445">
        <w:rPr>
          <w:sz w:val="24"/>
          <w:lang w:val="en-GB"/>
        </w:rPr>
        <w:t xml:space="preserve">, the </w:t>
      </w:r>
      <w:r>
        <w:rPr>
          <w:sz w:val="24"/>
          <w:lang w:val="en-GB"/>
        </w:rPr>
        <w:t>A</w:t>
      </w:r>
      <w:r w:rsidRPr="00522445">
        <w:rPr>
          <w:sz w:val="24"/>
          <w:lang w:val="en-GB"/>
        </w:rPr>
        <w:t xml:space="preserve">pplicant states that: </w:t>
      </w:r>
      <w:r w:rsidRPr="00522445">
        <w:rPr>
          <w:i/>
          <w:sz w:val="24"/>
          <w:lang w:val="en-GB"/>
        </w:rPr>
        <w:t xml:space="preserve">“The requirement for consistency in </w:t>
      </w:r>
      <w:r w:rsidR="00F33D0D">
        <w:rPr>
          <w:i/>
          <w:sz w:val="24"/>
          <w:lang w:val="en-GB"/>
        </w:rPr>
        <w:t xml:space="preserve"> </w:t>
      </w:r>
      <w:r w:rsidRPr="00522445">
        <w:rPr>
          <w:i/>
          <w:sz w:val="24"/>
          <w:lang w:val="en-GB"/>
        </w:rPr>
        <w:t>case law is substantial and contributes to the equal treatment of individuals who bring the same or, in important aspects, similar claims before the Court of Appeals or to the . Supreme Court of the Republic of Kosovo.”</w:t>
      </w:r>
    </w:p>
    <w:p w:rsidR="00522445" w:rsidRPr="00522445" w:rsidRDefault="00522445" w:rsidP="00A06B9C">
      <w:pPr>
        <w:autoSpaceDE w:val="0"/>
        <w:autoSpaceDN w:val="0"/>
        <w:adjustRightInd w:val="0"/>
        <w:spacing w:line="240" w:lineRule="auto"/>
        <w:ind w:left="540"/>
        <w:rPr>
          <w:sz w:val="24"/>
          <w:lang w:val="en-GB"/>
        </w:rPr>
      </w:pPr>
    </w:p>
    <w:p w:rsidR="00D229BF" w:rsidRPr="00F33D0D" w:rsidRDefault="00F33D0D" w:rsidP="00A06B9C">
      <w:pPr>
        <w:numPr>
          <w:ilvl w:val="0"/>
          <w:numId w:val="63"/>
        </w:numPr>
        <w:spacing w:line="240" w:lineRule="auto"/>
        <w:ind w:left="630" w:hanging="630"/>
        <w:rPr>
          <w:i/>
          <w:sz w:val="24"/>
          <w:lang w:val="en-GB"/>
        </w:rPr>
      </w:pPr>
      <w:r>
        <w:rPr>
          <w:sz w:val="24"/>
          <w:lang w:val="en-GB"/>
        </w:rPr>
        <w:t>T</w:t>
      </w:r>
      <w:r w:rsidRPr="00F33D0D">
        <w:rPr>
          <w:sz w:val="24"/>
          <w:lang w:val="en-GB"/>
        </w:rPr>
        <w:t xml:space="preserve">he Applicant further specifies that </w:t>
      </w:r>
      <w:r w:rsidRPr="00F33D0D">
        <w:rPr>
          <w:i/>
          <w:sz w:val="24"/>
          <w:lang w:val="en-GB"/>
        </w:rPr>
        <w:t>“[...] the failure of the Court of Appeals to sufficiently elaborate on the Applicant's claims for compensation and the complete change contrary to the existing case law of this Court in respect of subrogation directly violates the principle of legal certainty in conjunction with Article 6 (1) of the European Convention</w:t>
      </w:r>
      <w:r w:rsidR="00FF271B" w:rsidRPr="00F33D0D">
        <w:rPr>
          <w:i/>
          <w:sz w:val="24"/>
          <w:lang w:val="en-GB"/>
        </w:rPr>
        <w:t>.”</w:t>
      </w:r>
    </w:p>
    <w:p w:rsidR="00D229BF" w:rsidRPr="00F33D0D" w:rsidRDefault="00D229BF" w:rsidP="00A06B9C">
      <w:pPr>
        <w:pStyle w:val="ListParagraph"/>
        <w:autoSpaceDE w:val="0"/>
        <w:autoSpaceDN w:val="0"/>
        <w:adjustRightInd w:val="0"/>
        <w:spacing w:line="240" w:lineRule="auto"/>
        <w:rPr>
          <w:i/>
          <w:sz w:val="24"/>
          <w:lang w:val="en-GB"/>
        </w:rPr>
      </w:pPr>
    </w:p>
    <w:p w:rsidR="00D229BF" w:rsidRPr="00E507EB" w:rsidRDefault="00E507EB" w:rsidP="00A06B9C">
      <w:pPr>
        <w:numPr>
          <w:ilvl w:val="0"/>
          <w:numId w:val="63"/>
        </w:numPr>
        <w:spacing w:line="240" w:lineRule="auto"/>
        <w:ind w:left="630" w:hanging="630"/>
        <w:rPr>
          <w:i/>
          <w:sz w:val="24"/>
          <w:lang w:val="en-GB"/>
        </w:rPr>
      </w:pPr>
      <w:r w:rsidRPr="00E507EB">
        <w:rPr>
          <w:sz w:val="24"/>
          <w:lang w:val="en-GB"/>
        </w:rPr>
        <w:lastRenderedPageBreak/>
        <w:t xml:space="preserve">The Applicant also considers that: </w:t>
      </w:r>
      <w:r w:rsidRPr="00E507EB">
        <w:rPr>
          <w:i/>
          <w:sz w:val="24"/>
          <w:lang w:val="en-GB"/>
        </w:rPr>
        <w:t>“[...] if the Court of Appeals, by its decision, deviates from its current case law, it must provide full and appropriate legal justification for this change in its legal position</w:t>
      </w:r>
      <w:r w:rsidR="00FF271B" w:rsidRPr="00E507EB">
        <w:rPr>
          <w:i/>
          <w:sz w:val="24"/>
          <w:lang w:val="en-GB"/>
        </w:rPr>
        <w:t>.”</w:t>
      </w:r>
    </w:p>
    <w:p w:rsidR="00D229BF" w:rsidRPr="00E507EB" w:rsidRDefault="00D229BF" w:rsidP="00A06B9C">
      <w:pPr>
        <w:autoSpaceDE w:val="0"/>
        <w:autoSpaceDN w:val="0"/>
        <w:adjustRightInd w:val="0"/>
        <w:spacing w:line="240" w:lineRule="auto"/>
        <w:rPr>
          <w:i/>
          <w:sz w:val="24"/>
          <w:lang w:val="en-GB"/>
        </w:rPr>
      </w:pPr>
    </w:p>
    <w:p w:rsidR="00D229BF" w:rsidRPr="00314A8D" w:rsidRDefault="00A256B5" w:rsidP="00A06B9C">
      <w:pPr>
        <w:numPr>
          <w:ilvl w:val="0"/>
          <w:numId w:val="63"/>
        </w:numPr>
        <w:spacing w:line="240" w:lineRule="auto"/>
        <w:ind w:left="630" w:hanging="630"/>
        <w:rPr>
          <w:sz w:val="24"/>
          <w:lang w:val="en-GB"/>
        </w:rPr>
      </w:pPr>
      <w:r w:rsidRPr="00A256B5">
        <w:rPr>
          <w:sz w:val="24"/>
          <w:lang w:val="en-GB"/>
        </w:rPr>
        <w:t xml:space="preserve">The Applicant in </w:t>
      </w:r>
      <w:r>
        <w:rPr>
          <w:sz w:val="24"/>
          <w:lang w:val="en-GB"/>
        </w:rPr>
        <w:t>its</w:t>
      </w:r>
      <w:r w:rsidRPr="00A256B5">
        <w:rPr>
          <w:sz w:val="24"/>
          <w:lang w:val="en-GB"/>
        </w:rPr>
        <w:t xml:space="preserve"> re</w:t>
      </w:r>
      <w:r>
        <w:rPr>
          <w:sz w:val="24"/>
          <w:lang w:val="en-GB"/>
        </w:rPr>
        <w:t>ferral</w:t>
      </w:r>
      <w:r w:rsidRPr="00A256B5">
        <w:rPr>
          <w:sz w:val="24"/>
          <w:lang w:val="en-GB"/>
        </w:rPr>
        <w:t xml:space="preserve">, in support of his claim for </w:t>
      </w:r>
      <w:r>
        <w:rPr>
          <w:sz w:val="24"/>
          <w:lang w:val="en-GB"/>
        </w:rPr>
        <w:t xml:space="preserve">infringement </w:t>
      </w:r>
      <w:r w:rsidRPr="00A256B5">
        <w:rPr>
          <w:sz w:val="24"/>
          <w:lang w:val="en-GB"/>
        </w:rPr>
        <w:t xml:space="preserve">of legal certainty as a result of divergence in the relevant case law of the Court of Appeals and the Supreme Court, refers to a series of decisions of the Court of Appeals and the Supreme Court, which according to </w:t>
      </w:r>
      <w:r>
        <w:rPr>
          <w:sz w:val="24"/>
          <w:lang w:val="en-GB"/>
        </w:rPr>
        <w:t>it have dealt</w:t>
      </w:r>
      <w:r w:rsidRPr="00A256B5">
        <w:rPr>
          <w:sz w:val="24"/>
          <w:lang w:val="en-GB"/>
        </w:rPr>
        <w:t xml:space="preserve"> with similar matters as </w:t>
      </w:r>
      <w:r>
        <w:rPr>
          <w:sz w:val="24"/>
          <w:lang w:val="en-GB"/>
        </w:rPr>
        <w:t>is the</w:t>
      </w:r>
      <w:r w:rsidRPr="00A256B5">
        <w:rPr>
          <w:sz w:val="24"/>
          <w:lang w:val="en-GB"/>
        </w:rPr>
        <w:t xml:space="preserve"> case in the present </w:t>
      </w:r>
      <w:r>
        <w:rPr>
          <w:sz w:val="24"/>
          <w:lang w:val="en-GB"/>
        </w:rPr>
        <w:t>referral, respectively: Decision</w:t>
      </w:r>
      <w:r w:rsidRPr="00A256B5">
        <w:rPr>
          <w:sz w:val="24"/>
          <w:lang w:val="en-GB"/>
        </w:rPr>
        <w:t xml:space="preserve"> [Rev. N</w:t>
      </w:r>
      <w:r>
        <w:rPr>
          <w:sz w:val="24"/>
          <w:lang w:val="en-GB"/>
        </w:rPr>
        <w:t>o</w:t>
      </w:r>
      <w:r w:rsidRPr="00A256B5">
        <w:rPr>
          <w:sz w:val="24"/>
          <w:lang w:val="en-GB"/>
        </w:rPr>
        <w:t>. 14/2015] of the Supreme Court</w:t>
      </w:r>
      <w:r>
        <w:rPr>
          <w:sz w:val="24"/>
          <w:lang w:val="en-GB"/>
        </w:rPr>
        <w:t xml:space="preserve">, </w:t>
      </w:r>
      <w:r w:rsidRPr="00A256B5">
        <w:rPr>
          <w:sz w:val="24"/>
          <w:lang w:val="en-GB"/>
        </w:rPr>
        <w:t>of 14 May 2015; Judgment [Ae. N</w:t>
      </w:r>
      <w:r>
        <w:rPr>
          <w:sz w:val="24"/>
          <w:lang w:val="en-GB"/>
        </w:rPr>
        <w:t>o</w:t>
      </w:r>
      <w:r w:rsidRPr="00A256B5">
        <w:rPr>
          <w:sz w:val="24"/>
          <w:lang w:val="en-GB"/>
        </w:rPr>
        <w:t>. 84/2019] of the Court of Appeals</w:t>
      </w:r>
      <w:r>
        <w:rPr>
          <w:sz w:val="24"/>
          <w:lang w:val="en-GB"/>
        </w:rPr>
        <w:t>,</w:t>
      </w:r>
      <w:r w:rsidRPr="00A256B5">
        <w:rPr>
          <w:sz w:val="24"/>
          <w:lang w:val="en-GB"/>
        </w:rPr>
        <w:t xml:space="preserve"> of 28 January 2019; Judgment [Ae. N</w:t>
      </w:r>
      <w:r>
        <w:rPr>
          <w:sz w:val="24"/>
          <w:lang w:val="en-GB"/>
        </w:rPr>
        <w:t>o</w:t>
      </w:r>
      <w:r w:rsidRPr="00A256B5">
        <w:rPr>
          <w:sz w:val="24"/>
          <w:lang w:val="en-GB"/>
        </w:rPr>
        <w:t>. 3/2017] of the Court of Appeals</w:t>
      </w:r>
      <w:r>
        <w:rPr>
          <w:sz w:val="24"/>
          <w:lang w:val="en-GB"/>
        </w:rPr>
        <w:t>,</w:t>
      </w:r>
      <w:r w:rsidRPr="00A256B5">
        <w:rPr>
          <w:sz w:val="24"/>
          <w:lang w:val="en-GB"/>
        </w:rPr>
        <w:t xml:space="preserve"> of 28 December 2018</w:t>
      </w:r>
      <w:r>
        <w:rPr>
          <w:sz w:val="24"/>
          <w:lang w:val="en-GB"/>
        </w:rPr>
        <w:t>; Judgment [</w:t>
      </w:r>
      <w:proofErr w:type="spellStart"/>
      <w:r>
        <w:rPr>
          <w:sz w:val="24"/>
          <w:lang w:val="en-GB"/>
        </w:rPr>
        <w:t>Ae.No</w:t>
      </w:r>
      <w:proofErr w:type="spellEnd"/>
      <w:r w:rsidRPr="00A256B5">
        <w:rPr>
          <w:sz w:val="24"/>
          <w:lang w:val="en-GB"/>
        </w:rPr>
        <w:t>. 298/2016] of the Court of Appeals</w:t>
      </w:r>
      <w:r>
        <w:rPr>
          <w:sz w:val="24"/>
          <w:lang w:val="en-GB"/>
        </w:rPr>
        <w:t xml:space="preserve">, </w:t>
      </w:r>
      <w:r w:rsidRPr="00A256B5">
        <w:rPr>
          <w:sz w:val="24"/>
          <w:lang w:val="en-GB"/>
        </w:rPr>
        <w:t>of 26 February 2018; Judgment [E. Rev. no. 4/2018] of the Supreme Court</w:t>
      </w:r>
      <w:r>
        <w:rPr>
          <w:sz w:val="24"/>
          <w:lang w:val="en-GB"/>
        </w:rPr>
        <w:t>,</w:t>
      </w:r>
      <w:r w:rsidRPr="00A256B5">
        <w:rPr>
          <w:sz w:val="24"/>
          <w:lang w:val="en-GB"/>
        </w:rPr>
        <w:t xml:space="preserve"> of 17 May 2018; and Judgment [E. Rev. no. 27/2018] of the Supreme Court</w:t>
      </w:r>
      <w:r>
        <w:rPr>
          <w:sz w:val="24"/>
          <w:lang w:val="en-GB"/>
        </w:rPr>
        <w:t>,</w:t>
      </w:r>
      <w:r w:rsidRPr="00A256B5">
        <w:rPr>
          <w:sz w:val="24"/>
          <w:lang w:val="en-GB"/>
        </w:rPr>
        <w:t xml:space="preserve"> of 24 January 2018</w:t>
      </w:r>
      <w:r>
        <w:rPr>
          <w:sz w:val="24"/>
          <w:lang w:val="en-GB"/>
        </w:rPr>
        <w:t>.</w:t>
      </w:r>
    </w:p>
    <w:p w:rsidR="00D229BF" w:rsidRPr="00314A8D" w:rsidRDefault="00D229BF" w:rsidP="00A06B9C">
      <w:pPr>
        <w:autoSpaceDE w:val="0"/>
        <w:autoSpaceDN w:val="0"/>
        <w:adjustRightInd w:val="0"/>
        <w:spacing w:line="240" w:lineRule="auto"/>
        <w:ind w:left="540" w:hanging="540"/>
        <w:rPr>
          <w:sz w:val="24"/>
          <w:lang w:val="en-GB"/>
        </w:rPr>
      </w:pPr>
    </w:p>
    <w:p w:rsidR="00D229BF" w:rsidRPr="00203F3D" w:rsidRDefault="00203F3D" w:rsidP="00A06B9C">
      <w:pPr>
        <w:numPr>
          <w:ilvl w:val="0"/>
          <w:numId w:val="63"/>
        </w:numPr>
        <w:spacing w:line="240" w:lineRule="auto"/>
        <w:ind w:left="630" w:hanging="630"/>
        <w:rPr>
          <w:i/>
          <w:sz w:val="24"/>
          <w:lang w:val="en-GB"/>
        </w:rPr>
      </w:pPr>
      <w:r w:rsidRPr="00203F3D">
        <w:rPr>
          <w:sz w:val="24"/>
          <w:lang w:val="en-GB"/>
        </w:rPr>
        <w:t xml:space="preserve">With regard to the above-mentioned decisions of the Court of Appeals and the Supreme Court, the Applicant alleges that </w:t>
      </w:r>
      <w:r w:rsidRPr="00203F3D">
        <w:rPr>
          <w:i/>
          <w:sz w:val="24"/>
          <w:lang w:val="en-GB"/>
        </w:rPr>
        <w:t xml:space="preserve">“On the basis of comparison of these judgments of the Court of Appeals it results that this Court has consistently and constantly applied the same legal position regarding the determination of the legal basis for the right to subrogation.” Therefore, according to the Applicant, the challenged decision of the Court of Appeals “[...] in a completely opposite way avoids the current case law, without providing an explanation as to why the Court diverges from the current legal interpretation regarding the same court </w:t>
      </w:r>
      <w:r>
        <w:rPr>
          <w:i/>
          <w:sz w:val="24"/>
          <w:lang w:val="en-GB"/>
        </w:rPr>
        <w:t>matter</w:t>
      </w:r>
      <w:r w:rsidRPr="00203F3D">
        <w:rPr>
          <w:i/>
          <w:sz w:val="24"/>
          <w:lang w:val="en-GB"/>
        </w:rPr>
        <w:t xml:space="preserve">, by </w:t>
      </w:r>
      <w:r>
        <w:rPr>
          <w:i/>
          <w:sz w:val="24"/>
          <w:lang w:val="en-GB"/>
        </w:rPr>
        <w:t>basing</w:t>
      </w:r>
      <w:r w:rsidRPr="00203F3D">
        <w:rPr>
          <w:i/>
          <w:sz w:val="24"/>
          <w:lang w:val="en-GB"/>
        </w:rPr>
        <w:t xml:space="preserve"> its decision upon a Compensation Agreement </w:t>
      </w:r>
      <w:r>
        <w:rPr>
          <w:i/>
          <w:sz w:val="24"/>
          <w:lang w:val="en-GB"/>
        </w:rPr>
        <w:t>and</w:t>
      </w:r>
      <w:r w:rsidRPr="00203F3D">
        <w:rPr>
          <w:i/>
          <w:sz w:val="24"/>
          <w:lang w:val="en-GB"/>
        </w:rPr>
        <w:t xml:space="preserve"> qualifying its legal effect not only “</w:t>
      </w:r>
      <w:proofErr w:type="spellStart"/>
      <w:r w:rsidRPr="00203F3D">
        <w:rPr>
          <w:i/>
          <w:sz w:val="24"/>
          <w:lang w:val="en-GB"/>
        </w:rPr>
        <w:t>interpartes</w:t>
      </w:r>
      <w:proofErr w:type="spellEnd"/>
      <w:r w:rsidRPr="00203F3D">
        <w:rPr>
          <w:i/>
          <w:sz w:val="24"/>
          <w:lang w:val="en-GB"/>
        </w:rPr>
        <w:t>” but with legal effect also in relation to</w:t>
      </w:r>
      <w:r>
        <w:rPr>
          <w:i/>
          <w:sz w:val="24"/>
          <w:lang w:val="en-GB"/>
        </w:rPr>
        <w:t xml:space="preserve"> </w:t>
      </w:r>
      <w:r w:rsidRPr="00203F3D">
        <w:rPr>
          <w:i/>
          <w:sz w:val="24"/>
          <w:lang w:val="en-GB"/>
        </w:rPr>
        <w:t>third parties - which is contrary to the basic principles of the obligational law</w:t>
      </w:r>
      <w:r w:rsidR="00FF271B" w:rsidRPr="00203F3D">
        <w:rPr>
          <w:i/>
          <w:sz w:val="24"/>
          <w:lang w:val="en-GB"/>
        </w:rPr>
        <w:t xml:space="preserve">.” </w:t>
      </w:r>
    </w:p>
    <w:p w:rsidR="00D229BF" w:rsidRPr="00314A8D" w:rsidRDefault="00D229BF" w:rsidP="00A06B9C">
      <w:pPr>
        <w:pStyle w:val="ListParagraph"/>
        <w:spacing w:line="240" w:lineRule="auto"/>
        <w:rPr>
          <w:sz w:val="24"/>
          <w:lang w:val="en-GB"/>
        </w:rPr>
      </w:pPr>
    </w:p>
    <w:p w:rsidR="00D229BF" w:rsidRPr="004707E7" w:rsidRDefault="00203F3D" w:rsidP="00A06B9C">
      <w:pPr>
        <w:numPr>
          <w:ilvl w:val="0"/>
          <w:numId w:val="63"/>
        </w:numPr>
        <w:spacing w:line="240" w:lineRule="auto"/>
        <w:ind w:left="630" w:hanging="630"/>
        <w:rPr>
          <w:i/>
          <w:sz w:val="24"/>
          <w:lang w:val="en-GB"/>
        </w:rPr>
      </w:pPr>
      <w:r>
        <w:rPr>
          <w:sz w:val="24"/>
          <w:lang w:val="en-GB"/>
        </w:rPr>
        <w:t>T</w:t>
      </w:r>
      <w:r w:rsidRPr="00203F3D">
        <w:rPr>
          <w:sz w:val="24"/>
          <w:lang w:val="en-GB"/>
        </w:rPr>
        <w:t xml:space="preserve">he Applicant also refers to case KI87/18, Applicant </w:t>
      </w:r>
      <w:r w:rsidRPr="00203F3D">
        <w:rPr>
          <w:i/>
          <w:sz w:val="24"/>
          <w:lang w:val="en-GB"/>
        </w:rPr>
        <w:t xml:space="preserve">IF </w:t>
      </w:r>
      <w:proofErr w:type="spellStart"/>
      <w:r w:rsidRPr="00203F3D">
        <w:rPr>
          <w:i/>
          <w:sz w:val="24"/>
          <w:lang w:val="en-GB"/>
        </w:rPr>
        <w:t>Skadiforsikring</w:t>
      </w:r>
      <w:proofErr w:type="spellEnd"/>
      <w:r w:rsidRPr="00203F3D">
        <w:rPr>
          <w:sz w:val="24"/>
          <w:lang w:val="en-GB"/>
        </w:rPr>
        <w:t>, Judgment of 27 February 2019, where the Constitutional Court</w:t>
      </w:r>
      <w:r>
        <w:rPr>
          <w:sz w:val="24"/>
          <w:lang w:val="en-GB"/>
        </w:rPr>
        <w:t xml:space="preserve"> had</w:t>
      </w:r>
      <w:r w:rsidRPr="00203F3D">
        <w:rPr>
          <w:sz w:val="24"/>
          <w:lang w:val="en-GB"/>
        </w:rPr>
        <w:t xml:space="preserve"> found that: </w:t>
      </w:r>
      <w:r w:rsidRPr="004707E7">
        <w:rPr>
          <w:i/>
          <w:sz w:val="24"/>
          <w:lang w:val="en-GB"/>
        </w:rPr>
        <w:t>“T</w:t>
      </w:r>
      <w:r w:rsidRPr="004707E7">
        <w:rPr>
          <w:rFonts w:cs="Arial"/>
          <w:i/>
          <w:sz w:val="24"/>
          <w:shd w:val="clear" w:color="auto" w:fill="FFFFFF"/>
        </w:rPr>
        <w:t xml:space="preserve">he Supreme </w:t>
      </w:r>
      <w:proofErr w:type="spellStart"/>
      <w:r w:rsidRPr="004707E7">
        <w:rPr>
          <w:rFonts w:cs="Arial"/>
          <w:i/>
          <w:sz w:val="24"/>
          <w:shd w:val="clear" w:color="auto" w:fill="FFFFFF"/>
        </w:rPr>
        <w:t>Court</w:t>
      </w:r>
      <w:proofErr w:type="spellEnd"/>
      <w:r w:rsidRPr="004707E7">
        <w:rPr>
          <w:rFonts w:cs="Arial"/>
          <w:i/>
          <w:sz w:val="24"/>
          <w:shd w:val="clear" w:color="auto" w:fill="FFFFFF"/>
        </w:rPr>
        <w:t xml:space="preserve">, as a </w:t>
      </w:r>
      <w:proofErr w:type="spellStart"/>
      <w:r w:rsidRPr="004707E7">
        <w:rPr>
          <w:rFonts w:cs="Arial"/>
          <w:i/>
          <w:sz w:val="24"/>
          <w:shd w:val="clear" w:color="auto" w:fill="FFFFFF"/>
        </w:rPr>
        <w:t>court</w:t>
      </w:r>
      <w:proofErr w:type="spellEnd"/>
      <w:r w:rsidRPr="004707E7">
        <w:rPr>
          <w:rFonts w:cs="Arial"/>
          <w:i/>
          <w:sz w:val="24"/>
          <w:shd w:val="clear" w:color="auto" w:fill="FFFFFF"/>
        </w:rPr>
        <w:t xml:space="preserve"> </w:t>
      </w:r>
      <w:proofErr w:type="spellStart"/>
      <w:r w:rsidRPr="004707E7">
        <w:rPr>
          <w:rFonts w:cs="Arial"/>
          <w:i/>
          <w:sz w:val="24"/>
          <w:shd w:val="clear" w:color="auto" w:fill="FFFFFF"/>
        </w:rPr>
        <w:t>of</w:t>
      </w:r>
      <w:proofErr w:type="spellEnd"/>
      <w:r w:rsidRPr="004707E7">
        <w:rPr>
          <w:rFonts w:cs="Arial"/>
          <w:i/>
          <w:sz w:val="24"/>
          <w:shd w:val="clear" w:color="auto" w:fill="FFFFFF"/>
        </w:rPr>
        <w:t xml:space="preserve"> the </w:t>
      </w:r>
      <w:proofErr w:type="spellStart"/>
      <w:r w:rsidRPr="004707E7">
        <w:rPr>
          <w:rFonts w:cs="Arial"/>
          <w:i/>
          <w:sz w:val="24"/>
          <w:shd w:val="clear" w:color="auto" w:fill="FFFFFF"/>
        </w:rPr>
        <w:t>last</w:t>
      </w:r>
      <w:proofErr w:type="spellEnd"/>
      <w:r w:rsidRPr="004707E7">
        <w:rPr>
          <w:rFonts w:cs="Arial"/>
          <w:i/>
          <w:sz w:val="24"/>
          <w:shd w:val="clear" w:color="auto" w:fill="FFFFFF"/>
        </w:rPr>
        <w:t xml:space="preserve"> instance </w:t>
      </w:r>
      <w:proofErr w:type="spellStart"/>
      <w:r w:rsidRPr="004707E7">
        <w:rPr>
          <w:rFonts w:cs="Arial"/>
          <w:i/>
          <w:sz w:val="24"/>
          <w:shd w:val="clear" w:color="auto" w:fill="FFFFFF"/>
        </w:rPr>
        <w:t>for</w:t>
      </w:r>
      <w:proofErr w:type="spellEnd"/>
      <w:r w:rsidRPr="004707E7">
        <w:rPr>
          <w:rFonts w:cs="Arial"/>
          <w:i/>
          <w:sz w:val="24"/>
          <w:shd w:val="clear" w:color="auto" w:fill="FFFFFF"/>
        </w:rPr>
        <w:t xml:space="preserve"> </w:t>
      </w:r>
      <w:proofErr w:type="spellStart"/>
      <w:r w:rsidRPr="004707E7">
        <w:rPr>
          <w:rFonts w:cs="Arial"/>
          <w:i/>
          <w:sz w:val="24"/>
          <w:shd w:val="clear" w:color="auto" w:fill="FFFFFF"/>
        </w:rPr>
        <w:t>deciding</w:t>
      </w:r>
      <w:proofErr w:type="spellEnd"/>
      <w:r w:rsidRPr="004707E7">
        <w:rPr>
          <w:rFonts w:cs="Arial"/>
          <w:i/>
          <w:sz w:val="24"/>
          <w:shd w:val="clear" w:color="auto" w:fill="FFFFFF"/>
        </w:rPr>
        <w:t xml:space="preserve"> in a </w:t>
      </w:r>
      <w:proofErr w:type="spellStart"/>
      <w:r w:rsidRPr="004707E7">
        <w:rPr>
          <w:rFonts w:cs="Arial"/>
          <w:i/>
          <w:sz w:val="24"/>
          <w:shd w:val="clear" w:color="auto" w:fill="FFFFFF"/>
        </w:rPr>
        <w:t>present</w:t>
      </w:r>
      <w:proofErr w:type="spellEnd"/>
      <w:r w:rsidRPr="004707E7">
        <w:rPr>
          <w:rFonts w:cs="Arial"/>
          <w:i/>
          <w:sz w:val="24"/>
          <w:shd w:val="clear" w:color="auto" w:fill="FFFFFF"/>
        </w:rPr>
        <w:t xml:space="preserve"> </w:t>
      </w:r>
      <w:proofErr w:type="spellStart"/>
      <w:r w:rsidRPr="004707E7">
        <w:rPr>
          <w:rFonts w:cs="Arial"/>
          <w:i/>
          <w:sz w:val="24"/>
          <w:shd w:val="clear" w:color="auto" w:fill="FFFFFF"/>
        </w:rPr>
        <w:t>case</w:t>
      </w:r>
      <w:proofErr w:type="spellEnd"/>
      <w:r w:rsidRPr="004707E7">
        <w:rPr>
          <w:rFonts w:cs="Arial"/>
          <w:i/>
          <w:sz w:val="24"/>
          <w:shd w:val="clear" w:color="auto" w:fill="FFFFFF"/>
        </w:rPr>
        <w:t xml:space="preserve"> </w:t>
      </w:r>
      <w:proofErr w:type="spellStart"/>
      <w:r w:rsidRPr="004707E7">
        <w:rPr>
          <w:rFonts w:cs="Arial"/>
          <w:i/>
          <w:sz w:val="24"/>
          <w:shd w:val="clear" w:color="auto" w:fill="FFFFFF"/>
        </w:rPr>
        <w:t>of</w:t>
      </w:r>
      <w:proofErr w:type="spellEnd"/>
      <w:r w:rsidRPr="004707E7">
        <w:rPr>
          <w:rFonts w:cs="Arial"/>
          <w:i/>
          <w:sz w:val="24"/>
          <w:shd w:val="clear" w:color="auto" w:fill="FFFFFF"/>
        </w:rPr>
        <w:t xml:space="preserve"> the </w:t>
      </w:r>
      <w:proofErr w:type="spellStart"/>
      <w:r w:rsidRPr="004707E7">
        <w:rPr>
          <w:rFonts w:cs="Arial"/>
          <w:i/>
          <w:sz w:val="24"/>
          <w:shd w:val="clear" w:color="auto" w:fill="FFFFFF"/>
        </w:rPr>
        <w:t>Applicant</w:t>
      </w:r>
      <w:proofErr w:type="spellEnd"/>
      <w:r w:rsidRPr="004707E7">
        <w:rPr>
          <w:rFonts w:cs="Arial"/>
          <w:i/>
          <w:sz w:val="24"/>
          <w:shd w:val="clear" w:color="auto" w:fill="FFFFFF"/>
        </w:rPr>
        <w:t xml:space="preserve">, </w:t>
      </w:r>
      <w:proofErr w:type="spellStart"/>
      <w:r w:rsidRPr="004707E7">
        <w:rPr>
          <w:rFonts w:cs="Arial"/>
          <w:i/>
          <w:sz w:val="24"/>
          <w:shd w:val="clear" w:color="auto" w:fill="FFFFFF"/>
        </w:rPr>
        <w:t>taking</w:t>
      </w:r>
      <w:proofErr w:type="spellEnd"/>
      <w:r w:rsidRPr="004707E7">
        <w:rPr>
          <w:rFonts w:cs="Arial"/>
          <w:i/>
          <w:sz w:val="24"/>
          <w:shd w:val="clear" w:color="auto" w:fill="FFFFFF"/>
        </w:rPr>
        <w:t xml:space="preserve"> a </w:t>
      </w:r>
      <w:proofErr w:type="spellStart"/>
      <w:r w:rsidRPr="004707E7">
        <w:rPr>
          <w:rFonts w:cs="Arial"/>
          <w:i/>
          <w:sz w:val="24"/>
          <w:shd w:val="clear" w:color="auto" w:fill="FFFFFF"/>
        </w:rPr>
        <w:t>different</w:t>
      </w:r>
      <w:proofErr w:type="spellEnd"/>
      <w:r w:rsidRPr="004707E7">
        <w:rPr>
          <w:rFonts w:cs="Arial"/>
          <w:i/>
          <w:sz w:val="24"/>
          <w:shd w:val="clear" w:color="auto" w:fill="FFFFFF"/>
        </w:rPr>
        <w:t xml:space="preserve"> </w:t>
      </w:r>
      <w:proofErr w:type="spellStart"/>
      <w:r w:rsidRPr="004707E7">
        <w:rPr>
          <w:rFonts w:cs="Arial"/>
          <w:i/>
          <w:sz w:val="24"/>
          <w:shd w:val="clear" w:color="auto" w:fill="FFFFFF"/>
        </w:rPr>
        <w:t>position</w:t>
      </w:r>
      <w:proofErr w:type="spellEnd"/>
      <w:r w:rsidRPr="004707E7">
        <w:rPr>
          <w:rFonts w:cs="Arial"/>
          <w:i/>
          <w:sz w:val="24"/>
          <w:shd w:val="clear" w:color="auto" w:fill="FFFFFF"/>
        </w:rPr>
        <w:t xml:space="preserve"> in the </w:t>
      </w:r>
      <w:proofErr w:type="spellStart"/>
      <w:r w:rsidRPr="004707E7">
        <w:rPr>
          <w:rFonts w:cs="Arial"/>
          <w:i/>
          <w:sz w:val="24"/>
          <w:shd w:val="clear" w:color="auto" w:fill="FFFFFF"/>
        </w:rPr>
        <w:t>challenged</w:t>
      </w:r>
      <w:proofErr w:type="spellEnd"/>
      <w:r w:rsidRPr="004707E7">
        <w:rPr>
          <w:rFonts w:cs="Arial"/>
          <w:i/>
          <w:sz w:val="24"/>
          <w:shd w:val="clear" w:color="auto" w:fill="FFFFFF"/>
        </w:rPr>
        <w:t xml:space="preserve"> </w:t>
      </w:r>
      <w:proofErr w:type="spellStart"/>
      <w:r w:rsidRPr="004707E7">
        <w:rPr>
          <w:rFonts w:cs="Arial"/>
          <w:i/>
          <w:sz w:val="24"/>
          <w:shd w:val="clear" w:color="auto" w:fill="FFFFFF"/>
        </w:rPr>
        <w:t>judgment</w:t>
      </w:r>
      <w:proofErr w:type="spellEnd"/>
      <w:r w:rsidRPr="004707E7">
        <w:rPr>
          <w:rFonts w:cs="Arial"/>
          <w:i/>
          <w:sz w:val="24"/>
          <w:shd w:val="clear" w:color="auto" w:fill="FFFFFF"/>
        </w:rPr>
        <w:t xml:space="preserve"> in a </w:t>
      </w:r>
      <w:proofErr w:type="spellStart"/>
      <w:r w:rsidRPr="004707E7">
        <w:rPr>
          <w:rFonts w:cs="Arial"/>
          <w:i/>
          <w:sz w:val="24"/>
          <w:shd w:val="clear" w:color="auto" w:fill="FFFFFF"/>
        </w:rPr>
        <w:t>case</w:t>
      </w:r>
      <w:proofErr w:type="spellEnd"/>
      <w:r w:rsidRPr="004707E7">
        <w:rPr>
          <w:rFonts w:cs="Arial"/>
          <w:i/>
          <w:sz w:val="24"/>
          <w:shd w:val="clear" w:color="auto" w:fill="FFFFFF"/>
        </w:rPr>
        <w:t xml:space="preserve"> </w:t>
      </w:r>
      <w:proofErr w:type="spellStart"/>
      <w:r w:rsidRPr="004707E7">
        <w:rPr>
          <w:rFonts w:cs="Arial"/>
          <w:i/>
          <w:sz w:val="24"/>
          <w:shd w:val="clear" w:color="auto" w:fill="FFFFFF"/>
        </w:rPr>
        <w:t>that</w:t>
      </w:r>
      <w:proofErr w:type="spellEnd"/>
      <w:r w:rsidRPr="004707E7">
        <w:rPr>
          <w:rFonts w:cs="Arial"/>
          <w:i/>
          <w:sz w:val="24"/>
          <w:shd w:val="clear" w:color="auto" w:fill="FFFFFF"/>
        </w:rPr>
        <w:t xml:space="preserve"> </w:t>
      </w:r>
      <w:proofErr w:type="spellStart"/>
      <w:r w:rsidRPr="004707E7">
        <w:rPr>
          <w:rFonts w:cs="Arial"/>
          <w:i/>
          <w:sz w:val="24"/>
          <w:shd w:val="clear" w:color="auto" w:fill="FFFFFF"/>
        </w:rPr>
        <w:t>is</w:t>
      </w:r>
      <w:proofErr w:type="spellEnd"/>
      <w:r w:rsidRPr="004707E7">
        <w:rPr>
          <w:rFonts w:cs="Arial"/>
          <w:i/>
          <w:sz w:val="24"/>
          <w:shd w:val="clear" w:color="auto" w:fill="FFFFFF"/>
        </w:rPr>
        <w:t xml:space="preserve"> </w:t>
      </w:r>
      <w:proofErr w:type="spellStart"/>
      <w:r w:rsidRPr="004707E7">
        <w:rPr>
          <w:rFonts w:cs="Arial"/>
          <w:i/>
          <w:sz w:val="24"/>
          <w:shd w:val="clear" w:color="auto" w:fill="FFFFFF"/>
        </w:rPr>
        <w:t>completely</w:t>
      </w:r>
      <w:proofErr w:type="spellEnd"/>
      <w:r w:rsidRPr="004707E7">
        <w:rPr>
          <w:rFonts w:cs="Arial"/>
          <w:i/>
          <w:sz w:val="24"/>
          <w:shd w:val="clear" w:color="auto" w:fill="FFFFFF"/>
        </w:rPr>
        <w:t xml:space="preserve"> </w:t>
      </w:r>
      <w:proofErr w:type="spellStart"/>
      <w:r w:rsidRPr="004707E7">
        <w:rPr>
          <w:rFonts w:cs="Arial"/>
          <w:i/>
          <w:sz w:val="24"/>
          <w:shd w:val="clear" w:color="auto" w:fill="FFFFFF"/>
        </w:rPr>
        <w:t>identical</w:t>
      </w:r>
      <w:proofErr w:type="spellEnd"/>
      <w:r w:rsidRPr="004707E7">
        <w:rPr>
          <w:rFonts w:cs="Arial"/>
          <w:i/>
          <w:sz w:val="24"/>
          <w:shd w:val="clear" w:color="auto" w:fill="FFFFFF"/>
        </w:rPr>
        <w:t xml:space="preserve"> or </w:t>
      </w:r>
      <w:proofErr w:type="spellStart"/>
      <w:r w:rsidRPr="004707E7">
        <w:rPr>
          <w:rFonts w:cs="Arial"/>
          <w:i/>
          <w:sz w:val="24"/>
          <w:shd w:val="clear" w:color="auto" w:fill="FFFFFF"/>
        </w:rPr>
        <w:t>similar</w:t>
      </w:r>
      <w:proofErr w:type="spellEnd"/>
      <w:r w:rsidRPr="004707E7">
        <w:rPr>
          <w:rFonts w:cs="Arial"/>
          <w:i/>
          <w:sz w:val="24"/>
          <w:shd w:val="clear" w:color="auto" w:fill="FFFFFF"/>
        </w:rPr>
        <w:t xml:space="preserve"> to </w:t>
      </w:r>
      <w:proofErr w:type="spellStart"/>
      <w:r w:rsidRPr="004707E7">
        <w:rPr>
          <w:rFonts w:cs="Arial"/>
          <w:i/>
          <w:sz w:val="24"/>
          <w:shd w:val="clear" w:color="auto" w:fill="FFFFFF"/>
        </w:rPr>
        <w:t>other</w:t>
      </w:r>
      <w:proofErr w:type="spellEnd"/>
      <w:r w:rsidRPr="004707E7">
        <w:rPr>
          <w:rFonts w:cs="Arial"/>
          <w:i/>
          <w:sz w:val="24"/>
          <w:shd w:val="clear" w:color="auto" w:fill="FFFFFF"/>
        </w:rPr>
        <w:t xml:space="preserve"> </w:t>
      </w:r>
      <w:proofErr w:type="spellStart"/>
      <w:r w:rsidRPr="004707E7">
        <w:rPr>
          <w:rFonts w:cs="Arial"/>
          <w:i/>
          <w:sz w:val="24"/>
          <w:shd w:val="clear" w:color="auto" w:fill="FFFFFF"/>
        </w:rPr>
        <w:t>cases</w:t>
      </w:r>
      <w:proofErr w:type="spellEnd"/>
      <w:r w:rsidRPr="004707E7">
        <w:rPr>
          <w:rFonts w:cs="Arial"/>
          <w:i/>
          <w:sz w:val="24"/>
          <w:shd w:val="clear" w:color="auto" w:fill="FFFFFF"/>
        </w:rPr>
        <w:t xml:space="preserve">, </w:t>
      </w:r>
      <w:proofErr w:type="spellStart"/>
      <w:r w:rsidRPr="004707E7">
        <w:rPr>
          <w:rFonts w:cs="Arial"/>
          <w:i/>
          <w:sz w:val="24"/>
          <w:shd w:val="clear" w:color="auto" w:fill="FFFFFF"/>
        </w:rPr>
        <w:t>without</w:t>
      </w:r>
      <w:proofErr w:type="spellEnd"/>
      <w:r w:rsidRPr="004707E7">
        <w:rPr>
          <w:rFonts w:cs="Arial"/>
          <w:i/>
          <w:sz w:val="24"/>
          <w:shd w:val="clear" w:color="auto" w:fill="FFFFFF"/>
        </w:rPr>
        <w:t xml:space="preserve"> </w:t>
      </w:r>
      <w:proofErr w:type="spellStart"/>
      <w:r w:rsidRPr="004707E7">
        <w:rPr>
          <w:rFonts w:cs="Arial"/>
          <w:i/>
          <w:sz w:val="24"/>
          <w:shd w:val="clear" w:color="auto" w:fill="FFFFFF"/>
        </w:rPr>
        <w:t>providing</w:t>
      </w:r>
      <w:proofErr w:type="spellEnd"/>
      <w:r w:rsidRPr="004707E7">
        <w:rPr>
          <w:rFonts w:cs="Arial"/>
          <w:i/>
          <w:sz w:val="24"/>
          <w:shd w:val="clear" w:color="auto" w:fill="FFFFFF"/>
        </w:rPr>
        <w:t xml:space="preserve"> a </w:t>
      </w:r>
      <w:proofErr w:type="spellStart"/>
      <w:r w:rsidRPr="004707E7">
        <w:rPr>
          <w:rFonts w:cs="Arial"/>
          <w:i/>
          <w:sz w:val="24"/>
          <w:shd w:val="clear" w:color="auto" w:fill="FFFFFF"/>
        </w:rPr>
        <w:t>clear</w:t>
      </w:r>
      <w:proofErr w:type="spellEnd"/>
      <w:r w:rsidRPr="004707E7">
        <w:rPr>
          <w:rFonts w:cs="Arial"/>
          <w:i/>
          <w:sz w:val="24"/>
          <w:shd w:val="clear" w:color="auto" w:fill="FFFFFF"/>
        </w:rPr>
        <w:t xml:space="preserve"> </w:t>
      </w:r>
      <w:proofErr w:type="spellStart"/>
      <w:r w:rsidRPr="004707E7">
        <w:rPr>
          <w:rFonts w:cs="Arial"/>
          <w:i/>
          <w:sz w:val="24"/>
          <w:shd w:val="clear" w:color="auto" w:fill="FFFFFF"/>
        </w:rPr>
        <w:t>and</w:t>
      </w:r>
      <w:proofErr w:type="spellEnd"/>
      <w:r w:rsidRPr="004707E7">
        <w:rPr>
          <w:rFonts w:cs="Arial"/>
          <w:i/>
          <w:sz w:val="24"/>
          <w:shd w:val="clear" w:color="auto" w:fill="FFFFFF"/>
        </w:rPr>
        <w:t xml:space="preserve"> </w:t>
      </w:r>
      <w:proofErr w:type="spellStart"/>
      <w:r w:rsidRPr="004707E7">
        <w:rPr>
          <w:rFonts w:cs="Arial"/>
          <w:i/>
          <w:sz w:val="24"/>
          <w:shd w:val="clear" w:color="auto" w:fill="FFFFFF"/>
        </w:rPr>
        <w:t>sufficient</w:t>
      </w:r>
      <w:proofErr w:type="spellEnd"/>
      <w:r w:rsidRPr="004707E7">
        <w:rPr>
          <w:rFonts w:cs="Arial"/>
          <w:i/>
          <w:sz w:val="24"/>
          <w:shd w:val="clear" w:color="auto" w:fill="FFFFFF"/>
        </w:rPr>
        <w:t xml:space="preserve"> </w:t>
      </w:r>
      <w:proofErr w:type="spellStart"/>
      <w:r w:rsidRPr="004707E7">
        <w:rPr>
          <w:rFonts w:cs="Arial"/>
          <w:i/>
          <w:sz w:val="24"/>
          <w:shd w:val="clear" w:color="auto" w:fill="FFFFFF"/>
        </w:rPr>
        <w:t>reasoning</w:t>
      </w:r>
      <w:proofErr w:type="spellEnd"/>
      <w:r w:rsidRPr="004707E7">
        <w:rPr>
          <w:rFonts w:cs="Arial"/>
          <w:i/>
          <w:sz w:val="24"/>
          <w:shd w:val="clear" w:color="auto" w:fill="FFFFFF"/>
        </w:rPr>
        <w:t xml:space="preserve"> </w:t>
      </w:r>
      <w:proofErr w:type="spellStart"/>
      <w:r w:rsidRPr="004707E7">
        <w:rPr>
          <w:rFonts w:cs="Arial"/>
          <w:i/>
          <w:sz w:val="24"/>
          <w:shd w:val="clear" w:color="auto" w:fill="FFFFFF"/>
        </w:rPr>
        <w:t>for</w:t>
      </w:r>
      <w:proofErr w:type="spellEnd"/>
      <w:r w:rsidRPr="004707E7">
        <w:rPr>
          <w:rFonts w:cs="Arial"/>
          <w:i/>
          <w:sz w:val="24"/>
          <w:shd w:val="clear" w:color="auto" w:fill="FFFFFF"/>
        </w:rPr>
        <w:t xml:space="preserve"> </w:t>
      </w:r>
      <w:proofErr w:type="spellStart"/>
      <w:r w:rsidRPr="004707E7">
        <w:rPr>
          <w:rFonts w:cs="Arial"/>
          <w:i/>
          <w:sz w:val="24"/>
          <w:shd w:val="clear" w:color="auto" w:fill="FFFFFF"/>
        </w:rPr>
        <w:t>this</w:t>
      </w:r>
      <w:proofErr w:type="spellEnd"/>
      <w:r w:rsidRPr="004707E7">
        <w:rPr>
          <w:rFonts w:cs="Arial"/>
          <w:i/>
          <w:sz w:val="24"/>
          <w:shd w:val="clear" w:color="auto" w:fill="FFFFFF"/>
        </w:rPr>
        <w:t xml:space="preserve">, </w:t>
      </w:r>
      <w:proofErr w:type="spellStart"/>
      <w:r w:rsidRPr="004707E7">
        <w:rPr>
          <w:rFonts w:cs="Arial"/>
          <w:i/>
          <w:sz w:val="24"/>
          <w:shd w:val="clear" w:color="auto" w:fill="FFFFFF"/>
        </w:rPr>
        <w:t>violated</w:t>
      </w:r>
      <w:proofErr w:type="spellEnd"/>
      <w:r w:rsidRPr="004707E7">
        <w:rPr>
          <w:rFonts w:cs="Arial"/>
          <w:i/>
          <w:sz w:val="24"/>
          <w:shd w:val="clear" w:color="auto" w:fill="FFFFFF"/>
        </w:rPr>
        <w:t xml:space="preserve"> the </w:t>
      </w:r>
      <w:proofErr w:type="spellStart"/>
      <w:r w:rsidRPr="004707E7">
        <w:rPr>
          <w:rFonts w:cs="Arial"/>
          <w:i/>
          <w:sz w:val="24"/>
          <w:shd w:val="clear" w:color="auto" w:fill="FFFFFF"/>
        </w:rPr>
        <w:t>rights</w:t>
      </w:r>
      <w:proofErr w:type="spellEnd"/>
      <w:r w:rsidRPr="004707E7">
        <w:rPr>
          <w:rFonts w:cs="Arial"/>
          <w:i/>
          <w:sz w:val="24"/>
          <w:shd w:val="clear" w:color="auto" w:fill="FFFFFF"/>
        </w:rPr>
        <w:t xml:space="preserve"> </w:t>
      </w:r>
      <w:proofErr w:type="spellStart"/>
      <w:r w:rsidRPr="004707E7">
        <w:rPr>
          <w:rFonts w:cs="Arial"/>
          <w:i/>
          <w:sz w:val="24"/>
          <w:shd w:val="clear" w:color="auto" w:fill="FFFFFF"/>
        </w:rPr>
        <w:t>of</w:t>
      </w:r>
      <w:proofErr w:type="spellEnd"/>
      <w:r w:rsidRPr="004707E7">
        <w:rPr>
          <w:rFonts w:cs="Arial"/>
          <w:i/>
          <w:sz w:val="24"/>
          <w:shd w:val="clear" w:color="auto" w:fill="FFFFFF"/>
        </w:rPr>
        <w:t xml:space="preserve"> the </w:t>
      </w:r>
      <w:proofErr w:type="spellStart"/>
      <w:r w:rsidRPr="004707E7">
        <w:rPr>
          <w:rFonts w:cs="Arial"/>
          <w:i/>
          <w:sz w:val="24"/>
          <w:shd w:val="clear" w:color="auto" w:fill="FFFFFF"/>
        </w:rPr>
        <w:t>Applicant</w:t>
      </w:r>
      <w:proofErr w:type="spellEnd"/>
      <w:r w:rsidRPr="004707E7">
        <w:rPr>
          <w:rFonts w:cs="Arial"/>
          <w:i/>
          <w:sz w:val="24"/>
          <w:shd w:val="clear" w:color="auto" w:fill="FFFFFF"/>
        </w:rPr>
        <w:t xml:space="preserve"> to a </w:t>
      </w:r>
      <w:proofErr w:type="spellStart"/>
      <w:r w:rsidRPr="004707E7">
        <w:rPr>
          <w:rFonts w:cs="Arial"/>
          <w:i/>
          <w:sz w:val="24"/>
          <w:shd w:val="clear" w:color="auto" w:fill="FFFFFF"/>
        </w:rPr>
        <w:t>reasoned</w:t>
      </w:r>
      <w:proofErr w:type="spellEnd"/>
      <w:r w:rsidRPr="004707E7">
        <w:rPr>
          <w:rFonts w:cs="Arial"/>
          <w:i/>
          <w:sz w:val="24"/>
          <w:shd w:val="clear" w:color="auto" w:fill="FFFFFF"/>
        </w:rPr>
        <w:t xml:space="preserve"> </w:t>
      </w:r>
      <w:proofErr w:type="spellStart"/>
      <w:r w:rsidRPr="004707E7">
        <w:rPr>
          <w:rFonts w:cs="Arial"/>
          <w:i/>
          <w:sz w:val="24"/>
          <w:shd w:val="clear" w:color="auto" w:fill="FFFFFF"/>
        </w:rPr>
        <w:t>court</w:t>
      </w:r>
      <w:proofErr w:type="spellEnd"/>
      <w:r w:rsidRPr="004707E7">
        <w:rPr>
          <w:rFonts w:cs="Arial"/>
          <w:i/>
          <w:sz w:val="24"/>
          <w:shd w:val="clear" w:color="auto" w:fill="FFFFFF"/>
        </w:rPr>
        <w:t xml:space="preserve"> </w:t>
      </w:r>
      <w:proofErr w:type="spellStart"/>
      <w:r w:rsidRPr="004707E7">
        <w:rPr>
          <w:rFonts w:cs="Arial"/>
          <w:i/>
          <w:sz w:val="24"/>
          <w:shd w:val="clear" w:color="auto" w:fill="FFFFFF"/>
        </w:rPr>
        <w:t>decision</w:t>
      </w:r>
      <w:proofErr w:type="spellEnd"/>
      <w:r w:rsidR="004707E7" w:rsidRPr="004707E7">
        <w:rPr>
          <w:rFonts w:cs="Arial"/>
          <w:i/>
          <w:sz w:val="24"/>
          <w:shd w:val="clear" w:color="auto" w:fill="FFFFFF"/>
        </w:rPr>
        <w:t xml:space="preserve">. </w:t>
      </w:r>
      <w:proofErr w:type="spellStart"/>
      <w:r w:rsidR="004707E7" w:rsidRPr="004707E7">
        <w:rPr>
          <w:rFonts w:cs="Arial"/>
          <w:i/>
          <w:sz w:val="24"/>
          <w:shd w:val="clear" w:color="auto" w:fill="FFFFFF"/>
        </w:rPr>
        <w:t>This</w:t>
      </w:r>
      <w:proofErr w:type="spellEnd"/>
      <w:r w:rsidRPr="004707E7">
        <w:rPr>
          <w:rFonts w:cs="Arial"/>
          <w:i/>
          <w:sz w:val="24"/>
          <w:shd w:val="clear" w:color="auto" w:fill="FFFFFF"/>
        </w:rPr>
        <w:t xml:space="preserve"> </w:t>
      </w:r>
      <w:proofErr w:type="spellStart"/>
      <w:r w:rsidRPr="004707E7">
        <w:rPr>
          <w:rFonts w:cs="Arial"/>
          <w:i/>
          <w:sz w:val="24"/>
          <w:shd w:val="clear" w:color="auto" w:fill="FFFFFF"/>
        </w:rPr>
        <w:t>led</w:t>
      </w:r>
      <w:proofErr w:type="spellEnd"/>
      <w:r w:rsidRPr="004707E7">
        <w:rPr>
          <w:rFonts w:cs="Arial"/>
          <w:i/>
          <w:sz w:val="24"/>
          <w:shd w:val="clear" w:color="auto" w:fill="FFFFFF"/>
        </w:rPr>
        <w:t xml:space="preserve"> to the </w:t>
      </w:r>
      <w:proofErr w:type="spellStart"/>
      <w:r w:rsidRPr="004707E7">
        <w:rPr>
          <w:rFonts w:cs="Arial"/>
          <w:i/>
          <w:sz w:val="24"/>
          <w:shd w:val="clear" w:color="auto" w:fill="FFFFFF"/>
        </w:rPr>
        <w:t>violation</w:t>
      </w:r>
      <w:proofErr w:type="spellEnd"/>
      <w:r w:rsidRPr="004707E7">
        <w:rPr>
          <w:rFonts w:cs="Arial"/>
          <w:i/>
          <w:sz w:val="24"/>
          <w:shd w:val="clear" w:color="auto" w:fill="FFFFFF"/>
        </w:rPr>
        <w:t xml:space="preserve"> </w:t>
      </w:r>
      <w:proofErr w:type="spellStart"/>
      <w:r w:rsidRPr="004707E7">
        <w:rPr>
          <w:rFonts w:cs="Arial"/>
          <w:i/>
          <w:sz w:val="24"/>
          <w:shd w:val="clear" w:color="auto" w:fill="FFFFFF"/>
        </w:rPr>
        <w:t>of</w:t>
      </w:r>
      <w:proofErr w:type="spellEnd"/>
      <w:r w:rsidRPr="004707E7">
        <w:rPr>
          <w:rFonts w:cs="Arial"/>
          <w:i/>
          <w:sz w:val="24"/>
          <w:shd w:val="clear" w:color="auto" w:fill="FFFFFF"/>
        </w:rPr>
        <w:t xml:space="preserve"> the </w:t>
      </w:r>
      <w:proofErr w:type="spellStart"/>
      <w:r w:rsidRPr="004707E7">
        <w:rPr>
          <w:rFonts w:cs="Arial"/>
          <w:i/>
          <w:sz w:val="24"/>
          <w:shd w:val="clear" w:color="auto" w:fill="FFFFFF"/>
        </w:rPr>
        <w:t>principle</w:t>
      </w:r>
      <w:proofErr w:type="spellEnd"/>
      <w:r w:rsidRPr="004707E7">
        <w:rPr>
          <w:rFonts w:cs="Arial"/>
          <w:i/>
          <w:sz w:val="24"/>
          <w:shd w:val="clear" w:color="auto" w:fill="FFFFFF"/>
        </w:rPr>
        <w:t xml:space="preserve"> </w:t>
      </w:r>
      <w:proofErr w:type="spellStart"/>
      <w:r w:rsidRPr="004707E7">
        <w:rPr>
          <w:rFonts w:cs="Arial"/>
          <w:i/>
          <w:sz w:val="24"/>
          <w:shd w:val="clear" w:color="auto" w:fill="FFFFFF"/>
        </w:rPr>
        <w:t>of</w:t>
      </w:r>
      <w:proofErr w:type="spellEnd"/>
      <w:r w:rsidRPr="004707E7">
        <w:rPr>
          <w:rFonts w:cs="Arial"/>
          <w:i/>
          <w:sz w:val="24"/>
          <w:shd w:val="clear" w:color="auto" w:fill="FFFFFF"/>
        </w:rPr>
        <w:t xml:space="preserve"> legal </w:t>
      </w:r>
      <w:proofErr w:type="spellStart"/>
      <w:r w:rsidRPr="004707E7">
        <w:rPr>
          <w:rFonts w:cs="Arial"/>
          <w:i/>
          <w:sz w:val="24"/>
          <w:shd w:val="clear" w:color="auto" w:fill="FFFFFF"/>
        </w:rPr>
        <w:t>certainty</w:t>
      </w:r>
      <w:proofErr w:type="spellEnd"/>
      <w:r w:rsidRPr="004707E7">
        <w:rPr>
          <w:rFonts w:cs="Arial"/>
          <w:i/>
          <w:sz w:val="24"/>
          <w:shd w:val="clear" w:color="auto" w:fill="FFFFFF"/>
        </w:rPr>
        <w:t xml:space="preserve">, as </w:t>
      </w:r>
      <w:proofErr w:type="spellStart"/>
      <w:r w:rsidRPr="004707E7">
        <w:rPr>
          <w:rFonts w:cs="Arial"/>
          <w:i/>
          <w:sz w:val="24"/>
          <w:shd w:val="clear" w:color="auto" w:fill="FFFFFF"/>
        </w:rPr>
        <w:t>one</w:t>
      </w:r>
      <w:proofErr w:type="spellEnd"/>
      <w:r w:rsidRPr="004707E7">
        <w:rPr>
          <w:rFonts w:cs="Arial"/>
          <w:i/>
          <w:sz w:val="24"/>
          <w:shd w:val="clear" w:color="auto" w:fill="FFFFFF"/>
        </w:rPr>
        <w:t xml:space="preserve"> </w:t>
      </w:r>
      <w:proofErr w:type="spellStart"/>
      <w:r w:rsidRPr="004707E7">
        <w:rPr>
          <w:rFonts w:cs="Arial"/>
          <w:i/>
          <w:sz w:val="24"/>
          <w:shd w:val="clear" w:color="auto" w:fill="FFFFFF"/>
        </w:rPr>
        <w:t>of</w:t>
      </w:r>
      <w:proofErr w:type="spellEnd"/>
      <w:r w:rsidRPr="004707E7">
        <w:rPr>
          <w:rFonts w:cs="Arial"/>
          <w:i/>
          <w:sz w:val="24"/>
          <w:shd w:val="clear" w:color="auto" w:fill="FFFFFF"/>
        </w:rPr>
        <w:t xml:space="preserve"> the </w:t>
      </w:r>
      <w:proofErr w:type="spellStart"/>
      <w:r w:rsidRPr="004707E7">
        <w:rPr>
          <w:rFonts w:cs="Arial"/>
          <w:i/>
          <w:sz w:val="24"/>
          <w:shd w:val="clear" w:color="auto" w:fill="FFFFFF"/>
        </w:rPr>
        <w:t>basic</w:t>
      </w:r>
      <w:proofErr w:type="spellEnd"/>
      <w:r w:rsidRPr="004707E7">
        <w:rPr>
          <w:rFonts w:cs="Arial"/>
          <w:i/>
          <w:sz w:val="24"/>
          <w:shd w:val="clear" w:color="auto" w:fill="FFFFFF"/>
        </w:rPr>
        <w:t xml:space="preserve"> </w:t>
      </w:r>
      <w:proofErr w:type="spellStart"/>
      <w:r w:rsidRPr="004707E7">
        <w:rPr>
          <w:rFonts w:cs="Arial"/>
          <w:i/>
          <w:sz w:val="24"/>
          <w:shd w:val="clear" w:color="auto" w:fill="FFFFFF"/>
        </w:rPr>
        <w:t>components</w:t>
      </w:r>
      <w:proofErr w:type="spellEnd"/>
      <w:r w:rsidRPr="004707E7">
        <w:rPr>
          <w:rFonts w:cs="Arial"/>
          <w:i/>
          <w:sz w:val="24"/>
          <w:shd w:val="clear" w:color="auto" w:fill="FFFFFF"/>
        </w:rPr>
        <w:t xml:space="preserve"> </w:t>
      </w:r>
      <w:proofErr w:type="spellStart"/>
      <w:r w:rsidRPr="004707E7">
        <w:rPr>
          <w:rFonts w:cs="Arial"/>
          <w:i/>
          <w:sz w:val="24"/>
          <w:shd w:val="clear" w:color="auto" w:fill="FFFFFF"/>
        </w:rPr>
        <w:t>of</w:t>
      </w:r>
      <w:proofErr w:type="spellEnd"/>
      <w:r w:rsidRPr="004707E7">
        <w:rPr>
          <w:rFonts w:cs="Arial"/>
          <w:i/>
          <w:sz w:val="24"/>
          <w:shd w:val="clear" w:color="auto" w:fill="FFFFFF"/>
        </w:rPr>
        <w:t xml:space="preserve"> the rule </w:t>
      </w:r>
      <w:proofErr w:type="spellStart"/>
      <w:r w:rsidRPr="004707E7">
        <w:rPr>
          <w:rFonts w:cs="Arial"/>
          <w:i/>
          <w:sz w:val="24"/>
          <w:shd w:val="clear" w:color="auto" w:fill="FFFFFF"/>
        </w:rPr>
        <w:t>of</w:t>
      </w:r>
      <w:proofErr w:type="spellEnd"/>
      <w:r w:rsidRPr="004707E7">
        <w:rPr>
          <w:rFonts w:cs="Arial"/>
          <w:i/>
          <w:sz w:val="24"/>
          <w:shd w:val="clear" w:color="auto" w:fill="FFFFFF"/>
        </w:rPr>
        <w:t xml:space="preserve"> </w:t>
      </w:r>
      <w:proofErr w:type="spellStart"/>
      <w:r w:rsidRPr="004707E7">
        <w:rPr>
          <w:rFonts w:cs="Arial"/>
          <w:i/>
          <w:sz w:val="24"/>
          <w:shd w:val="clear" w:color="auto" w:fill="FFFFFF"/>
        </w:rPr>
        <w:t>law</w:t>
      </w:r>
      <w:proofErr w:type="spellEnd"/>
      <w:r w:rsidRPr="004707E7">
        <w:rPr>
          <w:rFonts w:cs="Arial"/>
          <w:i/>
          <w:sz w:val="24"/>
          <w:shd w:val="clear" w:color="auto" w:fill="FFFFFF"/>
        </w:rPr>
        <w:t xml:space="preserve">, </w:t>
      </w:r>
      <w:proofErr w:type="spellStart"/>
      <w:r w:rsidRPr="004707E7">
        <w:rPr>
          <w:rFonts w:cs="Arial"/>
          <w:i/>
          <w:sz w:val="24"/>
          <w:shd w:val="clear" w:color="auto" w:fill="FFFFFF"/>
        </w:rPr>
        <w:t>which</w:t>
      </w:r>
      <w:proofErr w:type="spellEnd"/>
      <w:r w:rsidRPr="004707E7">
        <w:rPr>
          <w:rFonts w:cs="Arial"/>
          <w:i/>
          <w:sz w:val="24"/>
          <w:shd w:val="clear" w:color="auto" w:fill="FFFFFF"/>
        </w:rPr>
        <w:t xml:space="preserve"> </w:t>
      </w:r>
      <w:proofErr w:type="spellStart"/>
      <w:r w:rsidRPr="004707E7">
        <w:rPr>
          <w:rFonts w:cs="Arial"/>
          <w:i/>
          <w:sz w:val="24"/>
          <w:shd w:val="clear" w:color="auto" w:fill="FFFFFF"/>
        </w:rPr>
        <w:t>is</w:t>
      </w:r>
      <w:proofErr w:type="spellEnd"/>
      <w:r w:rsidRPr="004707E7">
        <w:rPr>
          <w:rFonts w:cs="Arial"/>
          <w:i/>
          <w:sz w:val="24"/>
          <w:shd w:val="clear" w:color="auto" w:fill="FFFFFF"/>
        </w:rPr>
        <w:t xml:space="preserve"> </w:t>
      </w:r>
      <w:proofErr w:type="spellStart"/>
      <w:r w:rsidRPr="004707E7">
        <w:rPr>
          <w:rFonts w:cs="Arial"/>
          <w:i/>
          <w:sz w:val="24"/>
          <w:shd w:val="clear" w:color="auto" w:fill="FFFFFF"/>
        </w:rPr>
        <w:t>also</w:t>
      </w:r>
      <w:proofErr w:type="spellEnd"/>
      <w:r w:rsidRPr="004707E7">
        <w:rPr>
          <w:rFonts w:cs="Arial"/>
          <w:i/>
          <w:sz w:val="24"/>
          <w:shd w:val="clear" w:color="auto" w:fill="FFFFFF"/>
        </w:rPr>
        <w:t xml:space="preserve"> an </w:t>
      </w:r>
      <w:proofErr w:type="spellStart"/>
      <w:r w:rsidRPr="004707E7">
        <w:rPr>
          <w:rFonts w:cs="Arial"/>
          <w:i/>
          <w:sz w:val="24"/>
          <w:shd w:val="clear" w:color="auto" w:fill="FFFFFF"/>
        </w:rPr>
        <w:t>inseparable</w:t>
      </w:r>
      <w:proofErr w:type="spellEnd"/>
      <w:r w:rsidRPr="004707E7">
        <w:rPr>
          <w:rFonts w:cs="Arial"/>
          <w:i/>
          <w:sz w:val="24"/>
          <w:shd w:val="clear" w:color="auto" w:fill="FFFFFF"/>
        </w:rPr>
        <w:t xml:space="preserve"> element </w:t>
      </w:r>
      <w:proofErr w:type="spellStart"/>
      <w:r w:rsidRPr="004707E7">
        <w:rPr>
          <w:rFonts w:cs="Arial"/>
          <w:i/>
          <w:sz w:val="24"/>
          <w:shd w:val="clear" w:color="auto" w:fill="FFFFFF"/>
        </w:rPr>
        <w:t>of</w:t>
      </w:r>
      <w:proofErr w:type="spellEnd"/>
      <w:r w:rsidRPr="004707E7">
        <w:rPr>
          <w:rFonts w:cs="Arial"/>
          <w:i/>
          <w:sz w:val="24"/>
          <w:shd w:val="clear" w:color="auto" w:fill="FFFFFF"/>
        </w:rPr>
        <w:t xml:space="preserve"> the </w:t>
      </w:r>
      <w:proofErr w:type="spellStart"/>
      <w:r w:rsidRPr="004707E7">
        <w:rPr>
          <w:rFonts w:cs="Arial"/>
          <w:i/>
          <w:sz w:val="24"/>
          <w:shd w:val="clear" w:color="auto" w:fill="FFFFFF"/>
        </w:rPr>
        <w:t>right</w:t>
      </w:r>
      <w:proofErr w:type="spellEnd"/>
      <w:r w:rsidRPr="004707E7">
        <w:rPr>
          <w:rFonts w:cs="Arial"/>
          <w:i/>
          <w:sz w:val="24"/>
          <w:shd w:val="clear" w:color="auto" w:fill="FFFFFF"/>
        </w:rPr>
        <w:t xml:space="preserve"> to a </w:t>
      </w:r>
      <w:proofErr w:type="spellStart"/>
      <w:r w:rsidRPr="004707E7">
        <w:rPr>
          <w:rFonts w:cs="Arial"/>
          <w:i/>
          <w:sz w:val="24"/>
          <w:shd w:val="clear" w:color="auto" w:fill="FFFFFF"/>
        </w:rPr>
        <w:t>fair</w:t>
      </w:r>
      <w:proofErr w:type="spellEnd"/>
      <w:r w:rsidRPr="004707E7">
        <w:rPr>
          <w:rFonts w:cs="Arial"/>
          <w:i/>
          <w:sz w:val="24"/>
          <w:shd w:val="clear" w:color="auto" w:fill="FFFFFF"/>
        </w:rPr>
        <w:t xml:space="preserve"> trial </w:t>
      </w:r>
      <w:proofErr w:type="spellStart"/>
      <w:r w:rsidRPr="004707E7">
        <w:rPr>
          <w:rFonts w:cs="Arial"/>
          <w:i/>
          <w:sz w:val="24"/>
          <w:shd w:val="clear" w:color="auto" w:fill="FFFFFF"/>
        </w:rPr>
        <w:t>under</w:t>
      </w:r>
      <w:proofErr w:type="spellEnd"/>
      <w:r w:rsidRPr="004707E7">
        <w:rPr>
          <w:rFonts w:cs="Arial"/>
          <w:i/>
          <w:sz w:val="24"/>
          <w:shd w:val="clear" w:color="auto" w:fill="FFFFFF"/>
        </w:rPr>
        <w:t xml:space="preserve"> </w:t>
      </w:r>
      <w:proofErr w:type="spellStart"/>
      <w:r w:rsidRPr="004707E7">
        <w:rPr>
          <w:rFonts w:cs="Arial"/>
          <w:i/>
          <w:sz w:val="24"/>
          <w:shd w:val="clear" w:color="auto" w:fill="FFFFFF"/>
        </w:rPr>
        <w:t>Article</w:t>
      </w:r>
      <w:proofErr w:type="spellEnd"/>
      <w:r w:rsidRPr="004707E7">
        <w:rPr>
          <w:rFonts w:cs="Arial"/>
          <w:i/>
          <w:sz w:val="24"/>
          <w:shd w:val="clear" w:color="auto" w:fill="FFFFFF"/>
        </w:rPr>
        <w:t xml:space="preserve"> 31 </w:t>
      </w:r>
      <w:proofErr w:type="spellStart"/>
      <w:r w:rsidRPr="004707E7">
        <w:rPr>
          <w:rFonts w:cs="Arial"/>
          <w:i/>
          <w:sz w:val="24"/>
          <w:shd w:val="clear" w:color="auto" w:fill="FFFFFF"/>
        </w:rPr>
        <w:t>of</w:t>
      </w:r>
      <w:proofErr w:type="spellEnd"/>
      <w:r w:rsidRPr="004707E7">
        <w:rPr>
          <w:rFonts w:cs="Arial"/>
          <w:i/>
          <w:sz w:val="24"/>
          <w:shd w:val="clear" w:color="auto" w:fill="FFFFFF"/>
        </w:rPr>
        <w:t xml:space="preserve"> the </w:t>
      </w:r>
      <w:proofErr w:type="spellStart"/>
      <w:r w:rsidRPr="004707E7">
        <w:rPr>
          <w:rFonts w:cs="Arial"/>
          <w:i/>
          <w:sz w:val="24"/>
          <w:shd w:val="clear" w:color="auto" w:fill="FFFFFF"/>
        </w:rPr>
        <w:t>Constitution</w:t>
      </w:r>
      <w:proofErr w:type="spellEnd"/>
      <w:r w:rsidRPr="004707E7">
        <w:rPr>
          <w:rFonts w:cs="Arial"/>
          <w:i/>
          <w:sz w:val="24"/>
          <w:shd w:val="clear" w:color="auto" w:fill="FFFFFF"/>
        </w:rPr>
        <w:t xml:space="preserve"> </w:t>
      </w:r>
      <w:proofErr w:type="spellStart"/>
      <w:r w:rsidRPr="004707E7">
        <w:rPr>
          <w:rFonts w:cs="Arial"/>
          <w:i/>
          <w:sz w:val="24"/>
          <w:shd w:val="clear" w:color="auto" w:fill="FFFFFF"/>
        </w:rPr>
        <w:t>and</w:t>
      </w:r>
      <w:proofErr w:type="spellEnd"/>
      <w:r w:rsidRPr="004707E7">
        <w:rPr>
          <w:rFonts w:cs="Arial"/>
          <w:i/>
          <w:sz w:val="24"/>
          <w:shd w:val="clear" w:color="auto" w:fill="FFFFFF"/>
        </w:rPr>
        <w:t xml:space="preserve"> </w:t>
      </w:r>
      <w:proofErr w:type="spellStart"/>
      <w:r w:rsidRPr="004707E7">
        <w:rPr>
          <w:rFonts w:cs="Arial"/>
          <w:i/>
          <w:sz w:val="24"/>
          <w:shd w:val="clear" w:color="auto" w:fill="FFFFFF"/>
        </w:rPr>
        <w:t>Article</w:t>
      </w:r>
      <w:proofErr w:type="spellEnd"/>
      <w:r w:rsidRPr="004707E7">
        <w:rPr>
          <w:rFonts w:cs="Arial"/>
          <w:i/>
          <w:sz w:val="24"/>
          <w:shd w:val="clear" w:color="auto" w:fill="FFFFFF"/>
        </w:rPr>
        <w:t xml:space="preserve"> 6 </w:t>
      </w:r>
      <w:proofErr w:type="spellStart"/>
      <w:r w:rsidRPr="004707E7">
        <w:rPr>
          <w:rFonts w:cs="Arial"/>
          <w:i/>
          <w:sz w:val="24"/>
          <w:shd w:val="clear" w:color="auto" w:fill="FFFFFF"/>
        </w:rPr>
        <w:t>paragraph</w:t>
      </w:r>
      <w:proofErr w:type="spellEnd"/>
      <w:r w:rsidRPr="004707E7">
        <w:rPr>
          <w:rFonts w:cs="Arial"/>
          <w:i/>
          <w:sz w:val="24"/>
          <w:shd w:val="clear" w:color="auto" w:fill="FFFFFF"/>
        </w:rPr>
        <w:t xml:space="preserve"> 1 </w:t>
      </w:r>
      <w:proofErr w:type="spellStart"/>
      <w:r w:rsidRPr="004707E7">
        <w:rPr>
          <w:rFonts w:cs="Arial"/>
          <w:i/>
          <w:sz w:val="24"/>
          <w:shd w:val="clear" w:color="auto" w:fill="FFFFFF"/>
        </w:rPr>
        <w:t>of</w:t>
      </w:r>
      <w:proofErr w:type="spellEnd"/>
      <w:r w:rsidRPr="004707E7">
        <w:rPr>
          <w:rFonts w:cs="Arial"/>
          <w:i/>
          <w:sz w:val="24"/>
          <w:shd w:val="clear" w:color="auto" w:fill="FFFFFF"/>
        </w:rPr>
        <w:t xml:space="preserve"> the ECHR</w:t>
      </w:r>
      <w:r w:rsidR="00FF271B" w:rsidRPr="004707E7">
        <w:rPr>
          <w:i/>
          <w:sz w:val="24"/>
          <w:lang w:val="en-GB"/>
        </w:rPr>
        <w:t>.”</w:t>
      </w:r>
    </w:p>
    <w:p w:rsidR="00D229BF" w:rsidRPr="00314A8D" w:rsidRDefault="00D229BF" w:rsidP="00A06B9C">
      <w:pPr>
        <w:autoSpaceDE w:val="0"/>
        <w:autoSpaceDN w:val="0"/>
        <w:adjustRightInd w:val="0"/>
        <w:spacing w:line="240" w:lineRule="auto"/>
        <w:ind w:left="540" w:hanging="540"/>
        <w:rPr>
          <w:rFonts w:cs="TimesNewRomanPSMT"/>
          <w:sz w:val="24"/>
          <w:lang w:val="en-GB"/>
        </w:rPr>
      </w:pPr>
    </w:p>
    <w:p w:rsidR="00D229BF" w:rsidRPr="00314A8D" w:rsidRDefault="00641C1A" w:rsidP="00A06B9C">
      <w:pPr>
        <w:numPr>
          <w:ilvl w:val="0"/>
          <w:numId w:val="63"/>
        </w:numPr>
        <w:spacing w:line="240" w:lineRule="auto"/>
        <w:ind w:left="630" w:hanging="630"/>
        <w:rPr>
          <w:sz w:val="24"/>
          <w:lang w:val="en-GB"/>
        </w:rPr>
      </w:pPr>
      <w:r w:rsidRPr="00641C1A">
        <w:rPr>
          <w:sz w:val="24"/>
          <w:lang w:val="en-GB"/>
        </w:rPr>
        <w:t xml:space="preserve">The Applicant concludes that the failure of the Court of Appeals to address his claim to recognize the right to subrogation without </w:t>
      </w:r>
      <w:r>
        <w:rPr>
          <w:sz w:val="24"/>
          <w:lang w:val="en-GB"/>
        </w:rPr>
        <w:t>providing a</w:t>
      </w:r>
      <w:r w:rsidRPr="00641C1A">
        <w:rPr>
          <w:sz w:val="24"/>
          <w:lang w:val="en-GB"/>
        </w:rPr>
        <w:t xml:space="preserve"> legal </w:t>
      </w:r>
      <w:r>
        <w:rPr>
          <w:sz w:val="24"/>
          <w:lang w:val="en-GB"/>
        </w:rPr>
        <w:t>reasoning and divergence</w:t>
      </w:r>
      <w:r w:rsidRPr="00641C1A">
        <w:rPr>
          <w:sz w:val="24"/>
          <w:lang w:val="en-GB"/>
        </w:rPr>
        <w:t xml:space="preserve"> from the current </w:t>
      </w:r>
      <w:r>
        <w:rPr>
          <w:sz w:val="24"/>
          <w:lang w:val="en-GB"/>
        </w:rPr>
        <w:t>case law</w:t>
      </w:r>
      <w:r w:rsidRPr="00641C1A">
        <w:rPr>
          <w:sz w:val="24"/>
          <w:lang w:val="en-GB"/>
        </w:rPr>
        <w:t xml:space="preserve"> of the Court of Appeals in similar cases clearly</w:t>
      </w:r>
      <w:r>
        <w:rPr>
          <w:sz w:val="24"/>
          <w:lang w:val="en-GB"/>
        </w:rPr>
        <w:t xml:space="preserve"> constitutes</w:t>
      </w:r>
      <w:r w:rsidRPr="00641C1A">
        <w:rPr>
          <w:sz w:val="24"/>
          <w:lang w:val="en-GB"/>
        </w:rPr>
        <w:t xml:space="preserve"> a violation of the right to a fair and impartial trial, guaranteed by Article 31 of the Constitution of Kosovo, in </w:t>
      </w:r>
      <w:r>
        <w:rPr>
          <w:sz w:val="24"/>
          <w:lang w:val="en-GB"/>
        </w:rPr>
        <w:t>conjunction with</w:t>
      </w:r>
      <w:r w:rsidRPr="00641C1A">
        <w:rPr>
          <w:sz w:val="24"/>
          <w:lang w:val="en-GB"/>
        </w:rPr>
        <w:t xml:space="preserve"> Article 6 of the ECHR</w:t>
      </w:r>
      <w:r w:rsidR="00FF271B" w:rsidRPr="00314A8D">
        <w:rPr>
          <w:sz w:val="24"/>
          <w:lang w:val="en-GB"/>
        </w:rPr>
        <w:t>.</w:t>
      </w:r>
    </w:p>
    <w:p w:rsidR="00D229BF" w:rsidRPr="00314A8D" w:rsidRDefault="00D229BF" w:rsidP="00A06B9C">
      <w:pPr>
        <w:autoSpaceDE w:val="0"/>
        <w:autoSpaceDN w:val="0"/>
        <w:adjustRightInd w:val="0"/>
        <w:spacing w:line="240" w:lineRule="auto"/>
        <w:ind w:left="540" w:hanging="540"/>
        <w:rPr>
          <w:sz w:val="24"/>
          <w:lang w:val="en-GB"/>
        </w:rPr>
      </w:pPr>
    </w:p>
    <w:p w:rsidR="00D229BF" w:rsidRDefault="00641C1A" w:rsidP="00A06B9C">
      <w:pPr>
        <w:numPr>
          <w:ilvl w:val="0"/>
          <w:numId w:val="63"/>
        </w:numPr>
        <w:spacing w:line="240" w:lineRule="auto"/>
        <w:ind w:left="630" w:hanging="630"/>
        <w:rPr>
          <w:sz w:val="24"/>
          <w:lang w:val="en-GB"/>
        </w:rPr>
      </w:pPr>
      <w:r w:rsidRPr="00641C1A">
        <w:rPr>
          <w:sz w:val="24"/>
          <w:lang w:val="en-GB"/>
        </w:rPr>
        <w:t xml:space="preserve">Finally, the Applicant requests </w:t>
      </w:r>
      <w:r>
        <w:rPr>
          <w:sz w:val="24"/>
          <w:lang w:val="en-GB"/>
        </w:rPr>
        <w:t>from</w:t>
      </w:r>
      <w:r w:rsidRPr="00641C1A">
        <w:rPr>
          <w:sz w:val="24"/>
          <w:lang w:val="en-GB"/>
        </w:rPr>
        <w:t xml:space="preserve"> the Court</w:t>
      </w:r>
      <w:r>
        <w:rPr>
          <w:sz w:val="24"/>
          <w:lang w:val="en-GB"/>
        </w:rPr>
        <w:t xml:space="preserve"> to</w:t>
      </w:r>
      <w:r w:rsidRPr="00641C1A">
        <w:rPr>
          <w:sz w:val="24"/>
          <w:lang w:val="en-GB"/>
        </w:rPr>
        <w:t xml:space="preserve"> </w:t>
      </w:r>
      <w:proofErr w:type="spellStart"/>
      <w:r>
        <w:rPr>
          <w:sz w:val="24"/>
          <w:lang w:val="en-GB"/>
        </w:rPr>
        <w:t>asvertain</w:t>
      </w:r>
      <w:proofErr w:type="spellEnd"/>
      <w:r w:rsidRPr="00641C1A">
        <w:rPr>
          <w:sz w:val="24"/>
          <w:lang w:val="en-GB"/>
        </w:rPr>
        <w:t>: (</w:t>
      </w:r>
      <w:proofErr w:type="spellStart"/>
      <w:r w:rsidRPr="00641C1A">
        <w:rPr>
          <w:sz w:val="24"/>
          <w:lang w:val="en-GB"/>
        </w:rPr>
        <w:t>i</w:t>
      </w:r>
      <w:proofErr w:type="spellEnd"/>
      <w:r w:rsidRPr="00641C1A">
        <w:rPr>
          <w:sz w:val="24"/>
          <w:lang w:val="en-GB"/>
        </w:rPr>
        <w:t>) violation</w:t>
      </w:r>
      <w:r>
        <w:rPr>
          <w:sz w:val="24"/>
          <w:lang w:val="en-GB"/>
        </w:rPr>
        <w:t>s</w:t>
      </w:r>
      <w:r w:rsidRPr="00641C1A">
        <w:rPr>
          <w:sz w:val="24"/>
          <w:lang w:val="en-GB"/>
        </w:rPr>
        <w:t xml:space="preserve"> of Article 31 [Right to Fair and Impartial Trial] of the Constitution, in </w:t>
      </w:r>
      <w:r>
        <w:rPr>
          <w:sz w:val="24"/>
          <w:lang w:val="en-GB"/>
        </w:rPr>
        <w:t>conjunction with</w:t>
      </w:r>
      <w:r w:rsidRPr="00641C1A">
        <w:rPr>
          <w:sz w:val="24"/>
          <w:lang w:val="en-GB"/>
        </w:rPr>
        <w:t xml:space="preserve"> paragraph 1 of Article 6 (Right to a </w:t>
      </w:r>
      <w:r>
        <w:rPr>
          <w:sz w:val="24"/>
          <w:lang w:val="en-GB"/>
        </w:rPr>
        <w:t>fair trial</w:t>
      </w:r>
      <w:r w:rsidRPr="00641C1A">
        <w:rPr>
          <w:sz w:val="24"/>
          <w:lang w:val="en-GB"/>
        </w:rPr>
        <w:t xml:space="preserve">) of the ECHR; (ii) annul the </w:t>
      </w:r>
      <w:r>
        <w:rPr>
          <w:sz w:val="24"/>
          <w:lang w:val="en-GB"/>
        </w:rPr>
        <w:t>Judgment [Ae. No</w:t>
      </w:r>
      <w:r w:rsidRPr="00641C1A">
        <w:rPr>
          <w:sz w:val="24"/>
          <w:lang w:val="en-GB"/>
        </w:rPr>
        <w:t>. 146/2017] of 26 February 2019 of the Court of Appeals; and (iii) re</w:t>
      </w:r>
      <w:r>
        <w:rPr>
          <w:sz w:val="24"/>
          <w:lang w:val="en-GB"/>
        </w:rPr>
        <w:t xml:space="preserve">mand </w:t>
      </w:r>
      <w:r w:rsidRPr="00641C1A">
        <w:rPr>
          <w:sz w:val="24"/>
          <w:lang w:val="en-GB"/>
        </w:rPr>
        <w:t>the case for retrial</w:t>
      </w:r>
      <w:r w:rsidR="00FF271B" w:rsidRPr="00314A8D">
        <w:rPr>
          <w:sz w:val="24"/>
          <w:lang w:val="en-GB"/>
        </w:rPr>
        <w:t>.</w:t>
      </w:r>
    </w:p>
    <w:p w:rsidR="00641C1A" w:rsidRPr="00314A8D" w:rsidRDefault="00641C1A" w:rsidP="00A06B9C">
      <w:pPr>
        <w:spacing w:line="240" w:lineRule="auto"/>
        <w:rPr>
          <w:sz w:val="24"/>
          <w:lang w:val="en-GB"/>
        </w:rPr>
      </w:pPr>
    </w:p>
    <w:p w:rsidR="00D84302" w:rsidRPr="00314A8D" w:rsidRDefault="00176C42" w:rsidP="00A06B9C">
      <w:pPr>
        <w:spacing w:line="240" w:lineRule="auto"/>
        <w:rPr>
          <w:b/>
          <w:i/>
          <w:sz w:val="24"/>
          <w:lang w:val="en-GB"/>
        </w:rPr>
      </w:pPr>
      <w:r>
        <w:rPr>
          <w:b/>
          <w:i/>
          <w:sz w:val="24"/>
          <w:lang w:val="en-GB"/>
        </w:rPr>
        <w:lastRenderedPageBreak/>
        <w:t>Relevant legal provisions</w:t>
      </w:r>
    </w:p>
    <w:p w:rsidR="00D84302" w:rsidRPr="00314A8D" w:rsidRDefault="00D84302" w:rsidP="00A06B9C">
      <w:pPr>
        <w:spacing w:line="240" w:lineRule="auto"/>
        <w:rPr>
          <w:sz w:val="24"/>
          <w:lang w:val="en-GB"/>
        </w:rPr>
      </w:pPr>
    </w:p>
    <w:p w:rsidR="00D84302" w:rsidRPr="00314A8D" w:rsidRDefault="00176C42" w:rsidP="00A06B9C">
      <w:pPr>
        <w:spacing w:line="240" w:lineRule="auto"/>
        <w:ind w:left="990"/>
        <w:rPr>
          <w:b/>
          <w:sz w:val="24"/>
          <w:lang w:val="en-GB"/>
        </w:rPr>
      </w:pPr>
      <w:r>
        <w:rPr>
          <w:b/>
          <w:sz w:val="24"/>
          <w:lang w:val="en-GB"/>
        </w:rPr>
        <w:t>The Law of Contracts and Torts</w:t>
      </w:r>
      <w:r w:rsidR="00FF271B" w:rsidRPr="00314A8D">
        <w:rPr>
          <w:b/>
          <w:sz w:val="24"/>
          <w:lang w:val="en-GB"/>
        </w:rPr>
        <w:t>,</w:t>
      </w:r>
      <w:r>
        <w:rPr>
          <w:b/>
          <w:sz w:val="24"/>
          <w:lang w:val="en-GB"/>
        </w:rPr>
        <w:t xml:space="preserve"> of</w:t>
      </w:r>
      <w:r w:rsidR="00FF271B" w:rsidRPr="00314A8D">
        <w:rPr>
          <w:b/>
          <w:sz w:val="24"/>
          <w:lang w:val="en-GB"/>
        </w:rPr>
        <w:t xml:space="preserve"> 30 </w:t>
      </w:r>
      <w:r>
        <w:rPr>
          <w:b/>
          <w:sz w:val="24"/>
          <w:lang w:val="en-GB"/>
        </w:rPr>
        <w:t>March</w:t>
      </w:r>
      <w:r w:rsidR="00FF271B" w:rsidRPr="00314A8D">
        <w:rPr>
          <w:b/>
          <w:sz w:val="24"/>
          <w:lang w:val="en-GB"/>
        </w:rPr>
        <w:t xml:space="preserve"> 1978:</w:t>
      </w:r>
    </w:p>
    <w:p w:rsidR="00D84302" w:rsidRPr="00314A8D" w:rsidRDefault="00D84302" w:rsidP="00A06B9C">
      <w:pPr>
        <w:spacing w:line="240" w:lineRule="auto"/>
        <w:ind w:left="990"/>
        <w:rPr>
          <w:b/>
          <w:sz w:val="24"/>
          <w:lang w:val="en-GB"/>
        </w:rPr>
      </w:pPr>
    </w:p>
    <w:p w:rsidR="00D84302" w:rsidRPr="00314A8D" w:rsidRDefault="00176C42" w:rsidP="00A06B9C">
      <w:pPr>
        <w:spacing w:line="240" w:lineRule="auto"/>
        <w:ind w:left="990"/>
        <w:jc w:val="center"/>
        <w:rPr>
          <w:b/>
          <w:sz w:val="24"/>
          <w:lang w:val="en-GB"/>
        </w:rPr>
      </w:pPr>
      <w:r>
        <w:rPr>
          <w:b/>
          <w:sz w:val="24"/>
          <w:lang w:val="en-GB"/>
        </w:rPr>
        <w:t>Statutory Subrogation</w:t>
      </w:r>
    </w:p>
    <w:p w:rsidR="00D84302" w:rsidRPr="00314A8D" w:rsidRDefault="00FF271B" w:rsidP="00A06B9C">
      <w:pPr>
        <w:spacing w:line="240" w:lineRule="auto"/>
        <w:ind w:left="990"/>
        <w:jc w:val="center"/>
        <w:rPr>
          <w:b/>
          <w:sz w:val="24"/>
          <w:lang w:val="en-GB"/>
        </w:rPr>
      </w:pPr>
      <w:proofErr w:type="spellStart"/>
      <w:r w:rsidRPr="00314A8D">
        <w:rPr>
          <w:b/>
          <w:sz w:val="24"/>
          <w:lang w:val="en-GB"/>
        </w:rPr>
        <w:t>Neni</w:t>
      </w:r>
      <w:proofErr w:type="spellEnd"/>
      <w:r w:rsidRPr="00314A8D">
        <w:rPr>
          <w:b/>
          <w:sz w:val="24"/>
          <w:lang w:val="en-GB"/>
        </w:rPr>
        <w:t xml:space="preserve"> 300</w:t>
      </w:r>
    </w:p>
    <w:p w:rsidR="00D84302" w:rsidRPr="00314A8D" w:rsidRDefault="00D84302" w:rsidP="00A06B9C">
      <w:pPr>
        <w:spacing w:line="240" w:lineRule="auto"/>
        <w:ind w:left="990"/>
        <w:rPr>
          <w:b/>
          <w:sz w:val="24"/>
          <w:lang w:val="en-GB"/>
        </w:rPr>
      </w:pPr>
    </w:p>
    <w:p w:rsidR="00D84302" w:rsidRPr="00176C42" w:rsidRDefault="00176C42" w:rsidP="00A06B9C">
      <w:pPr>
        <w:autoSpaceDE w:val="0"/>
        <w:autoSpaceDN w:val="0"/>
        <w:adjustRightInd w:val="0"/>
        <w:spacing w:line="240" w:lineRule="auto"/>
        <w:ind w:left="990"/>
        <w:rPr>
          <w:rFonts w:cs="TimesNewRoman"/>
          <w:i/>
          <w:sz w:val="24"/>
        </w:rPr>
      </w:pPr>
      <w:proofErr w:type="spellStart"/>
      <w:r w:rsidRPr="00176C42">
        <w:rPr>
          <w:rFonts w:cs="TimesNewRoman"/>
          <w:i/>
          <w:sz w:val="24"/>
        </w:rPr>
        <w:t>If</w:t>
      </w:r>
      <w:proofErr w:type="spellEnd"/>
      <w:r w:rsidRPr="00176C42">
        <w:rPr>
          <w:rFonts w:cs="TimesNewRoman"/>
          <w:i/>
          <w:sz w:val="24"/>
        </w:rPr>
        <w:t xml:space="preserve"> an </w:t>
      </w:r>
      <w:proofErr w:type="spellStart"/>
      <w:r w:rsidRPr="00176C42">
        <w:rPr>
          <w:rFonts w:cs="TimesNewRoman"/>
          <w:i/>
          <w:sz w:val="24"/>
        </w:rPr>
        <w:t>obligation</w:t>
      </w:r>
      <w:proofErr w:type="spellEnd"/>
      <w:r w:rsidRPr="00176C42">
        <w:rPr>
          <w:rFonts w:cs="TimesNewRoman"/>
          <w:i/>
          <w:sz w:val="24"/>
        </w:rPr>
        <w:t xml:space="preserve"> </w:t>
      </w:r>
      <w:proofErr w:type="spellStart"/>
      <w:r w:rsidRPr="00176C42">
        <w:rPr>
          <w:rFonts w:cs="TimesNewRoman"/>
          <w:i/>
          <w:sz w:val="24"/>
        </w:rPr>
        <w:t>is</w:t>
      </w:r>
      <w:proofErr w:type="spellEnd"/>
      <w:r w:rsidRPr="00176C42">
        <w:rPr>
          <w:rFonts w:cs="TimesNewRoman"/>
          <w:i/>
          <w:sz w:val="24"/>
        </w:rPr>
        <w:t xml:space="preserve"> </w:t>
      </w:r>
      <w:proofErr w:type="spellStart"/>
      <w:r w:rsidRPr="00176C42">
        <w:rPr>
          <w:rFonts w:cs="TimesNewRoman"/>
          <w:i/>
          <w:sz w:val="24"/>
        </w:rPr>
        <w:t>fulfilled</w:t>
      </w:r>
      <w:proofErr w:type="spellEnd"/>
      <w:r w:rsidRPr="00176C42">
        <w:rPr>
          <w:rFonts w:cs="TimesNewRoman"/>
          <w:i/>
          <w:sz w:val="24"/>
        </w:rPr>
        <w:t xml:space="preserve"> by a person </w:t>
      </w:r>
      <w:proofErr w:type="spellStart"/>
      <w:r w:rsidRPr="00176C42">
        <w:rPr>
          <w:rFonts w:cs="TimesNewRoman"/>
          <w:i/>
          <w:sz w:val="24"/>
        </w:rPr>
        <w:t>having</w:t>
      </w:r>
      <w:proofErr w:type="spellEnd"/>
      <w:r w:rsidRPr="00176C42">
        <w:rPr>
          <w:rFonts w:cs="TimesNewRoman"/>
          <w:i/>
          <w:sz w:val="24"/>
        </w:rPr>
        <w:t xml:space="preserve"> </w:t>
      </w:r>
      <w:proofErr w:type="spellStart"/>
      <w:r w:rsidRPr="00176C42">
        <w:rPr>
          <w:rFonts w:cs="TimesNewRoman"/>
          <w:i/>
          <w:sz w:val="24"/>
        </w:rPr>
        <w:t>some</w:t>
      </w:r>
      <w:proofErr w:type="spellEnd"/>
      <w:r w:rsidRPr="00176C42">
        <w:rPr>
          <w:rFonts w:cs="TimesNewRoman"/>
          <w:i/>
          <w:sz w:val="24"/>
        </w:rPr>
        <w:t xml:space="preserve"> legal </w:t>
      </w:r>
      <w:proofErr w:type="spellStart"/>
      <w:r w:rsidRPr="00176C42">
        <w:rPr>
          <w:rFonts w:cs="TimesNewRoman"/>
          <w:i/>
          <w:sz w:val="24"/>
        </w:rPr>
        <w:t>interest</w:t>
      </w:r>
      <w:proofErr w:type="spellEnd"/>
      <w:r w:rsidRPr="00176C42">
        <w:rPr>
          <w:rFonts w:cs="TimesNewRoman"/>
          <w:i/>
          <w:sz w:val="24"/>
        </w:rPr>
        <w:t xml:space="preserve"> in the </w:t>
      </w:r>
      <w:proofErr w:type="spellStart"/>
      <w:r w:rsidRPr="00176C42">
        <w:rPr>
          <w:rFonts w:cs="TimesNewRoman"/>
          <w:i/>
          <w:sz w:val="24"/>
        </w:rPr>
        <w:t>matter</w:t>
      </w:r>
      <w:proofErr w:type="spellEnd"/>
      <w:r w:rsidRPr="00176C42">
        <w:rPr>
          <w:rFonts w:cs="TimesNewRoman"/>
          <w:i/>
          <w:sz w:val="24"/>
        </w:rPr>
        <w:t xml:space="preserve">, the </w:t>
      </w:r>
      <w:proofErr w:type="spellStart"/>
      <w:r w:rsidRPr="00176C42">
        <w:rPr>
          <w:rFonts w:cs="TimesNewRoman"/>
          <w:i/>
          <w:sz w:val="24"/>
        </w:rPr>
        <w:t>creditor's</w:t>
      </w:r>
      <w:proofErr w:type="spellEnd"/>
      <w:r w:rsidRPr="00176C42">
        <w:rPr>
          <w:rFonts w:cs="TimesNewRoman"/>
          <w:i/>
          <w:sz w:val="24"/>
        </w:rPr>
        <w:t xml:space="preserve"> </w:t>
      </w:r>
      <w:proofErr w:type="spellStart"/>
      <w:r w:rsidRPr="00176C42">
        <w:rPr>
          <w:rFonts w:cs="TimesNewRoman"/>
          <w:i/>
          <w:sz w:val="24"/>
        </w:rPr>
        <w:t>claim</w:t>
      </w:r>
      <w:proofErr w:type="spellEnd"/>
      <w:r w:rsidRPr="00176C42">
        <w:rPr>
          <w:rFonts w:cs="TimesNewRoman"/>
          <w:i/>
          <w:sz w:val="24"/>
        </w:rPr>
        <w:t xml:space="preserve"> shall be </w:t>
      </w:r>
      <w:proofErr w:type="spellStart"/>
      <w:r w:rsidRPr="00176C42">
        <w:rPr>
          <w:rFonts w:cs="TimesNewRoman"/>
          <w:i/>
          <w:sz w:val="24"/>
        </w:rPr>
        <w:t>transferred</w:t>
      </w:r>
      <w:proofErr w:type="spellEnd"/>
      <w:r w:rsidRPr="00176C42">
        <w:rPr>
          <w:rFonts w:cs="TimesNewRoman"/>
          <w:i/>
          <w:sz w:val="24"/>
        </w:rPr>
        <w:t xml:space="preserve"> to </w:t>
      </w:r>
      <w:proofErr w:type="spellStart"/>
      <w:r w:rsidRPr="00176C42">
        <w:rPr>
          <w:rFonts w:cs="TimesNewRoman"/>
          <w:i/>
          <w:sz w:val="24"/>
        </w:rPr>
        <w:t>him</w:t>
      </w:r>
      <w:proofErr w:type="spellEnd"/>
      <w:r w:rsidRPr="00176C42">
        <w:rPr>
          <w:rFonts w:cs="TimesNewRoman"/>
          <w:i/>
          <w:sz w:val="24"/>
        </w:rPr>
        <w:t xml:space="preserve"> by the </w:t>
      </w:r>
      <w:proofErr w:type="spellStart"/>
      <w:r w:rsidRPr="00176C42">
        <w:rPr>
          <w:rFonts w:cs="TimesNewRoman"/>
          <w:i/>
          <w:sz w:val="24"/>
        </w:rPr>
        <w:t>law</w:t>
      </w:r>
      <w:proofErr w:type="spellEnd"/>
      <w:r w:rsidRPr="00176C42">
        <w:rPr>
          <w:rFonts w:cs="TimesNewRoman"/>
          <w:i/>
          <w:sz w:val="24"/>
        </w:rPr>
        <w:t xml:space="preserve"> </w:t>
      </w:r>
      <w:proofErr w:type="spellStart"/>
      <w:r w:rsidRPr="00176C42">
        <w:rPr>
          <w:rFonts w:cs="TimesNewRoman"/>
          <w:i/>
          <w:sz w:val="24"/>
        </w:rPr>
        <w:t>itself</w:t>
      </w:r>
      <w:proofErr w:type="spellEnd"/>
      <w:r w:rsidRPr="00176C42">
        <w:rPr>
          <w:rFonts w:cs="TimesNewRoman"/>
          <w:i/>
          <w:sz w:val="24"/>
        </w:rPr>
        <w:t xml:space="preserve"> at the moment </w:t>
      </w:r>
      <w:proofErr w:type="spellStart"/>
      <w:r w:rsidRPr="00176C42">
        <w:rPr>
          <w:rFonts w:cs="TimesNewRoman"/>
          <w:i/>
          <w:sz w:val="24"/>
        </w:rPr>
        <w:t>of</w:t>
      </w:r>
      <w:proofErr w:type="spellEnd"/>
      <w:r w:rsidRPr="00176C42">
        <w:rPr>
          <w:rFonts w:cs="TimesNewRoman"/>
          <w:i/>
          <w:sz w:val="24"/>
        </w:rPr>
        <w:t xml:space="preserve"> </w:t>
      </w:r>
      <w:proofErr w:type="spellStart"/>
      <w:r w:rsidRPr="00176C42">
        <w:rPr>
          <w:rFonts w:cs="TimesNewRoman"/>
          <w:i/>
          <w:sz w:val="24"/>
        </w:rPr>
        <w:t>fulfilment</w:t>
      </w:r>
      <w:proofErr w:type="spellEnd"/>
      <w:r w:rsidRPr="00176C42">
        <w:rPr>
          <w:rFonts w:cs="TimesNewRoman"/>
          <w:i/>
          <w:sz w:val="24"/>
        </w:rPr>
        <w:t xml:space="preserve">, </w:t>
      </w:r>
      <w:proofErr w:type="spellStart"/>
      <w:r w:rsidRPr="00176C42">
        <w:rPr>
          <w:rFonts w:cs="TimesNewRoman"/>
          <w:i/>
          <w:sz w:val="24"/>
        </w:rPr>
        <w:t>together</w:t>
      </w:r>
      <w:proofErr w:type="spellEnd"/>
      <w:r w:rsidRPr="00176C42">
        <w:rPr>
          <w:rFonts w:cs="TimesNewRoman"/>
          <w:i/>
          <w:sz w:val="24"/>
        </w:rPr>
        <w:t xml:space="preserve"> </w:t>
      </w:r>
      <w:proofErr w:type="spellStart"/>
      <w:r w:rsidRPr="00176C42">
        <w:rPr>
          <w:rFonts w:cs="TimesNewRoman"/>
          <w:i/>
          <w:sz w:val="24"/>
        </w:rPr>
        <w:t>with</w:t>
      </w:r>
      <w:proofErr w:type="spellEnd"/>
      <w:r w:rsidRPr="00176C42">
        <w:rPr>
          <w:rFonts w:cs="TimesNewRoman"/>
          <w:i/>
          <w:sz w:val="24"/>
        </w:rPr>
        <w:t xml:space="preserve"> all </w:t>
      </w:r>
      <w:proofErr w:type="spellStart"/>
      <w:r w:rsidRPr="00176C42">
        <w:rPr>
          <w:rFonts w:cs="TimesNewRoman"/>
          <w:i/>
          <w:sz w:val="24"/>
        </w:rPr>
        <w:t>accessory</w:t>
      </w:r>
      <w:proofErr w:type="spellEnd"/>
      <w:r w:rsidRPr="00176C42">
        <w:rPr>
          <w:rFonts w:cs="TimesNewRoman"/>
          <w:i/>
          <w:sz w:val="24"/>
        </w:rPr>
        <w:t xml:space="preserve"> </w:t>
      </w:r>
      <w:proofErr w:type="spellStart"/>
      <w:r w:rsidRPr="00176C42">
        <w:rPr>
          <w:rFonts w:cs="TimesNewRoman"/>
          <w:i/>
          <w:sz w:val="24"/>
        </w:rPr>
        <w:t>rights</w:t>
      </w:r>
      <w:proofErr w:type="spellEnd"/>
      <w:r w:rsidR="00FF271B" w:rsidRPr="00176C42">
        <w:rPr>
          <w:i/>
          <w:sz w:val="24"/>
          <w:lang w:val="en-GB"/>
        </w:rPr>
        <w:t>.</w:t>
      </w:r>
    </w:p>
    <w:p w:rsidR="00D84302" w:rsidRPr="00314A8D" w:rsidRDefault="00D84302" w:rsidP="00A06B9C">
      <w:pPr>
        <w:spacing w:line="240" w:lineRule="auto"/>
        <w:ind w:left="990"/>
        <w:rPr>
          <w:i/>
          <w:sz w:val="24"/>
          <w:lang w:val="en-GB"/>
        </w:rPr>
      </w:pPr>
    </w:p>
    <w:p w:rsidR="00D84302" w:rsidRPr="00314A8D" w:rsidRDefault="002E7613" w:rsidP="00A06B9C">
      <w:pPr>
        <w:spacing w:line="240" w:lineRule="auto"/>
        <w:ind w:left="990"/>
        <w:jc w:val="center"/>
        <w:rPr>
          <w:b/>
          <w:i/>
          <w:sz w:val="24"/>
          <w:lang w:val="en-GB"/>
        </w:rPr>
      </w:pPr>
      <w:r>
        <w:rPr>
          <w:b/>
          <w:i/>
          <w:sz w:val="24"/>
          <w:lang w:val="en-GB"/>
        </w:rPr>
        <w:t>Subrogation in Case of Partial Fulfilment</w:t>
      </w:r>
    </w:p>
    <w:p w:rsidR="00D84302" w:rsidRPr="00314A8D" w:rsidRDefault="002E7613" w:rsidP="00A06B9C">
      <w:pPr>
        <w:spacing w:line="240" w:lineRule="auto"/>
        <w:ind w:left="990"/>
        <w:jc w:val="center"/>
        <w:rPr>
          <w:b/>
          <w:i/>
          <w:sz w:val="24"/>
          <w:lang w:val="en-GB"/>
        </w:rPr>
      </w:pPr>
      <w:r>
        <w:rPr>
          <w:b/>
          <w:i/>
          <w:sz w:val="24"/>
          <w:lang w:val="en-GB"/>
        </w:rPr>
        <w:t>Article</w:t>
      </w:r>
      <w:r w:rsidR="00FF271B" w:rsidRPr="00314A8D">
        <w:rPr>
          <w:b/>
          <w:i/>
          <w:sz w:val="24"/>
          <w:lang w:val="en-GB"/>
        </w:rPr>
        <w:t xml:space="preserve"> 301</w:t>
      </w:r>
    </w:p>
    <w:p w:rsidR="00D84302" w:rsidRPr="00314A8D" w:rsidRDefault="00D84302" w:rsidP="00A06B9C">
      <w:pPr>
        <w:spacing w:line="240" w:lineRule="auto"/>
        <w:ind w:left="990"/>
        <w:rPr>
          <w:i/>
          <w:sz w:val="24"/>
          <w:lang w:val="en-GB"/>
        </w:rPr>
      </w:pPr>
    </w:p>
    <w:p w:rsidR="00D84302" w:rsidRPr="005C56BF" w:rsidRDefault="005C56BF" w:rsidP="00A06B9C">
      <w:pPr>
        <w:autoSpaceDE w:val="0"/>
        <w:autoSpaceDN w:val="0"/>
        <w:adjustRightInd w:val="0"/>
        <w:spacing w:line="240" w:lineRule="auto"/>
        <w:ind w:left="990"/>
        <w:rPr>
          <w:rFonts w:cs="TimesNewRoman"/>
          <w:i/>
          <w:sz w:val="24"/>
        </w:rPr>
      </w:pPr>
      <w:r w:rsidRPr="005C56BF">
        <w:rPr>
          <w:rFonts w:cs="TimesNewRoman"/>
          <w:i/>
          <w:sz w:val="24"/>
        </w:rPr>
        <w:t xml:space="preserve">In </w:t>
      </w:r>
      <w:proofErr w:type="spellStart"/>
      <w:r w:rsidRPr="005C56BF">
        <w:rPr>
          <w:rFonts w:cs="TimesNewRoman"/>
          <w:i/>
          <w:sz w:val="24"/>
        </w:rPr>
        <w:t>case</w:t>
      </w:r>
      <w:proofErr w:type="spellEnd"/>
      <w:r w:rsidRPr="005C56BF">
        <w:rPr>
          <w:rFonts w:cs="TimesNewRoman"/>
          <w:i/>
          <w:sz w:val="24"/>
        </w:rPr>
        <w:t xml:space="preserve"> </w:t>
      </w:r>
      <w:proofErr w:type="spellStart"/>
      <w:r w:rsidRPr="005C56BF">
        <w:rPr>
          <w:rFonts w:cs="TimesNewRoman"/>
          <w:i/>
          <w:sz w:val="24"/>
        </w:rPr>
        <w:t>of</w:t>
      </w:r>
      <w:proofErr w:type="spellEnd"/>
      <w:r w:rsidRPr="005C56BF">
        <w:rPr>
          <w:rFonts w:cs="TimesNewRoman"/>
          <w:i/>
          <w:sz w:val="24"/>
        </w:rPr>
        <w:t xml:space="preserve"> </w:t>
      </w:r>
      <w:proofErr w:type="spellStart"/>
      <w:r w:rsidRPr="005C56BF">
        <w:rPr>
          <w:rFonts w:cs="TimesNewRoman"/>
          <w:i/>
          <w:sz w:val="24"/>
        </w:rPr>
        <w:t>partial</w:t>
      </w:r>
      <w:proofErr w:type="spellEnd"/>
      <w:r w:rsidRPr="005C56BF">
        <w:rPr>
          <w:rFonts w:cs="TimesNewRoman"/>
          <w:i/>
          <w:sz w:val="24"/>
        </w:rPr>
        <w:t xml:space="preserve"> </w:t>
      </w:r>
      <w:proofErr w:type="spellStart"/>
      <w:r w:rsidRPr="005C56BF">
        <w:rPr>
          <w:rFonts w:cs="TimesNewRoman"/>
          <w:i/>
          <w:sz w:val="24"/>
        </w:rPr>
        <w:t>fulfillment</w:t>
      </w:r>
      <w:proofErr w:type="spellEnd"/>
      <w:r w:rsidRPr="005C56BF">
        <w:rPr>
          <w:rFonts w:cs="TimesNewRoman"/>
          <w:i/>
          <w:sz w:val="24"/>
        </w:rPr>
        <w:t xml:space="preserve"> </w:t>
      </w:r>
      <w:proofErr w:type="spellStart"/>
      <w:r w:rsidRPr="005C56BF">
        <w:rPr>
          <w:rFonts w:cs="TimesNewRoman"/>
          <w:i/>
          <w:sz w:val="24"/>
        </w:rPr>
        <w:t>of</w:t>
      </w:r>
      <w:proofErr w:type="spellEnd"/>
      <w:r w:rsidRPr="005C56BF">
        <w:rPr>
          <w:rFonts w:cs="TimesNewRoman"/>
          <w:i/>
          <w:sz w:val="24"/>
        </w:rPr>
        <w:t xml:space="preserve"> the </w:t>
      </w:r>
      <w:proofErr w:type="spellStart"/>
      <w:r w:rsidRPr="005C56BF">
        <w:rPr>
          <w:rFonts w:cs="TimesNewRoman"/>
          <w:i/>
          <w:sz w:val="24"/>
        </w:rPr>
        <w:t>creditor's</w:t>
      </w:r>
      <w:proofErr w:type="spellEnd"/>
      <w:r w:rsidRPr="005C56BF">
        <w:rPr>
          <w:rFonts w:cs="TimesNewRoman"/>
          <w:i/>
          <w:sz w:val="24"/>
        </w:rPr>
        <w:t xml:space="preserve"> </w:t>
      </w:r>
      <w:proofErr w:type="spellStart"/>
      <w:r w:rsidRPr="005C56BF">
        <w:rPr>
          <w:rFonts w:cs="TimesNewRoman"/>
          <w:i/>
          <w:sz w:val="24"/>
        </w:rPr>
        <w:t>claim</w:t>
      </w:r>
      <w:proofErr w:type="spellEnd"/>
      <w:r w:rsidRPr="005C56BF">
        <w:rPr>
          <w:rFonts w:cs="TimesNewRoman"/>
          <w:i/>
          <w:sz w:val="24"/>
        </w:rPr>
        <w:t xml:space="preserve">, all </w:t>
      </w:r>
      <w:proofErr w:type="spellStart"/>
      <w:r w:rsidRPr="005C56BF">
        <w:rPr>
          <w:rFonts w:cs="TimesNewRoman"/>
          <w:i/>
          <w:sz w:val="24"/>
        </w:rPr>
        <w:t>accessory</w:t>
      </w:r>
      <w:proofErr w:type="spellEnd"/>
      <w:r w:rsidRPr="005C56BF">
        <w:rPr>
          <w:rFonts w:cs="TimesNewRoman"/>
          <w:i/>
          <w:sz w:val="24"/>
        </w:rPr>
        <w:t xml:space="preserve"> </w:t>
      </w:r>
      <w:proofErr w:type="spellStart"/>
      <w:r w:rsidRPr="005C56BF">
        <w:rPr>
          <w:rFonts w:cs="TimesNewRoman"/>
          <w:i/>
          <w:sz w:val="24"/>
        </w:rPr>
        <w:t>rights</w:t>
      </w:r>
      <w:proofErr w:type="spellEnd"/>
      <w:r w:rsidRPr="005C56BF">
        <w:rPr>
          <w:rFonts w:cs="TimesNewRoman"/>
          <w:i/>
          <w:sz w:val="24"/>
        </w:rPr>
        <w:t xml:space="preserve"> by </w:t>
      </w:r>
      <w:proofErr w:type="spellStart"/>
      <w:r w:rsidRPr="005C56BF">
        <w:rPr>
          <w:rFonts w:cs="TimesNewRoman"/>
          <w:i/>
          <w:sz w:val="24"/>
        </w:rPr>
        <w:t>which</w:t>
      </w:r>
      <w:proofErr w:type="spellEnd"/>
      <w:r w:rsidRPr="005C56BF">
        <w:rPr>
          <w:rFonts w:cs="TimesNewRoman"/>
          <w:i/>
          <w:sz w:val="24"/>
        </w:rPr>
        <w:t xml:space="preserve"> </w:t>
      </w:r>
      <w:proofErr w:type="spellStart"/>
      <w:r w:rsidRPr="005C56BF">
        <w:rPr>
          <w:rFonts w:cs="TimesNewRoman"/>
          <w:i/>
          <w:sz w:val="24"/>
        </w:rPr>
        <w:t>such</w:t>
      </w:r>
      <w:proofErr w:type="spellEnd"/>
      <w:r w:rsidRPr="005C56BF">
        <w:rPr>
          <w:rFonts w:cs="TimesNewRoman"/>
          <w:i/>
          <w:sz w:val="24"/>
        </w:rPr>
        <w:t xml:space="preserve"> </w:t>
      </w:r>
      <w:proofErr w:type="spellStart"/>
      <w:r w:rsidRPr="005C56BF">
        <w:rPr>
          <w:rFonts w:cs="TimesNewRoman"/>
          <w:i/>
          <w:sz w:val="24"/>
        </w:rPr>
        <w:t>claim</w:t>
      </w:r>
      <w:proofErr w:type="spellEnd"/>
      <w:r w:rsidRPr="005C56BF">
        <w:rPr>
          <w:rFonts w:cs="TimesNewRoman"/>
          <w:i/>
          <w:sz w:val="24"/>
        </w:rPr>
        <w:t xml:space="preserve"> </w:t>
      </w:r>
      <w:proofErr w:type="spellStart"/>
      <w:r w:rsidRPr="005C56BF">
        <w:rPr>
          <w:rFonts w:cs="TimesNewRoman"/>
          <w:i/>
          <w:sz w:val="24"/>
        </w:rPr>
        <w:t>is</w:t>
      </w:r>
      <w:proofErr w:type="spellEnd"/>
      <w:r w:rsidRPr="005C56BF">
        <w:rPr>
          <w:rFonts w:cs="TimesNewRoman"/>
          <w:i/>
          <w:sz w:val="24"/>
        </w:rPr>
        <w:t xml:space="preserve"> </w:t>
      </w:r>
      <w:proofErr w:type="spellStart"/>
      <w:r w:rsidRPr="005C56BF">
        <w:rPr>
          <w:rFonts w:cs="TimesNewRoman"/>
          <w:i/>
          <w:sz w:val="24"/>
        </w:rPr>
        <w:t>guaranteed</w:t>
      </w:r>
      <w:proofErr w:type="spellEnd"/>
      <w:r w:rsidRPr="005C56BF">
        <w:rPr>
          <w:rFonts w:cs="TimesNewRoman"/>
          <w:i/>
          <w:sz w:val="24"/>
        </w:rPr>
        <w:t xml:space="preserve"> shall be </w:t>
      </w:r>
      <w:proofErr w:type="spellStart"/>
      <w:r w:rsidRPr="005C56BF">
        <w:rPr>
          <w:rFonts w:cs="TimesNewRoman"/>
          <w:i/>
          <w:sz w:val="24"/>
        </w:rPr>
        <w:t>transferred</w:t>
      </w:r>
      <w:proofErr w:type="spellEnd"/>
      <w:r w:rsidRPr="005C56BF">
        <w:rPr>
          <w:rFonts w:cs="TimesNewRoman"/>
          <w:i/>
          <w:sz w:val="24"/>
        </w:rPr>
        <w:t xml:space="preserve"> to the </w:t>
      </w:r>
      <w:proofErr w:type="spellStart"/>
      <w:r w:rsidRPr="005C56BF">
        <w:rPr>
          <w:rFonts w:cs="TimesNewRoman"/>
          <w:i/>
          <w:sz w:val="24"/>
        </w:rPr>
        <w:t>fulfiller</w:t>
      </w:r>
      <w:proofErr w:type="spellEnd"/>
      <w:r w:rsidRPr="005C56BF">
        <w:rPr>
          <w:rFonts w:cs="TimesNewRoman"/>
          <w:i/>
          <w:sz w:val="24"/>
        </w:rPr>
        <w:t xml:space="preserve">, </w:t>
      </w:r>
      <w:proofErr w:type="spellStart"/>
      <w:r w:rsidRPr="005C56BF">
        <w:rPr>
          <w:rFonts w:cs="TimesNewRoman"/>
          <w:i/>
          <w:sz w:val="24"/>
        </w:rPr>
        <w:t>unless</w:t>
      </w:r>
      <w:proofErr w:type="spellEnd"/>
      <w:r w:rsidRPr="005C56BF">
        <w:rPr>
          <w:rFonts w:cs="TimesNewRoman"/>
          <w:i/>
          <w:sz w:val="24"/>
        </w:rPr>
        <w:t xml:space="preserve"> </w:t>
      </w:r>
      <w:proofErr w:type="spellStart"/>
      <w:r w:rsidRPr="005C56BF">
        <w:rPr>
          <w:rFonts w:cs="TimesNewRoman"/>
          <w:i/>
          <w:sz w:val="24"/>
        </w:rPr>
        <w:t>necessary</w:t>
      </w:r>
      <w:proofErr w:type="spellEnd"/>
      <w:r w:rsidRPr="005C56BF">
        <w:rPr>
          <w:rFonts w:cs="TimesNewRoman"/>
          <w:i/>
          <w:sz w:val="24"/>
        </w:rPr>
        <w:t xml:space="preserve"> </w:t>
      </w:r>
      <w:proofErr w:type="spellStart"/>
      <w:r w:rsidRPr="005C56BF">
        <w:rPr>
          <w:rFonts w:cs="TimesNewRoman"/>
          <w:i/>
          <w:sz w:val="24"/>
        </w:rPr>
        <w:t>for</w:t>
      </w:r>
      <w:proofErr w:type="spellEnd"/>
      <w:r w:rsidRPr="005C56BF">
        <w:rPr>
          <w:rFonts w:cs="TimesNewRoman"/>
          <w:i/>
          <w:sz w:val="24"/>
        </w:rPr>
        <w:t xml:space="preserve"> the </w:t>
      </w:r>
      <w:proofErr w:type="spellStart"/>
      <w:r w:rsidRPr="005C56BF">
        <w:rPr>
          <w:rFonts w:cs="TimesNewRoman"/>
          <w:i/>
          <w:sz w:val="24"/>
        </w:rPr>
        <w:t>fulfillment</w:t>
      </w:r>
      <w:proofErr w:type="spellEnd"/>
      <w:r w:rsidRPr="005C56BF">
        <w:rPr>
          <w:rFonts w:cs="TimesNewRoman"/>
          <w:i/>
          <w:sz w:val="24"/>
        </w:rPr>
        <w:t xml:space="preserve"> </w:t>
      </w:r>
      <w:proofErr w:type="spellStart"/>
      <w:r w:rsidRPr="005C56BF">
        <w:rPr>
          <w:rFonts w:cs="TimesNewRoman"/>
          <w:i/>
          <w:sz w:val="24"/>
        </w:rPr>
        <w:t>of</w:t>
      </w:r>
      <w:proofErr w:type="spellEnd"/>
      <w:r w:rsidRPr="005C56BF">
        <w:rPr>
          <w:rFonts w:cs="TimesNewRoman"/>
          <w:i/>
          <w:sz w:val="24"/>
        </w:rPr>
        <w:t xml:space="preserve"> the </w:t>
      </w:r>
      <w:proofErr w:type="spellStart"/>
      <w:r w:rsidRPr="005C56BF">
        <w:rPr>
          <w:rFonts w:cs="TimesNewRoman"/>
          <w:i/>
          <w:sz w:val="24"/>
        </w:rPr>
        <w:t>rest</w:t>
      </w:r>
      <w:proofErr w:type="spellEnd"/>
      <w:r w:rsidRPr="005C56BF">
        <w:rPr>
          <w:rFonts w:cs="TimesNewRoman"/>
          <w:i/>
          <w:sz w:val="24"/>
        </w:rPr>
        <w:t xml:space="preserve"> </w:t>
      </w:r>
      <w:proofErr w:type="spellStart"/>
      <w:r w:rsidRPr="005C56BF">
        <w:rPr>
          <w:rFonts w:cs="TimesNewRoman"/>
          <w:i/>
          <w:sz w:val="24"/>
        </w:rPr>
        <w:t>of</w:t>
      </w:r>
      <w:proofErr w:type="spellEnd"/>
      <w:r w:rsidRPr="005C56BF">
        <w:rPr>
          <w:rFonts w:cs="TimesNewRoman"/>
          <w:i/>
          <w:sz w:val="24"/>
        </w:rPr>
        <w:t xml:space="preserve"> </w:t>
      </w:r>
      <w:proofErr w:type="spellStart"/>
      <w:r w:rsidRPr="005C56BF">
        <w:rPr>
          <w:rFonts w:cs="TimesNewRoman"/>
          <w:i/>
          <w:sz w:val="24"/>
        </w:rPr>
        <w:t>creditor's</w:t>
      </w:r>
      <w:proofErr w:type="spellEnd"/>
      <w:r w:rsidRPr="005C56BF">
        <w:rPr>
          <w:rFonts w:cs="TimesNewRoman"/>
          <w:i/>
          <w:sz w:val="24"/>
        </w:rPr>
        <w:t xml:space="preserve"> </w:t>
      </w:r>
      <w:proofErr w:type="spellStart"/>
      <w:r w:rsidRPr="005C56BF">
        <w:rPr>
          <w:rFonts w:cs="TimesNewRoman"/>
          <w:i/>
          <w:sz w:val="24"/>
        </w:rPr>
        <w:t>claim</w:t>
      </w:r>
      <w:proofErr w:type="spellEnd"/>
      <w:r w:rsidRPr="005C56BF">
        <w:rPr>
          <w:rFonts w:cs="TimesNewRoman"/>
          <w:i/>
          <w:sz w:val="24"/>
        </w:rPr>
        <w:t xml:space="preserve">. </w:t>
      </w:r>
      <w:proofErr w:type="spellStart"/>
      <w:r w:rsidRPr="005C56BF">
        <w:rPr>
          <w:rFonts w:cs="TimesNewRoman"/>
          <w:i/>
          <w:sz w:val="24"/>
        </w:rPr>
        <w:t>However</w:t>
      </w:r>
      <w:proofErr w:type="spellEnd"/>
      <w:r w:rsidRPr="005C56BF">
        <w:rPr>
          <w:rFonts w:cs="TimesNewRoman"/>
          <w:i/>
          <w:sz w:val="24"/>
        </w:rPr>
        <w:t xml:space="preserve">, the </w:t>
      </w:r>
      <w:proofErr w:type="spellStart"/>
      <w:r w:rsidRPr="005C56BF">
        <w:rPr>
          <w:rFonts w:cs="TimesNewRoman"/>
          <w:i/>
          <w:sz w:val="24"/>
        </w:rPr>
        <w:t>creditor</w:t>
      </w:r>
      <w:proofErr w:type="spellEnd"/>
      <w:r w:rsidRPr="005C56BF">
        <w:rPr>
          <w:rFonts w:cs="TimesNewRoman"/>
          <w:i/>
          <w:sz w:val="24"/>
        </w:rPr>
        <w:t xml:space="preserve"> </w:t>
      </w:r>
      <w:proofErr w:type="spellStart"/>
      <w:r w:rsidRPr="005C56BF">
        <w:rPr>
          <w:rFonts w:cs="TimesNewRoman"/>
          <w:i/>
          <w:sz w:val="24"/>
        </w:rPr>
        <w:t>and</w:t>
      </w:r>
      <w:proofErr w:type="spellEnd"/>
      <w:r w:rsidRPr="005C56BF">
        <w:rPr>
          <w:rFonts w:cs="TimesNewRoman"/>
          <w:i/>
          <w:sz w:val="24"/>
        </w:rPr>
        <w:t xml:space="preserve"> the </w:t>
      </w:r>
      <w:proofErr w:type="spellStart"/>
      <w:r w:rsidRPr="005C56BF">
        <w:rPr>
          <w:rFonts w:cs="TimesNewRoman"/>
          <w:i/>
          <w:sz w:val="24"/>
        </w:rPr>
        <w:t>fulfiller</w:t>
      </w:r>
      <w:proofErr w:type="spellEnd"/>
      <w:r w:rsidRPr="005C56BF">
        <w:rPr>
          <w:rFonts w:cs="TimesNewRoman"/>
          <w:i/>
          <w:sz w:val="24"/>
        </w:rPr>
        <w:t xml:space="preserve"> </w:t>
      </w:r>
      <w:proofErr w:type="spellStart"/>
      <w:r w:rsidRPr="005C56BF">
        <w:rPr>
          <w:rFonts w:cs="TimesNewRoman"/>
          <w:i/>
          <w:sz w:val="24"/>
        </w:rPr>
        <w:t>may</w:t>
      </w:r>
      <w:proofErr w:type="spellEnd"/>
      <w:r w:rsidRPr="005C56BF">
        <w:rPr>
          <w:rFonts w:cs="TimesNewRoman"/>
          <w:i/>
          <w:sz w:val="24"/>
        </w:rPr>
        <w:t xml:space="preserve"> </w:t>
      </w:r>
      <w:proofErr w:type="spellStart"/>
      <w:r w:rsidRPr="005C56BF">
        <w:rPr>
          <w:rFonts w:cs="TimesNewRoman"/>
          <w:i/>
          <w:sz w:val="24"/>
        </w:rPr>
        <w:t>stipulate</w:t>
      </w:r>
      <w:proofErr w:type="spellEnd"/>
      <w:r w:rsidRPr="005C56BF">
        <w:rPr>
          <w:rFonts w:cs="TimesNewRoman"/>
          <w:i/>
          <w:sz w:val="24"/>
        </w:rPr>
        <w:t xml:space="preserve"> </w:t>
      </w:r>
      <w:proofErr w:type="spellStart"/>
      <w:r w:rsidRPr="005C56BF">
        <w:rPr>
          <w:rFonts w:cs="TimesNewRoman"/>
          <w:i/>
          <w:sz w:val="24"/>
        </w:rPr>
        <w:t>that</w:t>
      </w:r>
      <w:proofErr w:type="spellEnd"/>
      <w:r w:rsidRPr="005C56BF">
        <w:rPr>
          <w:rFonts w:cs="TimesNewRoman"/>
          <w:i/>
          <w:sz w:val="24"/>
        </w:rPr>
        <w:t xml:space="preserve"> </w:t>
      </w:r>
      <w:proofErr w:type="spellStart"/>
      <w:r w:rsidRPr="005C56BF">
        <w:rPr>
          <w:rFonts w:cs="TimesNewRoman"/>
          <w:i/>
          <w:sz w:val="24"/>
        </w:rPr>
        <w:t>they</w:t>
      </w:r>
      <w:proofErr w:type="spellEnd"/>
      <w:r w:rsidRPr="005C56BF">
        <w:rPr>
          <w:rFonts w:cs="TimesNewRoman"/>
          <w:i/>
          <w:sz w:val="24"/>
        </w:rPr>
        <w:t xml:space="preserve"> shall </w:t>
      </w:r>
      <w:proofErr w:type="spellStart"/>
      <w:r w:rsidRPr="005C56BF">
        <w:rPr>
          <w:rFonts w:cs="TimesNewRoman"/>
          <w:i/>
          <w:sz w:val="24"/>
        </w:rPr>
        <w:t>use</w:t>
      </w:r>
      <w:proofErr w:type="spellEnd"/>
      <w:r w:rsidRPr="005C56BF">
        <w:rPr>
          <w:rFonts w:cs="TimesNewRoman"/>
          <w:i/>
          <w:sz w:val="24"/>
        </w:rPr>
        <w:t xml:space="preserve"> the </w:t>
      </w:r>
      <w:proofErr w:type="spellStart"/>
      <w:r w:rsidRPr="005C56BF">
        <w:rPr>
          <w:rFonts w:cs="TimesNewRoman"/>
          <w:i/>
          <w:sz w:val="24"/>
        </w:rPr>
        <w:t>guarantees</w:t>
      </w:r>
      <w:proofErr w:type="spellEnd"/>
      <w:r w:rsidRPr="005C56BF">
        <w:rPr>
          <w:rFonts w:cs="TimesNewRoman"/>
          <w:i/>
          <w:sz w:val="24"/>
        </w:rPr>
        <w:t xml:space="preserve"> </w:t>
      </w:r>
      <w:proofErr w:type="spellStart"/>
      <w:r w:rsidRPr="005C56BF">
        <w:rPr>
          <w:rFonts w:cs="TimesNewRoman"/>
          <w:i/>
          <w:sz w:val="24"/>
        </w:rPr>
        <w:t>commensurately</w:t>
      </w:r>
      <w:proofErr w:type="spellEnd"/>
      <w:r w:rsidRPr="005C56BF">
        <w:rPr>
          <w:rFonts w:cs="TimesNewRoman"/>
          <w:i/>
          <w:sz w:val="24"/>
        </w:rPr>
        <w:t xml:space="preserve"> to </w:t>
      </w:r>
      <w:proofErr w:type="spellStart"/>
      <w:r w:rsidRPr="005C56BF">
        <w:rPr>
          <w:rFonts w:cs="TimesNewRoman"/>
          <w:i/>
          <w:sz w:val="24"/>
        </w:rPr>
        <w:t>their</w:t>
      </w:r>
      <w:proofErr w:type="spellEnd"/>
      <w:r w:rsidRPr="005C56BF">
        <w:rPr>
          <w:rFonts w:cs="TimesNewRoman"/>
          <w:i/>
          <w:sz w:val="24"/>
        </w:rPr>
        <w:t xml:space="preserve"> </w:t>
      </w:r>
      <w:proofErr w:type="spellStart"/>
      <w:r w:rsidRPr="005C56BF">
        <w:rPr>
          <w:rFonts w:cs="TimesNewRoman"/>
          <w:i/>
          <w:sz w:val="24"/>
        </w:rPr>
        <w:t>respective</w:t>
      </w:r>
      <w:proofErr w:type="spellEnd"/>
      <w:r w:rsidRPr="005C56BF">
        <w:rPr>
          <w:rFonts w:cs="TimesNewRoman"/>
          <w:i/>
          <w:sz w:val="24"/>
        </w:rPr>
        <w:t xml:space="preserve"> </w:t>
      </w:r>
      <w:proofErr w:type="spellStart"/>
      <w:r w:rsidRPr="005C56BF">
        <w:rPr>
          <w:rFonts w:cs="TimesNewRoman"/>
          <w:i/>
          <w:sz w:val="24"/>
        </w:rPr>
        <w:t>claims</w:t>
      </w:r>
      <w:proofErr w:type="spellEnd"/>
      <w:r w:rsidRPr="005C56BF">
        <w:rPr>
          <w:rFonts w:cs="TimesNewRoman"/>
          <w:i/>
          <w:sz w:val="24"/>
        </w:rPr>
        <w:t xml:space="preserve">, </w:t>
      </w:r>
      <w:proofErr w:type="spellStart"/>
      <w:r w:rsidRPr="005C56BF">
        <w:rPr>
          <w:rFonts w:cs="TimesNewRoman"/>
          <w:i/>
          <w:sz w:val="24"/>
        </w:rPr>
        <w:t>while</w:t>
      </w:r>
      <w:proofErr w:type="spellEnd"/>
      <w:r w:rsidRPr="005C56BF">
        <w:rPr>
          <w:rFonts w:cs="TimesNewRoman"/>
          <w:i/>
          <w:sz w:val="24"/>
        </w:rPr>
        <w:t xml:space="preserve"> </w:t>
      </w:r>
      <w:proofErr w:type="spellStart"/>
      <w:r w:rsidRPr="005C56BF">
        <w:rPr>
          <w:rFonts w:cs="TimesNewRoman"/>
          <w:i/>
          <w:sz w:val="24"/>
        </w:rPr>
        <w:t>they</w:t>
      </w:r>
      <w:proofErr w:type="spellEnd"/>
      <w:r w:rsidRPr="005C56BF">
        <w:rPr>
          <w:rFonts w:cs="TimesNewRoman"/>
          <w:i/>
          <w:sz w:val="24"/>
        </w:rPr>
        <w:t xml:space="preserve"> </w:t>
      </w:r>
      <w:proofErr w:type="spellStart"/>
      <w:r w:rsidRPr="005C56BF">
        <w:rPr>
          <w:rFonts w:cs="TimesNewRoman"/>
          <w:i/>
          <w:sz w:val="24"/>
        </w:rPr>
        <w:t>may</w:t>
      </w:r>
      <w:proofErr w:type="spellEnd"/>
      <w:r w:rsidRPr="005C56BF">
        <w:rPr>
          <w:rFonts w:cs="TimesNewRoman"/>
          <w:i/>
          <w:sz w:val="24"/>
        </w:rPr>
        <w:t xml:space="preserve"> </w:t>
      </w:r>
      <w:proofErr w:type="spellStart"/>
      <w:r w:rsidRPr="005C56BF">
        <w:rPr>
          <w:rFonts w:cs="TimesNewRoman"/>
          <w:i/>
          <w:sz w:val="24"/>
        </w:rPr>
        <w:t>also</w:t>
      </w:r>
      <w:proofErr w:type="spellEnd"/>
      <w:r w:rsidRPr="005C56BF">
        <w:rPr>
          <w:rFonts w:cs="TimesNewRoman"/>
          <w:i/>
          <w:sz w:val="24"/>
        </w:rPr>
        <w:t xml:space="preserve"> </w:t>
      </w:r>
      <w:proofErr w:type="spellStart"/>
      <w:r w:rsidRPr="005C56BF">
        <w:rPr>
          <w:rFonts w:cs="TimesNewRoman"/>
          <w:i/>
          <w:sz w:val="24"/>
        </w:rPr>
        <w:t>stipulate</w:t>
      </w:r>
      <w:proofErr w:type="spellEnd"/>
      <w:r w:rsidRPr="005C56BF">
        <w:rPr>
          <w:rFonts w:cs="TimesNewRoman"/>
          <w:i/>
          <w:sz w:val="24"/>
        </w:rPr>
        <w:t xml:space="preserve"> </w:t>
      </w:r>
      <w:proofErr w:type="spellStart"/>
      <w:r w:rsidRPr="005C56BF">
        <w:rPr>
          <w:rFonts w:cs="TimesNewRoman"/>
          <w:i/>
          <w:sz w:val="24"/>
        </w:rPr>
        <w:t>that</w:t>
      </w:r>
      <w:proofErr w:type="spellEnd"/>
      <w:r w:rsidRPr="005C56BF">
        <w:rPr>
          <w:rFonts w:cs="TimesNewRoman"/>
          <w:i/>
          <w:sz w:val="24"/>
        </w:rPr>
        <w:t xml:space="preserve"> the </w:t>
      </w:r>
      <w:proofErr w:type="spellStart"/>
      <w:r w:rsidRPr="005C56BF">
        <w:rPr>
          <w:rFonts w:cs="TimesNewRoman"/>
          <w:i/>
          <w:sz w:val="24"/>
        </w:rPr>
        <w:t>fulfiller</w:t>
      </w:r>
      <w:proofErr w:type="spellEnd"/>
      <w:r w:rsidRPr="005C56BF">
        <w:rPr>
          <w:rFonts w:cs="TimesNewRoman"/>
          <w:i/>
          <w:sz w:val="24"/>
        </w:rPr>
        <w:t xml:space="preserve"> shall </w:t>
      </w:r>
      <w:proofErr w:type="spellStart"/>
      <w:r w:rsidRPr="005C56BF">
        <w:rPr>
          <w:rFonts w:cs="TimesNewRoman"/>
          <w:i/>
          <w:sz w:val="24"/>
        </w:rPr>
        <w:t>have</w:t>
      </w:r>
      <w:proofErr w:type="spellEnd"/>
      <w:r w:rsidRPr="005C56BF">
        <w:rPr>
          <w:rFonts w:cs="TimesNewRoman"/>
          <w:i/>
          <w:sz w:val="24"/>
        </w:rPr>
        <w:t xml:space="preserve"> the </w:t>
      </w:r>
      <w:proofErr w:type="spellStart"/>
      <w:r w:rsidRPr="005C56BF">
        <w:rPr>
          <w:rFonts w:cs="TimesNewRoman"/>
          <w:i/>
          <w:sz w:val="24"/>
        </w:rPr>
        <w:t>right</w:t>
      </w:r>
      <w:proofErr w:type="spellEnd"/>
      <w:r w:rsidRPr="005C56BF">
        <w:rPr>
          <w:rFonts w:cs="TimesNewRoman"/>
          <w:i/>
          <w:sz w:val="24"/>
        </w:rPr>
        <w:t xml:space="preserve"> </w:t>
      </w:r>
      <w:proofErr w:type="spellStart"/>
      <w:r w:rsidRPr="005C56BF">
        <w:rPr>
          <w:rFonts w:cs="TimesNewRoman"/>
          <w:i/>
          <w:sz w:val="24"/>
        </w:rPr>
        <w:t>of</w:t>
      </w:r>
      <w:proofErr w:type="spellEnd"/>
      <w:r w:rsidRPr="005C56BF">
        <w:rPr>
          <w:rFonts w:cs="TimesNewRoman"/>
          <w:i/>
          <w:sz w:val="24"/>
        </w:rPr>
        <w:t xml:space="preserve"> </w:t>
      </w:r>
      <w:proofErr w:type="spellStart"/>
      <w:r w:rsidRPr="005C56BF">
        <w:rPr>
          <w:rFonts w:cs="TimesNewRoman"/>
          <w:i/>
          <w:sz w:val="24"/>
        </w:rPr>
        <w:t>priority</w:t>
      </w:r>
      <w:proofErr w:type="spellEnd"/>
      <w:r w:rsidRPr="005C56BF">
        <w:rPr>
          <w:rFonts w:cs="TimesNewRoman"/>
          <w:i/>
          <w:sz w:val="24"/>
        </w:rPr>
        <w:t xml:space="preserve"> in </w:t>
      </w:r>
      <w:proofErr w:type="spellStart"/>
      <w:r w:rsidRPr="005C56BF">
        <w:rPr>
          <w:rFonts w:cs="TimesNewRoman"/>
          <w:i/>
          <w:sz w:val="24"/>
        </w:rPr>
        <w:t>effecting</w:t>
      </w:r>
      <w:proofErr w:type="spellEnd"/>
      <w:r w:rsidRPr="005C56BF">
        <w:rPr>
          <w:rFonts w:cs="TimesNewRoman"/>
          <w:i/>
          <w:sz w:val="24"/>
        </w:rPr>
        <w:t xml:space="preserve"> </w:t>
      </w:r>
      <w:proofErr w:type="spellStart"/>
      <w:r w:rsidRPr="005C56BF">
        <w:rPr>
          <w:rFonts w:cs="TimesNewRoman"/>
          <w:i/>
          <w:sz w:val="24"/>
        </w:rPr>
        <w:t>collection</w:t>
      </w:r>
      <w:proofErr w:type="spellEnd"/>
      <w:r w:rsidRPr="005C56BF">
        <w:rPr>
          <w:rFonts w:cs="TimesNewRoman"/>
          <w:i/>
          <w:sz w:val="24"/>
        </w:rPr>
        <w:t>.</w:t>
      </w:r>
      <w:r w:rsidR="00FF271B" w:rsidRPr="005C56BF">
        <w:rPr>
          <w:i/>
          <w:sz w:val="24"/>
          <w:lang w:val="en-GB"/>
        </w:rPr>
        <w:t xml:space="preserve"> </w:t>
      </w:r>
    </w:p>
    <w:p w:rsidR="00D84302" w:rsidRPr="00314A8D" w:rsidRDefault="00D84302" w:rsidP="00A06B9C">
      <w:pPr>
        <w:spacing w:line="240" w:lineRule="auto"/>
        <w:rPr>
          <w:b/>
          <w:sz w:val="24"/>
          <w:lang w:val="en-GB"/>
        </w:rPr>
      </w:pPr>
    </w:p>
    <w:p w:rsidR="00D84302" w:rsidRPr="00314A8D" w:rsidRDefault="00A072CA" w:rsidP="00A06B9C">
      <w:pPr>
        <w:spacing w:line="240" w:lineRule="auto"/>
        <w:ind w:left="990"/>
        <w:rPr>
          <w:sz w:val="24"/>
          <w:lang w:val="en-GB"/>
        </w:rPr>
      </w:pPr>
      <w:r>
        <w:rPr>
          <w:b/>
          <w:sz w:val="24"/>
          <w:lang w:val="en-GB"/>
        </w:rPr>
        <w:t>TRANSFER OF INSURED PERSON’S RIGHTS AGAINST THE LIABLE PERSON TO THE INSURER (SUBROGATION)</w:t>
      </w:r>
    </w:p>
    <w:p w:rsidR="00D84302" w:rsidRPr="00314A8D" w:rsidRDefault="00D244BA" w:rsidP="00A06B9C">
      <w:pPr>
        <w:spacing w:line="240" w:lineRule="auto"/>
        <w:ind w:left="990"/>
        <w:jc w:val="center"/>
        <w:rPr>
          <w:b/>
          <w:sz w:val="24"/>
          <w:lang w:val="en-GB"/>
        </w:rPr>
      </w:pPr>
      <w:r>
        <w:rPr>
          <w:b/>
          <w:sz w:val="24"/>
          <w:lang w:val="en-GB"/>
        </w:rPr>
        <w:t xml:space="preserve">Article </w:t>
      </w:r>
      <w:r w:rsidR="00FF271B" w:rsidRPr="00314A8D">
        <w:rPr>
          <w:b/>
          <w:sz w:val="24"/>
          <w:lang w:val="en-GB"/>
        </w:rPr>
        <w:t>939</w:t>
      </w:r>
    </w:p>
    <w:p w:rsidR="00D84302" w:rsidRPr="00314A8D" w:rsidRDefault="00D84302" w:rsidP="00A06B9C">
      <w:pPr>
        <w:spacing w:line="240" w:lineRule="auto"/>
        <w:ind w:left="990"/>
        <w:rPr>
          <w:sz w:val="24"/>
          <w:lang w:val="en-GB"/>
        </w:rPr>
      </w:pPr>
    </w:p>
    <w:p w:rsidR="00A072CA" w:rsidRPr="00A072CA" w:rsidRDefault="00A072CA" w:rsidP="00A06B9C">
      <w:pPr>
        <w:autoSpaceDE w:val="0"/>
        <w:autoSpaceDN w:val="0"/>
        <w:adjustRightInd w:val="0"/>
        <w:spacing w:line="240" w:lineRule="auto"/>
        <w:ind w:left="990"/>
        <w:rPr>
          <w:rFonts w:cs="TimesNewRoman"/>
          <w:i/>
          <w:sz w:val="24"/>
        </w:rPr>
      </w:pPr>
      <w:proofErr w:type="spellStart"/>
      <w:r w:rsidRPr="00A072CA">
        <w:rPr>
          <w:rFonts w:cs="TimesNewRoman"/>
          <w:i/>
          <w:sz w:val="24"/>
        </w:rPr>
        <w:t>On</w:t>
      </w:r>
      <w:proofErr w:type="spellEnd"/>
      <w:r w:rsidRPr="00A072CA">
        <w:rPr>
          <w:rFonts w:cs="TimesNewRoman"/>
          <w:i/>
          <w:sz w:val="24"/>
        </w:rPr>
        <w:t xml:space="preserve"> </w:t>
      </w:r>
      <w:proofErr w:type="spellStart"/>
      <w:r w:rsidRPr="00A072CA">
        <w:rPr>
          <w:rFonts w:cs="TimesNewRoman"/>
          <w:i/>
          <w:sz w:val="24"/>
        </w:rPr>
        <w:t>payment</w:t>
      </w:r>
      <w:proofErr w:type="spellEnd"/>
      <w:r w:rsidRPr="00A072CA">
        <w:rPr>
          <w:rFonts w:cs="TimesNewRoman"/>
          <w:i/>
          <w:sz w:val="24"/>
        </w:rPr>
        <w:t xml:space="preserve"> </w:t>
      </w:r>
      <w:proofErr w:type="spellStart"/>
      <w:r w:rsidRPr="00A072CA">
        <w:rPr>
          <w:rFonts w:cs="TimesNewRoman"/>
          <w:i/>
          <w:sz w:val="24"/>
        </w:rPr>
        <w:t>of</w:t>
      </w:r>
      <w:proofErr w:type="spellEnd"/>
      <w:r w:rsidRPr="00A072CA">
        <w:rPr>
          <w:rFonts w:cs="TimesNewRoman"/>
          <w:i/>
          <w:sz w:val="24"/>
        </w:rPr>
        <w:t xml:space="preserve"> </w:t>
      </w:r>
      <w:proofErr w:type="spellStart"/>
      <w:r w:rsidRPr="00A072CA">
        <w:rPr>
          <w:rFonts w:cs="TimesNewRoman"/>
          <w:i/>
          <w:sz w:val="24"/>
        </w:rPr>
        <w:t>compensation</w:t>
      </w:r>
      <w:proofErr w:type="spellEnd"/>
      <w:r w:rsidRPr="00A072CA">
        <w:rPr>
          <w:rFonts w:cs="TimesNewRoman"/>
          <w:i/>
          <w:sz w:val="24"/>
        </w:rPr>
        <w:t xml:space="preserve"> </w:t>
      </w:r>
      <w:proofErr w:type="spellStart"/>
      <w:r w:rsidRPr="00A072CA">
        <w:rPr>
          <w:rFonts w:cs="TimesNewRoman"/>
          <w:i/>
          <w:sz w:val="24"/>
        </w:rPr>
        <w:t>from</w:t>
      </w:r>
      <w:proofErr w:type="spellEnd"/>
      <w:r w:rsidRPr="00A072CA">
        <w:rPr>
          <w:rFonts w:cs="TimesNewRoman"/>
          <w:i/>
          <w:sz w:val="24"/>
        </w:rPr>
        <w:t xml:space="preserve"> </w:t>
      </w:r>
      <w:proofErr w:type="spellStart"/>
      <w:r w:rsidRPr="00A072CA">
        <w:rPr>
          <w:rFonts w:cs="TimesNewRoman"/>
          <w:i/>
          <w:sz w:val="24"/>
        </w:rPr>
        <w:t>insurance</w:t>
      </w:r>
      <w:proofErr w:type="spellEnd"/>
      <w:r w:rsidRPr="00A072CA">
        <w:rPr>
          <w:rFonts w:cs="TimesNewRoman"/>
          <w:i/>
          <w:sz w:val="24"/>
        </w:rPr>
        <w:t xml:space="preserve">, the </w:t>
      </w:r>
      <w:proofErr w:type="spellStart"/>
      <w:r w:rsidRPr="00A072CA">
        <w:rPr>
          <w:rFonts w:cs="TimesNewRoman"/>
          <w:i/>
          <w:sz w:val="24"/>
        </w:rPr>
        <w:t>insurer</w:t>
      </w:r>
      <w:proofErr w:type="spellEnd"/>
      <w:r w:rsidRPr="00A072CA">
        <w:rPr>
          <w:rFonts w:cs="TimesNewRoman"/>
          <w:i/>
          <w:sz w:val="24"/>
        </w:rPr>
        <w:t xml:space="preserve"> shall </w:t>
      </w:r>
      <w:proofErr w:type="spellStart"/>
      <w:r w:rsidRPr="00A072CA">
        <w:rPr>
          <w:rFonts w:cs="TimesNewRoman"/>
          <w:i/>
          <w:sz w:val="24"/>
        </w:rPr>
        <w:t>acquire</w:t>
      </w:r>
      <w:proofErr w:type="spellEnd"/>
      <w:r w:rsidRPr="00A072CA">
        <w:rPr>
          <w:rFonts w:cs="TimesNewRoman"/>
          <w:i/>
          <w:sz w:val="24"/>
        </w:rPr>
        <w:t xml:space="preserve">, by </w:t>
      </w:r>
      <w:proofErr w:type="spellStart"/>
      <w:r w:rsidRPr="00A072CA">
        <w:rPr>
          <w:rFonts w:cs="TimesNewRoman"/>
          <w:i/>
          <w:sz w:val="24"/>
        </w:rPr>
        <w:t>law</w:t>
      </w:r>
      <w:proofErr w:type="spellEnd"/>
      <w:r w:rsidRPr="00A072CA">
        <w:rPr>
          <w:rFonts w:cs="TimesNewRoman"/>
          <w:i/>
          <w:sz w:val="24"/>
        </w:rPr>
        <w:t xml:space="preserve">, all </w:t>
      </w:r>
      <w:proofErr w:type="spellStart"/>
      <w:r w:rsidRPr="00A072CA">
        <w:rPr>
          <w:rFonts w:cs="TimesNewRoman"/>
          <w:i/>
          <w:sz w:val="24"/>
        </w:rPr>
        <w:t>rights</w:t>
      </w:r>
      <w:proofErr w:type="spellEnd"/>
      <w:r w:rsidRPr="00A072CA">
        <w:rPr>
          <w:rFonts w:cs="TimesNewRoman"/>
          <w:i/>
          <w:sz w:val="24"/>
        </w:rPr>
        <w:t xml:space="preserve"> </w:t>
      </w:r>
      <w:proofErr w:type="spellStart"/>
      <w:r w:rsidRPr="00A072CA">
        <w:rPr>
          <w:rFonts w:cs="TimesNewRoman"/>
          <w:i/>
          <w:sz w:val="24"/>
        </w:rPr>
        <w:t>of</w:t>
      </w:r>
      <w:proofErr w:type="spellEnd"/>
      <w:r w:rsidRPr="00A072CA">
        <w:rPr>
          <w:rFonts w:cs="TimesNewRoman"/>
          <w:i/>
          <w:sz w:val="24"/>
        </w:rPr>
        <w:t xml:space="preserve"> the </w:t>
      </w:r>
      <w:proofErr w:type="spellStart"/>
      <w:r w:rsidRPr="00A072CA">
        <w:rPr>
          <w:rFonts w:cs="TimesNewRoman"/>
          <w:i/>
          <w:sz w:val="24"/>
        </w:rPr>
        <w:t>insured</w:t>
      </w:r>
      <w:proofErr w:type="spellEnd"/>
      <w:r w:rsidRPr="00A072CA">
        <w:rPr>
          <w:rFonts w:cs="TimesNewRoman"/>
          <w:i/>
          <w:sz w:val="24"/>
        </w:rPr>
        <w:t xml:space="preserve"> person </w:t>
      </w:r>
      <w:proofErr w:type="spellStart"/>
      <w:r w:rsidRPr="00A072CA">
        <w:rPr>
          <w:rFonts w:cs="TimesNewRoman"/>
          <w:i/>
          <w:sz w:val="24"/>
        </w:rPr>
        <w:t>against</w:t>
      </w:r>
      <w:proofErr w:type="spellEnd"/>
      <w:r w:rsidRPr="00A072CA">
        <w:rPr>
          <w:rFonts w:cs="TimesNewRoman"/>
          <w:i/>
          <w:sz w:val="24"/>
        </w:rPr>
        <w:t xml:space="preserve"> the person </w:t>
      </w:r>
      <w:proofErr w:type="spellStart"/>
      <w:r w:rsidRPr="00A072CA">
        <w:rPr>
          <w:rFonts w:cs="TimesNewRoman"/>
          <w:i/>
          <w:sz w:val="24"/>
        </w:rPr>
        <w:t>liable</w:t>
      </w:r>
      <w:proofErr w:type="spellEnd"/>
      <w:r w:rsidRPr="00A072CA">
        <w:rPr>
          <w:rFonts w:cs="TimesNewRoman"/>
          <w:i/>
          <w:sz w:val="24"/>
        </w:rPr>
        <w:t xml:space="preserve"> </w:t>
      </w:r>
      <w:proofErr w:type="spellStart"/>
      <w:r w:rsidRPr="00A072CA">
        <w:rPr>
          <w:rFonts w:cs="TimesNewRoman"/>
          <w:i/>
          <w:sz w:val="24"/>
        </w:rPr>
        <w:t>for</w:t>
      </w:r>
      <w:proofErr w:type="spellEnd"/>
      <w:r w:rsidRPr="00A072CA">
        <w:rPr>
          <w:rFonts w:cs="TimesNewRoman"/>
          <w:i/>
          <w:sz w:val="24"/>
        </w:rPr>
        <w:t xml:space="preserve"> </w:t>
      </w:r>
      <w:proofErr w:type="spellStart"/>
      <w:r w:rsidRPr="00A072CA">
        <w:rPr>
          <w:rFonts w:cs="TimesNewRoman"/>
          <w:i/>
          <w:sz w:val="24"/>
        </w:rPr>
        <w:t>damage</w:t>
      </w:r>
      <w:proofErr w:type="spellEnd"/>
      <w:r w:rsidRPr="00A072CA">
        <w:rPr>
          <w:rFonts w:cs="TimesNewRoman"/>
          <w:i/>
          <w:sz w:val="24"/>
        </w:rPr>
        <w:t xml:space="preserve"> </w:t>
      </w:r>
      <w:proofErr w:type="spellStart"/>
      <w:r w:rsidRPr="00A072CA">
        <w:rPr>
          <w:rFonts w:cs="TimesNewRoman"/>
          <w:i/>
          <w:sz w:val="24"/>
        </w:rPr>
        <w:t>on</w:t>
      </w:r>
      <w:proofErr w:type="spellEnd"/>
      <w:r w:rsidRPr="00A072CA">
        <w:rPr>
          <w:rFonts w:cs="TimesNewRoman"/>
          <w:i/>
          <w:sz w:val="24"/>
        </w:rPr>
        <w:t xml:space="preserve"> </w:t>
      </w:r>
      <w:proofErr w:type="spellStart"/>
      <w:r w:rsidRPr="00A072CA">
        <w:rPr>
          <w:rFonts w:cs="TimesNewRoman"/>
          <w:i/>
          <w:sz w:val="24"/>
        </w:rPr>
        <w:t>whatever</w:t>
      </w:r>
      <w:proofErr w:type="spellEnd"/>
      <w:r w:rsidRPr="00A072CA">
        <w:rPr>
          <w:rFonts w:cs="TimesNewRoman"/>
          <w:i/>
          <w:sz w:val="24"/>
        </w:rPr>
        <w:t xml:space="preserve"> </w:t>
      </w:r>
      <w:proofErr w:type="spellStart"/>
      <w:r w:rsidRPr="00A072CA">
        <w:rPr>
          <w:rFonts w:cs="TimesNewRoman"/>
          <w:i/>
          <w:sz w:val="24"/>
        </w:rPr>
        <w:t>ground</w:t>
      </w:r>
      <w:proofErr w:type="spellEnd"/>
      <w:r w:rsidRPr="00A072CA">
        <w:rPr>
          <w:rFonts w:cs="TimesNewRoman"/>
          <w:i/>
          <w:sz w:val="24"/>
        </w:rPr>
        <w:t xml:space="preserve">, </w:t>
      </w:r>
      <w:proofErr w:type="spellStart"/>
      <w:r w:rsidRPr="00A072CA">
        <w:rPr>
          <w:rFonts w:cs="TimesNewRoman"/>
          <w:i/>
          <w:sz w:val="24"/>
        </w:rPr>
        <w:t>up</w:t>
      </w:r>
      <w:proofErr w:type="spellEnd"/>
      <w:r w:rsidRPr="00A072CA">
        <w:rPr>
          <w:rFonts w:cs="TimesNewRoman"/>
          <w:i/>
          <w:sz w:val="24"/>
        </w:rPr>
        <w:t xml:space="preserve"> to the total </w:t>
      </w:r>
      <w:proofErr w:type="spellStart"/>
      <w:r w:rsidRPr="00A072CA">
        <w:rPr>
          <w:rFonts w:cs="TimesNewRoman"/>
          <w:i/>
          <w:sz w:val="24"/>
        </w:rPr>
        <w:t>amount</w:t>
      </w:r>
      <w:proofErr w:type="spellEnd"/>
      <w:r w:rsidRPr="00A072CA">
        <w:rPr>
          <w:rFonts w:cs="TimesNewRoman"/>
          <w:i/>
          <w:sz w:val="24"/>
        </w:rPr>
        <w:t xml:space="preserve"> </w:t>
      </w:r>
      <w:proofErr w:type="spellStart"/>
      <w:r w:rsidRPr="00A072CA">
        <w:rPr>
          <w:rFonts w:cs="TimesNewRoman"/>
          <w:i/>
          <w:sz w:val="24"/>
        </w:rPr>
        <w:t>of</w:t>
      </w:r>
      <w:proofErr w:type="spellEnd"/>
      <w:r w:rsidRPr="00A072CA">
        <w:rPr>
          <w:rFonts w:cs="TimesNewRoman"/>
          <w:i/>
          <w:sz w:val="24"/>
        </w:rPr>
        <w:t xml:space="preserve"> </w:t>
      </w:r>
      <w:proofErr w:type="spellStart"/>
      <w:r w:rsidRPr="00A072CA">
        <w:rPr>
          <w:rFonts w:cs="TimesNewRoman"/>
          <w:i/>
          <w:sz w:val="24"/>
        </w:rPr>
        <w:t>compensation</w:t>
      </w:r>
      <w:proofErr w:type="spellEnd"/>
      <w:r w:rsidRPr="00A072CA">
        <w:rPr>
          <w:rFonts w:cs="TimesNewRoman"/>
          <w:i/>
          <w:sz w:val="24"/>
        </w:rPr>
        <w:t>.</w:t>
      </w:r>
    </w:p>
    <w:p w:rsidR="00D84302" w:rsidRPr="00314A8D" w:rsidRDefault="00D84302" w:rsidP="00A06B9C">
      <w:pPr>
        <w:spacing w:line="240" w:lineRule="auto"/>
        <w:ind w:left="990"/>
        <w:rPr>
          <w:i/>
          <w:sz w:val="24"/>
          <w:lang w:val="en-GB"/>
        </w:rPr>
      </w:pPr>
    </w:p>
    <w:p w:rsidR="00D84302" w:rsidRPr="00013085" w:rsidRDefault="00013085" w:rsidP="00A06B9C">
      <w:pPr>
        <w:autoSpaceDE w:val="0"/>
        <w:autoSpaceDN w:val="0"/>
        <w:adjustRightInd w:val="0"/>
        <w:spacing w:line="240" w:lineRule="auto"/>
        <w:ind w:left="990"/>
        <w:rPr>
          <w:rFonts w:cs="TimesNewRoman"/>
          <w:i/>
          <w:sz w:val="24"/>
        </w:rPr>
      </w:pPr>
      <w:proofErr w:type="spellStart"/>
      <w:r w:rsidRPr="00013085">
        <w:rPr>
          <w:rFonts w:cs="TimesNewRoman"/>
          <w:i/>
          <w:sz w:val="24"/>
        </w:rPr>
        <w:t>Should</w:t>
      </w:r>
      <w:proofErr w:type="spellEnd"/>
      <w:r w:rsidRPr="00013085">
        <w:rPr>
          <w:rFonts w:cs="TimesNewRoman"/>
          <w:i/>
          <w:sz w:val="24"/>
        </w:rPr>
        <w:t xml:space="preserve"> </w:t>
      </w:r>
      <w:proofErr w:type="spellStart"/>
      <w:r w:rsidRPr="00013085">
        <w:rPr>
          <w:rFonts w:cs="TimesNewRoman"/>
          <w:i/>
          <w:sz w:val="24"/>
        </w:rPr>
        <w:t>such</w:t>
      </w:r>
      <w:proofErr w:type="spellEnd"/>
      <w:r w:rsidRPr="00013085">
        <w:rPr>
          <w:rFonts w:cs="TimesNewRoman"/>
          <w:i/>
          <w:sz w:val="24"/>
        </w:rPr>
        <w:t xml:space="preserve"> </w:t>
      </w:r>
      <w:proofErr w:type="spellStart"/>
      <w:r w:rsidRPr="00013085">
        <w:rPr>
          <w:rFonts w:cs="TimesNewRoman"/>
          <w:i/>
          <w:sz w:val="24"/>
        </w:rPr>
        <w:t>transfer</w:t>
      </w:r>
      <w:proofErr w:type="spellEnd"/>
      <w:r w:rsidRPr="00013085">
        <w:rPr>
          <w:rFonts w:cs="TimesNewRoman"/>
          <w:i/>
          <w:sz w:val="24"/>
        </w:rPr>
        <w:t xml:space="preserve"> be </w:t>
      </w:r>
      <w:proofErr w:type="spellStart"/>
      <w:r w:rsidRPr="00013085">
        <w:rPr>
          <w:rFonts w:cs="TimesNewRoman"/>
          <w:i/>
          <w:sz w:val="24"/>
        </w:rPr>
        <w:t>made</w:t>
      </w:r>
      <w:proofErr w:type="spellEnd"/>
      <w:r w:rsidRPr="00013085">
        <w:rPr>
          <w:rFonts w:cs="TimesNewRoman"/>
          <w:i/>
          <w:sz w:val="24"/>
        </w:rPr>
        <w:t xml:space="preserve"> </w:t>
      </w:r>
      <w:proofErr w:type="spellStart"/>
      <w:r w:rsidRPr="00013085">
        <w:rPr>
          <w:rFonts w:cs="TimesNewRoman"/>
          <w:i/>
          <w:sz w:val="24"/>
        </w:rPr>
        <w:t>entirely</w:t>
      </w:r>
      <w:proofErr w:type="spellEnd"/>
      <w:r w:rsidRPr="00013085">
        <w:rPr>
          <w:rFonts w:cs="TimesNewRoman"/>
          <w:i/>
          <w:sz w:val="24"/>
        </w:rPr>
        <w:t xml:space="preserve"> or </w:t>
      </w:r>
      <w:proofErr w:type="spellStart"/>
      <w:r w:rsidRPr="00013085">
        <w:rPr>
          <w:rFonts w:cs="TimesNewRoman"/>
          <w:i/>
          <w:sz w:val="24"/>
        </w:rPr>
        <w:t>partially</w:t>
      </w:r>
      <w:proofErr w:type="spellEnd"/>
      <w:r w:rsidRPr="00013085">
        <w:rPr>
          <w:rFonts w:cs="TimesNewRoman"/>
          <w:i/>
          <w:sz w:val="24"/>
        </w:rPr>
        <w:t xml:space="preserve"> </w:t>
      </w:r>
      <w:proofErr w:type="spellStart"/>
      <w:r w:rsidRPr="00013085">
        <w:rPr>
          <w:rFonts w:cs="TimesNewRoman"/>
          <w:i/>
          <w:sz w:val="24"/>
        </w:rPr>
        <w:t>impossible</w:t>
      </w:r>
      <w:proofErr w:type="spellEnd"/>
      <w:r w:rsidRPr="00013085">
        <w:rPr>
          <w:rFonts w:cs="TimesNewRoman"/>
          <w:i/>
          <w:sz w:val="24"/>
        </w:rPr>
        <w:t xml:space="preserve"> </w:t>
      </w:r>
      <w:proofErr w:type="spellStart"/>
      <w:r w:rsidRPr="00013085">
        <w:rPr>
          <w:rFonts w:cs="TimesNewRoman"/>
          <w:i/>
          <w:sz w:val="24"/>
        </w:rPr>
        <w:t>through</w:t>
      </w:r>
      <w:proofErr w:type="spellEnd"/>
      <w:r w:rsidRPr="00013085">
        <w:rPr>
          <w:rFonts w:cs="TimesNewRoman"/>
          <w:i/>
          <w:sz w:val="24"/>
        </w:rPr>
        <w:t xml:space="preserve"> the </w:t>
      </w:r>
      <w:proofErr w:type="spellStart"/>
      <w:r w:rsidRPr="00013085">
        <w:rPr>
          <w:rFonts w:cs="TimesNewRoman"/>
          <w:i/>
          <w:sz w:val="24"/>
        </w:rPr>
        <w:t>fault</w:t>
      </w:r>
      <w:proofErr w:type="spellEnd"/>
      <w:r w:rsidRPr="00013085">
        <w:rPr>
          <w:rFonts w:cs="TimesNewRoman"/>
          <w:i/>
          <w:sz w:val="24"/>
        </w:rPr>
        <w:t xml:space="preserve"> </w:t>
      </w:r>
      <w:proofErr w:type="spellStart"/>
      <w:r w:rsidRPr="00013085">
        <w:rPr>
          <w:rFonts w:cs="TimesNewRoman"/>
          <w:i/>
          <w:sz w:val="24"/>
        </w:rPr>
        <w:t>of</w:t>
      </w:r>
      <w:proofErr w:type="spellEnd"/>
      <w:r w:rsidRPr="00013085">
        <w:rPr>
          <w:rFonts w:cs="TimesNewRoman"/>
          <w:i/>
          <w:sz w:val="24"/>
        </w:rPr>
        <w:t xml:space="preserve"> the </w:t>
      </w:r>
      <w:proofErr w:type="spellStart"/>
      <w:r w:rsidRPr="00013085">
        <w:rPr>
          <w:rFonts w:cs="TimesNewRoman"/>
          <w:i/>
          <w:sz w:val="24"/>
        </w:rPr>
        <w:t>insured</w:t>
      </w:r>
      <w:proofErr w:type="spellEnd"/>
      <w:r w:rsidRPr="00013085">
        <w:rPr>
          <w:rFonts w:cs="TimesNewRoman"/>
          <w:i/>
          <w:sz w:val="24"/>
        </w:rPr>
        <w:t xml:space="preserve"> person, the </w:t>
      </w:r>
      <w:proofErr w:type="spellStart"/>
      <w:r w:rsidRPr="00013085">
        <w:rPr>
          <w:rFonts w:cs="TimesNewRoman"/>
          <w:i/>
          <w:sz w:val="24"/>
        </w:rPr>
        <w:t>insurer</w:t>
      </w:r>
      <w:proofErr w:type="spellEnd"/>
      <w:r w:rsidRPr="00013085">
        <w:rPr>
          <w:rFonts w:cs="TimesNewRoman"/>
          <w:i/>
          <w:sz w:val="24"/>
        </w:rPr>
        <w:t xml:space="preserve"> shall be </w:t>
      </w:r>
      <w:proofErr w:type="spellStart"/>
      <w:r w:rsidRPr="00013085">
        <w:rPr>
          <w:rFonts w:cs="TimesNewRoman"/>
          <w:i/>
          <w:sz w:val="24"/>
        </w:rPr>
        <w:t>released</w:t>
      </w:r>
      <w:proofErr w:type="spellEnd"/>
      <w:r w:rsidRPr="00013085">
        <w:rPr>
          <w:rFonts w:cs="TimesNewRoman"/>
          <w:i/>
          <w:sz w:val="24"/>
        </w:rPr>
        <w:t xml:space="preserve"> </w:t>
      </w:r>
      <w:proofErr w:type="spellStart"/>
      <w:r w:rsidRPr="00013085">
        <w:rPr>
          <w:rFonts w:cs="TimesNewRoman"/>
          <w:i/>
          <w:sz w:val="24"/>
        </w:rPr>
        <w:t>correspondingly</w:t>
      </w:r>
      <w:proofErr w:type="spellEnd"/>
      <w:r w:rsidRPr="00013085">
        <w:rPr>
          <w:rFonts w:cs="TimesNewRoman"/>
          <w:i/>
          <w:sz w:val="24"/>
        </w:rPr>
        <w:t xml:space="preserve"> </w:t>
      </w:r>
      <w:proofErr w:type="spellStart"/>
      <w:r w:rsidRPr="00013085">
        <w:rPr>
          <w:rFonts w:cs="TimesNewRoman"/>
          <w:i/>
          <w:sz w:val="24"/>
        </w:rPr>
        <w:t>from</w:t>
      </w:r>
      <w:proofErr w:type="spellEnd"/>
      <w:r w:rsidRPr="00013085">
        <w:rPr>
          <w:rFonts w:cs="TimesNewRoman"/>
          <w:i/>
          <w:sz w:val="24"/>
        </w:rPr>
        <w:t xml:space="preserve"> </w:t>
      </w:r>
      <w:proofErr w:type="spellStart"/>
      <w:r w:rsidRPr="00013085">
        <w:rPr>
          <w:rFonts w:cs="TimesNewRoman"/>
          <w:i/>
          <w:sz w:val="24"/>
        </w:rPr>
        <w:t>his</w:t>
      </w:r>
      <w:proofErr w:type="spellEnd"/>
      <w:r w:rsidRPr="00013085">
        <w:rPr>
          <w:rFonts w:cs="TimesNewRoman"/>
          <w:i/>
          <w:sz w:val="24"/>
        </w:rPr>
        <w:t xml:space="preserve"> </w:t>
      </w:r>
      <w:proofErr w:type="spellStart"/>
      <w:r w:rsidRPr="00013085">
        <w:rPr>
          <w:rFonts w:cs="TimesNewRoman"/>
          <w:i/>
          <w:sz w:val="24"/>
        </w:rPr>
        <w:t>obligation</w:t>
      </w:r>
      <w:proofErr w:type="spellEnd"/>
      <w:r w:rsidRPr="00013085">
        <w:rPr>
          <w:rFonts w:cs="TimesNewRoman"/>
          <w:i/>
          <w:sz w:val="24"/>
        </w:rPr>
        <w:t xml:space="preserve"> </w:t>
      </w:r>
      <w:proofErr w:type="spellStart"/>
      <w:r w:rsidRPr="00013085">
        <w:rPr>
          <w:rFonts w:cs="TimesNewRoman"/>
          <w:i/>
          <w:sz w:val="24"/>
        </w:rPr>
        <w:t>towards</w:t>
      </w:r>
      <w:proofErr w:type="spellEnd"/>
      <w:r w:rsidRPr="00013085">
        <w:rPr>
          <w:rFonts w:cs="TimesNewRoman"/>
          <w:i/>
          <w:sz w:val="24"/>
        </w:rPr>
        <w:t xml:space="preserve"> the </w:t>
      </w:r>
      <w:proofErr w:type="spellStart"/>
      <w:r w:rsidRPr="00013085">
        <w:rPr>
          <w:rFonts w:cs="TimesNewRoman"/>
          <w:i/>
          <w:sz w:val="24"/>
        </w:rPr>
        <w:t>insured</w:t>
      </w:r>
      <w:proofErr w:type="spellEnd"/>
      <w:r w:rsidRPr="00013085">
        <w:rPr>
          <w:rFonts w:cs="TimesNewRoman"/>
          <w:i/>
          <w:sz w:val="24"/>
        </w:rPr>
        <w:t xml:space="preserve"> person</w:t>
      </w:r>
      <w:r w:rsidR="00FF271B" w:rsidRPr="00013085">
        <w:rPr>
          <w:i/>
          <w:sz w:val="24"/>
          <w:lang w:val="en-GB" w:eastAsia="pl-PL"/>
        </w:rPr>
        <w:t>.</w:t>
      </w:r>
    </w:p>
    <w:p w:rsidR="00D84302" w:rsidRPr="00314A8D" w:rsidRDefault="00D84302" w:rsidP="00A06B9C">
      <w:pPr>
        <w:spacing w:line="240" w:lineRule="auto"/>
        <w:ind w:left="990"/>
        <w:rPr>
          <w:i/>
          <w:sz w:val="24"/>
          <w:lang w:val="en-GB"/>
        </w:rPr>
      </w:pPr>
    </w:p>
    <w:p w:rsidR="00D84302" w:rsidRPr="00D244BA" w:rsidRDefault="00D244BA" w:rsidP="00A06B9C">
      <w:pPr>
        <w:spacing w:line="240" w:lineRule="auto"/>
        <w:ind w:left="990"/>
        <w:rPr>
          <w:i/>
          <w:sz w:val="24"/>
          <w:lang w:val="en-GB" w:eastAsia="pl-PL"/>
        </w:rPr>
      </w:pPr>
      <w:r w:rsidRPr="00D244BA">
        <w:rPr>
          <w:rFonts w:cs="TimesNewRoman"/>
          <w:i/>
          <w:sz w:val="24"/>
        </w:rPr>
        <w:t xml:space="preserve">The </w:t>
      </w:r>
      <w:proofErr w:type="spellStart"/>
      <w:r w:rsidRPr="00D244BA">
        <w:rPr>
          <w:rFonts w:cs="TimesNewRoman"/>
          <w:i/>
          <w:sz w:val="24"/>
        </w:rPr>
        <w:t>transfer</w:t>
      </w:r>
      <w:proofErr w:type="spellEnd"/>
      <w:r w:rsidRPr="00D244BA">
        <w:rPr>
          <w:rFonts w:cs="TimesNewRoman"/>
          <w:i/>
          <w:sz w:val="24"/>
        </w:rPr>
        <w:t xml:space="preserve"> </w:t>
      </w:r>
      <w:proofErr w:type="spellStart"/>
      <w:r w:rsidRPr="00D244BA">
        <w:rPr>
          <w:rFonts w:cs="TimesNewRoman"/>
          <w:i/>
          <w:sz w:val="24"/>
        </w:rPr>
        <w:t>of</w:t>
      </w:r>
      <w:proofErr w:type="spellEnd"/>
      <w:r w:rsidRPr="00D244BA">
        <w:rPr>
          <w:rFonts w:cs="TimesNewRoman"/>
          <w:i/>
          <w:sz w:val="24"/>
        </w:rPr>
        <w:t xml:space="preserve"> </w:t>
      </w:r>
      <w:proofErr w:type="spellStart"/>
      <w:r w:rsidRPr="00D244BA">
        <w:rPr>
          <w:rFonts w:cs="TimesNewRoman"/>
          <w:i/>
          <w:sz w:val="24"/>
        </w:rPr>
        <w:t>right</w:t>
      </w:r>
      <w:proofErr w:type="spellEnd"/>
      <w:r w:rsidRPr="00D244BA">
        <w:rPr>
          <w:rFonts w:cs="TimesNewRoman"/>
          <w:i/>
          <w:sz w:val="24"/>
        </w:rPr>
        <w:t xml:space="preserve"> </w:t>
      </w:r>
      <w:proofErr w:type="spellStart"/>
      <w:r w:rsidRPr="00D244BA">
        <w:rPr>
          <w:rFonts w:cs="TimesNewRoman"/>
          <w:i/>
          <w:sz w:val="24"/>
        </w:rPr>
        <w:t>from</w:t>
      </w:r>
      <w:proofErr w:type="spellEnd"/>
      <w:r w:rsidRPr="00D244BA">
        <w:rPr>
          <w:rFonts w:cs="TimesNewRoman"/>
          <w:i/>
          <w:sz w:val="24"/>
        </w:rPr>
        <w:t xml:space="preserve"> the </w:t>
      </w:r>
      <w:proofErr w:type="spellStart"/>
      <w:r w:rsidRPr="00D244BA">
        <w:rPr>
          <w:rFonts w:cs="TimesNewRoman"/>
          <w:i/>
          <w:sz w:val="24"/>
        </w:rPr>
        <w:t>insured</w:t>
      </w:r>
      <w:proofErr w:type="spellEnd"/>
      <w:r w:rsidRPr="00D244BA">
        <w:rPr>
          <w:rFonts w:cs="TimesNewRoman"/>
          <w:i/>
          <w:sz w:val="24"/>
        </w:rPr>
        <w:t xml:space="preserve"> person to the </w:t>
      </w:r>
      <w:proofErr w:type="spellStart"/>
      <w:r w:rsidRPr="00D244BA">
        <w:rPr>
          <w:rFonts w:cs="TimesNewRoman"/>
          <w:i/>
          <w:sz w:val="24"/>
        </w:rPr>
        <w:t>insurer</w:t>
      </w:r>
      <w:proofErr w:type="spellEnd"/>
      <w:r w:rsidRPr="00D244BA">
        <w:rPr>
          <w:rFonts w:cs="TimesNewRoman"/>
          <w:i/>
          <w:sz w:val="24"/>
        </w:rPr>
        <w:t xml:space="preserve"> shall not be to the </w:t>
      </w:r>
      <w:proofErr w:type="spellStart"/>
      <w:r w:rsidRPr="00D244BA">
        <w:rPr>
          <w:rFonts w:cs="TimesNewRoman"/>
          <w:i/>
          <w:sz w:val="24"/>
        </w:rPr>
        <w:t>detriment</w:t>
      </w:r>
      <w:proofErr w:type="spellEnd"/>
      <w:r w:rsidRPr="00D244BA">
        <w:rPr>
          <w:rFonts w:cs="TimesNewRoman"/>
          <w:i/>
          <w:sz w:val="24"/>
        </w:rPr>
        <w:t xml:space="preserve"> </w:t>
      </w:r>
      <w:proofErr w:type="spellStart"/>
      <w:r w:rsidRPr="00D244BA">
        <w:rPr>
          <w:rFonts w:cs="TimesNewRoman"/>
          <w:i/>
          <w:sz w:val="24"/>
        </w:rPr>
        <w:t>of</w:t>
      </w:r>
      <w:proofErr w:type="spellEnd"/>
      <w:r w:rsidRPr="00D244BA">
        <w:rPr>
          <w:rFonts w:cs="TimesNewRoman"/>
          <w:i/>
          <w:sz w:val="24"/>
        </w:rPr>
        <w:t xml:space="preserve"> the </w:t>
      </w:r>
      <w:proofErr w:type="spellStart"/>
      <w:r w:rsidRPr="00D244BA">
        <w:rPr>
          <w:rFonts w:cs="TimesNewRoman"/>
          <w:i/>
          <w:sz w:val="24"/>
        </w:rPr>
        <w:t>insured</w:t>
      </w:r>
      <w:proofErr w:type="spellEnd"/>
      <w:r w:rsidRPr="00D244BA">
        <w:rPr>
          <w:rFonts w:cs="TimesNewRoman"/>
          <w:i/>
          <w:sz w:val="24"/>
        </w:rPr>
        <w:t xml:space="preserve"> person, </w:t>
      </w:r>
      <w:proofErr w:type="spellStart"/>
      <w:r w:rsidRPr="00D244BA">
        <w:rPr>
          <w:rFonts w:cs="TimesNewRoman"/>
          <w:i/>
          <w:sz w:val="24"/>
        </w:rPr>
        <w:t>so</w:t>
      </w:r>
      <w:proofErr w:type="spellEnd"/>
      <w:r w:rsidRPr="00D244BA">
        <w:rPr>
          <w:rFonts w:cs="TimesNewRoman"/>
          <w:i/>
          <w:sz w:val="24"/>
        </w:rPr>
        <w:t xml:space="preserve"> </w:t>
      </w:r>
      <w:proofErr w:type="spellStart"/>
      <w:r w:rsidRPr="00D244BA">
        <w:rPr>
          <w:rFonts w:cs="TimesNewRoman"/>
          <w:i/>
          <w:sz w:val="24"/>
        </w:rPr>
        <w:t>that</w:t>
      </w:r>
      <w:proofErr w:type="spellEnd"/>
      <w:r w:rsidRPr="00D244BA">
        <w:rPr>
          <w:rFonts w:cs="TimesNewRoman"/>
          <w:i/>
          <w:sz w:val="24"/>
        </w:rPr>
        <w:t xml:space="preserve"> </w:t>
      </w:r>
      <w:proofErr w:type="spellStart"/>
      <w:r w:rsidRPr="00D244BA">
        <w:rPr>
          <w:rFonts w:cs="TimesNewRoman"/>
          <w:i/>
          <w:sz w:val="24"/>
        </w:rPr>
        <w:t>should</w:t>
      </w:r>
      <w:proofErr w:type="spellEnd"/>
      <w:r w:rsidRPr="00D244BA">
        <w:rPr>
          <w:rFonts w:cs="TimesNewRoman"/>
          <w:i/>
          <w:sz w:val="24"/>
        </w:rPr>
        <w:t xml:space="preserve"> </w:t>
      </w:r>
      <w:proofErr w:type="spellStart"/>
      <w:r w:rsidRPr="00D244BA">
        <w:rPr>
          <w:rFonts w:cs="TimesNewRoman"/>
          <w:i/>
          <w:sz w:val="24"/>
        </w:rPr>
        <w:t>compensation</w:t>
      </w:r>
      <w:proofErr w:type="spellEnd"/>
      <w:r w:rsidRPr="00D244BA">
        <w:rPr>
          <w:rFonts w:cs="TimesNewRoman"/>
          <w:i/>
          <w:sz w:val="24"/>
        </w:rPr>
        <w:t xml:space="preserve"> </w:t>
      </w:r>
      <w:proofErr w:type="spellStart"/>
      <w:r w:rsidRPr="00D244BA">
        <w:rPr>
          <w:rFonts w:cs="TimesNewRoman"/>
          <w:i/>
          <w:sz w:val="24"/>
        </w:rPr>
        <w:t>received</w:t>
      </w:r>
      <w:proofErr w:type="spellEnd"/>
      <w:r w:rsidRPr="00D244BA">
        <w:rPr>
          <w:rFonts w:cs="TimesNewRoman"/>
          <w:i/>
          <w:sz w:val="24"/>
        </w:rPr>
        <w:t xml:space="preserve"> by the </w:t>
      </w:r>
      <w:proofErr w:type="spellStart"/>
      <w:r w:rsidRPr="00D244BA">
        <w:rPr>
          <w:rFonts w:cs="TimesNewRoman"/>
          <w:i/>
          <w:sz w:val="24"/>
        </w:rPr>
        <w:t>insured</w:t>
      </w:r>
      <w:proofErr w:type="spellEnd"/>
      <w:r w:rsidRPr="00D244BA">
        <w:rPr>
          <w:rFonts w:cs="TimesNewRoman"/>
          <w:i/>
          <w:sz w:val="24"/>
        </w:rPr>
        <w:t xml:space="preserve"> person </w:t>
      </w:r>
      <w:proofErr w:type="spellStart"/>
      <w:r w:rsidRPr="00D244BA">
        <w:rPr>
          <w:rFonts w:cs="TimesNewRoman"/>
          <w:i/>
          <w:sz w:val="24"/>
        </w:rPr>
        <w:t>from</w:t>
      </w:r>
      <w:proofErr w:type="spellEnd"/>
      <w:r w:rsidRPr="00D244BA">
        <w:rPr>
          <w:rFonts w:cs="TimesNewRoman"/>
          <w:i/>
          <w:sz w:val="24"/>
        </w:rPr>
        <w:t xml:space="preserve"> the </w:t>
      </w:r>
      <w:proofErr w:type="spellStart"/>
      <w:r w:rsidRPr="00D244BA">
        <w:rPr>
          <w:rFonts w:cs="TimesNewRoman"/>
          <w:i/>
          <w:sz w:val="24"/>
        </w:rPr>
        <w:t>insurer</w:t>
      </w:r>
      <w:proofErr w:type="spellEnd"/>
      <w:r w:rsidRPr="00D244BA">
        <w:rPr>
          <w:rFonts w:cs="TimesNewRoman"/>
          <w:i/>
          <w:sz w:val="24"/>
        </w:rPr>
        <w:t xml:space="preserve"> be, </w:t>
      </w:r>
      <w:proofErr w:type="spellStart"/>
      <w:r w:rsidRPr="00D244BA">
        <w:rPr>
          <w:rFonts w:cs="TimesNewRoman"/>
          <w:i/>
          <w:sz w:val="24"/>
        </w:rPr>
        <w:t>on</w:t>
      </w:r>
      <w:proofErr w:type="spellEnd"/>
      <w:r w:rsidRPr="00D244BA">
        <w:rPr>
          <w:rFonts w:cs="TimesNewRoman"/>
          <w:i/>
          <w:sz w:val="24"/>
        </w:rPr>
        <w:t xml:space="preserve"> </w:t>
      </w:r>
      <w:proofErr w:type="spellStart"/>
      <w:r w:rsidRPr="00D244BA">
        <w:rPr>
          <w:rFonts w:cs="TimesNewRoman"/>
          <w:i/>
          <w:sz w:val="24"/>
        </w:rPr>
        <w:t>whatever</w:t>
      </w:r>
      <w:proofErr w:type="spellEnd"/>
      <w:r w:rsidRPr="00D244BA">
        <w:rPr>
          <w:rFonts w:cs="TimesNewRoman"/>
          <w:i/>
          <w:sz w:val="24"/>
        </w:rPr>
        <w:t xml:space="preserve"> </w:t>
      </w:r>
      <w:proofErr w:type="spellStart"/>
      <w:r w:rsidRPr="00D244BA">
        <w:rPr>
          <w:rFonts w:cs="TimesNewRoman"/>
          <w:i/>
          <w:sz w:val="24"/>
        </w:rPr>
        <w:t>ground</w:t>
      </w:r>
      <w:proofErr w:type="spellEnd"/>
      <w:r w:rsidRPr="00D244BA">
        <w:rPr>
          <w:rFonts w:cs="TimesNewRoman"/>
          <w:i/>
          <w:sz w:val="24"/>
        </w:rPr>
        <w:t xml:space="preserve">, </w:t>
      </w:r>
      <w:proofErr w:type="spellStart"/>
      <w:r w:rsidRPr="00D244BA">
        <w:rPr>
          <w:rFonts w:cs="TimesNewRoman"/>
          <w:i/>
          <w:sz w:val="24"/>
        </w:rPr>
        <w:t>lower</w:t>
      </w:r>
      <w:proofErr w:type="spellEnd"/>
      <w:r w:rsidRPr="00D244BA">
        <w:rPr>
          <w:rFonts w:cs="TimesNewRoman"/>
          <w:i/>
          <w:sz w:val="24"/>
        </w:rPr>
        <w:t xml:space="preserve"> than the </w:t>
      </w:r>
      <w:proofErr w:type="spellStart"/>
      <w:r w:rsidRPr="00D244BA">
        <w:rPr>
          <w:rFonts w:cs="TimesNewRoman"/>
          <w:i/>
          <w:sz w:val="24"/>
        </w:rPr>
        <w:t>damage</w:t>
      </w:r>
      <w:proofErr w:type="spellEnd"/>
      <w:r w:rsidRPr="00D244BA">
        <w:rPr>
          <w:rFonts w:cs="TimesNewRoman"/>
          <w:i/>
          <w:sz w:val="24"/>
        </w:rPr>
        <w:t xml:space="preserve"> </w:t>
      </w:r>
      <w:proofErr w:type="spellStart"/>
      <w:r w:rsidRPr="00D244BA">
        <w:rPr>
          <w:rFonts w:cs="TimesNewRoman"/>
          <w:i/>
          <w:sz w:val="24"/>
        </w:rPr>
        <w:t>sustained</w:t>
      </w:r>
      <w:proofErr w:type="spellEnd"/>
      <w:r w:rsidRPr="00D244BA">
        <w:rPr>
          <w:rFonts w:cs="TimesNewRoman"/>
          <w:i/>
          <w:sz w:val="24"/>
        </w:rPr>
        <w:t xml:space="preserve"> by </w:t>
      </w:r>
      <w:proofErr w:type="spellStart"/>
      <w:r w:rsidRPr="00D244BA">
        <w:rPr>
          <w:rFonts w:cs="TimesNewRoman"/>
          <w:i/>
          <w:sz w:val="24"/>
        </w:rPr>
        <w:t>him</w:t>
      </w:r>
      <w:proofErr w:type="spellEnd"/>
      <w:r w:rsidRPr="00D244BA">
        <w:rPr>
          <w:rFonts w:cs="TimesNewRoman"/>
          <w:i/>
          <w:sz w:val="24"/>
        </w:rPr>
        <w:t xml:space="preserve">, the </w:t>
      </w:r>
      <w:proofErr w:type="spellStart"/>
      <w:r w:rsidRPr="00D244BA">
        <w:rPr>
          <w:rFonts w:cs="TimesNewRoman"/>
          <w:i/>
          <w:sz w:val="24"/>
        </w:rPr>
        <w:t>insured</w:t>
      </w:r>
      <w:proofErr w:type="spellEnd"/>
      <w:r w:rsidRPr="00D244BA">
        <w:rPr>
          <w:rFonts w:cs="TimesNewRoman"/>
          <w:i/>
          <w:sz w:val="24"/>
        </w:rPr>
        <w:t xml:space="preserve"> person shall be </w:t>
      </w:r>
      <w:proofErr w:type="spellStart"/>
      <w:r w:rsidRPr="00D244BA">
        <w:rPr>
          <w:rFonts w:cs="TimesNewRoman"/>
          <w:i/>
          <w:sz w:val="24"/>
        </w:rPr>
        <w:t>entitled</w:t>
      </w:r>
      <w:proofErr w:type="spellEnd"/>
      <w:r w:rsidRPr="00D244BA">
        <w:rPr>
          <w:rFonts w:cs="TimesNewRoman"/>
          <w:i/>
          <w:sz w:val="24"/>
        </w:rPr>
        <w:t xml:space="preserve"> to </w:t>
      </w:r>
      <w:proofErr w:type="spellStart"/>
      <w:r w:rsidRPr="00D244BA">
        <w:rPr>
          <w:rFonts w:cs="TimesNewRoman"/>
          <w:i/>
          <w:sz w:val="24"/>
        </w:rPr>
        <w:t>reimbursement</w:t>
      </w:r>
      <w:proofErr w:type="spellEnd"/>
      <w:r w:rsidRPr="00D244BA">
        <w:rPr>
          <w:rFonts w:cs="TimesNewRoman"/>
          <w:i/>
          <w:sz w:val="24"/>
        </w:rPr>
        <w:t xml:space="preserve"> </w:t>
      </w:r>
      <w:proofErr w:type="spellStart"/>
      <w:r w:rsidRPr="00D244BA">
        <w:rPr>
          <w:rFonts w:cs="TimesNewRoman"/>
          <w:i/>
          <w:sz w:val="24"/>
        </w:rPr>
        <w:t>from</w:t>
      </w:r>
      <w:proofErr w:type="spellEnd"/>
      <w:r w:rsidRPr="00D244BA">
        <w:rPr>
          <w:rFonts w:cs="TimesNewRoman"/>
          <w:i/>
          <w:sz w:val="24"/>
        </w:rPr>
        <w:t xml:space="preserve"> </w:t>
      </w:r>
      <w:proofErr w:type="spellStart"/>
      <w:r w:rsidRPr="00D244BA">
        <w:rPr>
          <w:rFonts w:cs="TimesNewRoman"/>
          <w:i/>
          <w:sz w:val="24"/>
        </w:rPr>
        <w:t>liable</w:t>
      </w:r>
      <w:proofErr w:type="spellEnd"/>
      <w:r w:rsidRPr="00D244BA">
        <w:rPr>
          <w:rFonts w:cs="TimesNewRoman"/>
          <w:i/>
          <w:sz w:val="24"/>
        </w:rPr>
        <w:t xml:space="preserve"> </w:t>
      </w:r>
      <w:proofErr w:type="spellStart"/>
      <w:r w:rsidRPr="00D244BA">
        <w:rPr>
          <w:rFonts w:cs="TimesNewRoman"/>
          <w:i/>
          <w:sz w:val="24"/>
        </w:rPr>
        <w:t>party's</w:t>
      </w:r>
      <w:proofErr w:type="spellEnd"/>
      <w:r w:rsidRPr="00D244BA">
        <w:rPr>
          <w:rFonts w:cs="TimesNewRoman"/>
          <w:i/>
          <w:sz w:val="24"/>
        </w:rPr>
        <w:t xml:space="preserve"> </w:t>
      </w:r>
      <w:proofErr w:type="spellStart"/>
      <w:r w:rsidRPr="00D244BA">
        <w:rPr>
          <w:rFonts w:cs="TimesNewRoman"/>
          <w:i/>
          <w:sz w:val="24"/>
        </w:rPr>
        <w:t>means</w:t>
      </w:r>
      <w:proofErr w:type="spellEnd"/>
      <w:r w:rsidRPr="00D244BA">
        <w:rPr>
          <w:rFonts w:cs="TimesNewRoman"/>
          <w:i/>
          <w:sz w:val="24"/>
        </w:rPr>
        <w:t xml:space="preserve"> </w:t>
      </w:r>
      <w:proofErr w:type="spellStart"/>
      <w:r w:rsidRPr="00D244BA">
        <w:rPr>
          <w:rFonts w:cs="TimesNewRoman"/>
          <w:i/>
          <w:sz w:val="24"/>
        </w:rPr>
        <w:t>for</w:t>
      </w:r>
      <w:proofErr w:type="spellEnd"/>
      <w:r w:rsidRPr="00D244BA">
        <w:rPr>
          <w:rFonts w:cs="TimesNewRoman"/>
          <w:i/>
          <w:sz w:val="24"/>
        </w:rPr>
        <w:t xml:space="preserve"> the </w:t>
      </w:r>
      <w:proofErr w:type="spellStart"/>
      <w:r w:rsidRPr="00D244BA">
        <w:rPr>
          <w:rFonts w:cs="TimesNewRoman"/>
          <w:i/>
          <w:sz w:val="24"/>
        </w:rPr>
        <w:t>remaining</w:t>
      </w:r>
      <w:proofErr w:type="spellEnd"/>
      <w:r w:rsidRPr="00D244BA">
        <w:rPr>
          <w:rFonts w:cs="TimesNewRoman"/>
          <w:i/>
          <w:sz w:val="24"/>
        </w:rPr>
        <w:t xml:space="preserve"> </w:t>
      </w:r>
      <w:proofErr w:type="spellStart"/>
      <w:r w:rsidRPr="00D244BA">
        <w:rPr>
          <w:rFonts w:cs="TimesNewRoman"/>
          <w:i/>
          <w:sz w:val="24"/>
        </w:rPr>
        <w:t>part</w:t>
      </w:r>
      <w:proofErr w:type="spellEnd"/>
      <w:r w:rsidRPr="00D244BA">
        <w:rPr>
          <w:rFonts w:cs="TimesNewRoman"/>
          <w:i/>
          <w:sz w:val="24"/>
        </w:rPr>
        <w:t xml:space="preserve"> </w:t>
      </w:r>
      <w:proofErr w:type="spellStart"/>
      <w:r w:rsidRPr="00D244BA">
        <w:rPr>
          <w:rFonts w:cs="TimesNewRoman"/>
          <w:i/>
          <w:sz w:val="24"/>
        </w:rPr>
        <w:t>of</w:t>
      </w:r>
      <w:proofErr w:type="spellEnd"/>
      <w:r w:rsidRPr="00D244BA">
        <w:rPr>
          <w:rFonts w:cs="TimesNewRoman"/>
          <w:i/>
          <w:sz w:val="24"/>
        </w:rPr>
        <w:t xml:space="preserve"> </w:t>
      </w:r>
      <w:proofErr w:type="spellStart"/>
      <w:r w:rsidRPr="00D244BA">
        <w:rPr>
          <w:rFonts w:cs="TimesNewRoman"/>
          <w:i/>
          <w:sz w:val="24"/>
        </w:rPr>
        <w:t>compensation</w:t>
      </w:r>
      <w:proofErr w:type="spellEnd"/>
      <w:r w:rsidRPr="00D244BA">
        <w:rPr>
          <w:rFonts w:cs="TimesNewRoman"/>
          <w:i/>
          <w:sz w:val="24"/>
        </w:rPr>
        <w:t xml:space="preserve">, </w:t>
      </w:r>
      <w:proofErr w:type="spellStart"/>
      <w:r w:rsidRPr="00D244BA">
        <w:rPr>
          <w:rFonts w:cs="TimesNewRoman"/>
          <w:i/>
          <w:sz w:val="24"/>
        </w:rPr>
        <w:t>prior</w:t>
      </w:r>
      <w:proofErr w:type="spellEnd"/>
      <w:r w:rsidRPr="00D244BA">
        <w:rPr>
          <w:rFonts w:cs="TimesNewRoman"/>
          <w:i/>
          <w:sz w:val="24"/>
        </w:rPr>
        <w:t xml:space="preserve"> to the </w:t>
      </w:r>
      <w:proofErr w:type="spellStart"/>
      <w:r w:rsidRPr="00D244BA">
        <w:rPr>
          <w:rFonts w:cs="TimesNewRoman"/>
          <w:i/>
          <w:sz w:val="24"/>
        </w:rPr>
        <w:t>payment</w:t>
      </w:r>
      <w:proofErr w:type="spellEnd"/>
      <w:r w:rsidRPr="00D244BA">
        <w:rPr>
          <w:rFonts w:cs="TimesNewRoman"/>
          <w:i/>
          <w:sz w:val="24"/>
        </w:rPr>
        <w:t xml:space="preserve"> </w:t>
      </w:r>
      <w:proofErr w:type="spellStart"/>
      <w:r w:rsidRPr="00D244BA">
        <w:rPr>
          <w:rFonts w:cs="TimesNewRoman"/>
          <w:i/>
          <w:sz w:val="24"/>
        </w:rPr>
        <w:t>of</w:t>
      </w:r>
      <w:proofErr w:type="spellEnd"/>
      <w:r w:rsidRPr="00D244BA">
        <w:rPr>
          <w:rFonts w:cs="TimesNewRoman"/>
          <w:i/>
          <w:sz w:val="24"/>
        </w:rPr>
        <w:t xml:space="preserve"> </w:t>
      </w:r>
      <w:proofErr w:type="spellStart"/>
      <w:r w:rsidRPr="00D244BA">
        <w:rPr>
          <w:rFonts w:cs="TimesNewRoman"/>
          <w:i/>
          <w:sz w:val="24"/>
        </w:rPr>
        <w:t>insurer's</w:t>
      </w:r>
      <w:proofErr w:type="spellEnd"/>
      <w:r w:rsidRPr="00D244BA">
        <w:rPr>
          <w:rFonts w:cs="TimesNewRoman"/>
          <w:i/>
          <w:sz w:val="24"/>
        </w:rPr>
        <w:t xml:space="preserve"> </w:t>
      </w:r>
      <w:proofErr w:type="spellStart"/>
      <w:r w:rsidRPr="00D244BA">
        <w:rPr>
          <w:rFonts w:cs="TimesNewRoman"/>
          <w:i/>
          <w:sz w:val="24"/>
        </w:rPr>
        <w:t>claim</w:t>
      </w:r>
      <w:proofErr w:type="spellEnd"/>
      <w:r w:rsidRPr="00D244BA">
        <w:rPr>
          <w:rFonts w:cs="TimesNewRoman"/>
          <w:i/>
          <w:sz w:val="24"/>
        </w:rPr>
        <w:t xml:space="preserve"> </w:t>
      </w:r>
      <w:proofErr w:type="spellStart"/>
      <w:r w:rsidRPr="00D244BA">
        <w:rPr>
          <w:rFonts w:cs="TimesNewRoman"/>
          <w:i/>
          <w:sz w:val="24"/>
        </w:rPr>
        <w:t>on</w:t>
      </w:r>
      <w:proofErr w:type="spellEnd"/>
      <w:r w:rsidRPr="00D244BA">
        <w:rPr>
          <w:rFonts w:cs="TimesNewRoman"/>
          <w:i/>
          <w:sz w:val="24"/>
        </w:rPr>
        <w:t xml:space="preserve"> the </w:t>
      </w:r>
      <w:proofErr w:type="spellStart"/>
      <w:r w:rsidRPr="00D244BA">
        <w:rPr>
          <w:rFonts w:cs="TimesNewRoman"/>
          <w:i/>
          <w:sz w:val="24"/>
        </w:rPr>
        <w:t>ground</w:t>
      </w:r>
      <w:proofErr w:type="spellEnd"/>
      <w:r w:rsidRPr="00D244BA">
        <w:rPr>
          <w:rFonts w:cs="TimesNewRoman"/>
          <w:i/>
          <w:sz w:val="24"/>
        </w:rPr>
        <w:t xml:space="preserve"> </w:t>
      </w:r>
      <w:proofErr w:type="spellStart"/>
      <w:r w:rsidRPr="00D244BA">
        <w:rPr>
          <w:rFonts w:cs="TimesNewRoman"/>
          <w:i/>
          <w:sz w:val="24"/>
        </w:rPr>
        <w:t>of</w:t>
      </w:r>
      <w:proofErr w:type="spellEnd"/>
      <w:r w:rsidRPr="00D244BA">
        <w:rPr>
          <w:rFonts w:cs="TimesNewRoman"/>
          <w:i/>
          <w:sz w:val="24"/>
        </w:rPr>
        <w:t xml:space="preserve"> </w:t>
      </w:r>
      <w:proofErr w:type="spellStart"/>
      <w:r w:rsidRPr="00D244BA">
        <w:rPr>
          <w:rFonts w:cs="TimesNewRoman"/>
          <w:i/>
          <w:sz w:val="24"/>
        </w:rPr>
        <w:t>rights</w:t>
      </w:r>
      <w:proofErr w:type="spellEnd"/>
      <w:r w:rsidRPr="00D244BA">
        <w:rPr>
          <w:rFonts w:cs="TimesNewRoman"/>
          <w:i/>
          <w:sz w:val="24"/>
        </w:rPr>
        <w:t xml:space="preserve"> </w:t>
      </w:r>
      <w:proofErr w:type="spellStart"/>
      <w:r w:rsidRPr="00D244BA">
        <w:rPr>
          <w:rFonts w:cs="TimesNewRoman"/>
          <w:i/>
          <w:sz w:val="24"/>
        </w:rPr>
        <w:t>which</w:t>
      </w:r>
      <w:proofErr w:type="spellEnd"/>
      <w:r w:rsidRPr="00D244BA">
        <w:rPr>
          <w:rFonts w:cs="TimesNewRoman"/>
          <w:i/>
          <w:sz w:val="24"/>
        </w:rPr>
        <w:t xml:space="preserve"> </w:t>
      </w:r>
      <w:proofErr w:type="spellStart"/>
      <w:r w:rsidRPr="00D244BA">
        <w:rPr>
          <w:rFonts w:cs="TimesNewRoman"/>
          <w:i/>
          <w:sz w:val="24"/>
        </w:rPr>
        <w:t>have</w:t>
      </w:r>
      <w:proofErr w:type="spellEnd"/>
      <w:r w:rsidRPr="00D244BA">
        <w:rPr>
          <w:rFonts w:cs="TimesNewRoman"/>
          <w:i/>
          <w:sz w:val="24"/>
        </w:rPr>
        <w:t xml:space="preserve"> </w:t>
      </w:r>
      <w:proofErr w:type="spellStart"/>
      <w:r w:rsidRPr="00D244BA">
        <w:rPr>
          <w:rFonts w:cs="TimesNewRoman"/>
          <w:i/>
          <w:sz w:val="24"/>
        </w:rPr>
        <w:t>been</w:t>
      </w:r>
      <w:proofErr w:type="spellEnd"/>
      <w:r w:rsidRPr="00D244BA">
        <w:rPr>
          <w:rFonts w:cs="TimesNewRoman"/>
          <w:i/>
          <w:sz w:val="24"/>
        </w:rPr>
        <w:t xml:space="preserve"> </w:t>
      </w:r>
      <w:proofErr w:type="spellStart"/>
      <w:r w:rsidRPr="00D244BA">
        <w:rPr>
          <w:rFonts w:cs="TimesNewRoman"/>
          <w:i/>
          <w:sz w:val="24"/>
        </w:rPr>
        <w:t>transferred</w:t>
      </w:r>
      <w:proofErr w:type="spellEnd"/>
      <w:r w:rsidRPr="00D244BA">
        <w:rPr>
          <w:rFonts w:cs="TimesNewRoman"/>
          <w:i/>
          <w:sz w:val="24"/>
        </w:rPr>
        <w:t xml:space="preserve"> </w:t>
      </w:r>
      <w:proofErr w:type="spellStart"/>
      <w:r w:rsidRPr="00D244BA">
        <w:rPr>
          <w:rFonts w:cs="TimesNewRoman"/>
          <w:i/>
          <w:sz w:val="24"/>
        </w:rPr>
        <w:t>him</w:t>
      </w:r>
      <w:proofErr w:type="spellEnd"/>
      <w:r w:rsidR="00FF271B" w:rsidRPr="00D244BA">
        <w:rPr>
          <w:i/>
          <w:sz w:val="24"/>
          <w:lang w:val="en-GB" w:eastAsia="pl-PL"/>
        </w:rPr>
        <w:t>.</w:t>
      </w:r>
    </w:p>
    <w:p w:rsidR="00D84302" w:rsidRPr="00314A8D" w:rsidRDefault="00D84302" w:rsidP="00A06B9C">
      <w:pPr>
        <w:spacing w:line="240" w:lineRule="auto"/>
        <w:ind w:left="990"/>
        <w:rPr>
          <w:i/>
          <w:sz w:val="24"/>
          <w:lang w:val="en-GB"/>
        </w:rPr>
      </w:pPr>
    </w:p>
    <w:p w:rsidR="00D244BA" w:rsidRPr="00D244BA" w:rsidRDefault="00D244BA" w:rsidP="00A06B9C">
      <w:pPr>
        <w:autoSpaceDE w:val="0"/>
        <w:autoSpaceDN w:val="0"/>
        <w:adjustRightInd w:val="0"/>
        <w:spacing w:line="240" w:lineRule="auto"/>
        <w:ind w:left="990"/>
        <w:rPr>
          <w:rFonts w:cs="TimesNewRoman"/>
          <w:i/>
          <w:sz w:val="24"/>
        </w:rPr>
      </w:pPr>
      <w:r w:rsidRPr="00D244BA">
        <w:rPr>
          <w:rFonts w:cs="TimesNewRoman"/>
          <w:i/>
          <w:sz w:val="24"/>
        </w:rPr>
        <w:t xml:space="preserve">As an </w:t>
      </w:r>
      <w:proofErr w:type="spellStart"/>
      <w:r w:rsidRPr="00D244BA">
        <w:rPr>
          <w:rFonts w:cs="TimesNewRoman"/>
          <w:i/>
          <w:sz w:val="24"/>
        </w:rPr>
        <w:t>exception</w:t>
      </w:r>
      <w:proofErr w:type="spellEnd"/>
      <w:r w:rsidRPr="00D244BA">
        <w:rPr>
          <w:rFonts w:cs="TimesNewRoman"/>
          <w:i/>
          <w:sz w:val="24"/>
        </w:rPr>
        <w:t xml:space="preserve"> to the </w:t>
      </w:r>
      <w:proofErr w:type="spellStart"/>
      <w:r w:rsidRPr="00D244BA">
        <w:rPr>
          <w:rFonts w:cs="TimesNewRoman"/>
          <w:i/>
          <w:sz w:val="24"/>
        </w:rPr>
        <w:t>rules</w:t>
      </w:r>
      <w:proofErr w:type="spellEnd"/>
      <w:r w:rsidRPr="00D244BA">
        <w:rPr>
          <w:rFonts w:cs="TimesNewRoman"/>
          <w:i/>
          <w:sz w:val="24"/>
        </w:rPr>
        <w:t xml:space="preserve"> </w:t>
      </w:r>
      <w:proofErr w:type="spellStart"/>
      <w:r w:rsidRPr="00D244BA">
        <w:rPr>
          <w:rFonts w:cs="TimesNewRoman"/>
          <w:i/>
          <w:sz w:val="24"/>
        </w:rPr>
        <w:t>of</w:t>
      </w:r>
      <w:proofErr w:type="spellEnd"/>
      <w:r w:rsidRPr="00D244BA">
        <w:rPr>
          <w:rFonts w:cs="TimesNewRoman"/>
          <w:i/>
          <w:sz w:val="24"/>
        </w:rPr>
        <w:t xml:space="preserve"> </w:t>
      </w:r>
      <w:proofErr w:type="spellStart"/>
      <w:r w:rsidRPr="00D244BA">
        <w:rPr>
          <w:rFonts w:cs="TimesNewRoman"/>
          <w:i/>
          <w:sz w:val="24"/>
        </w:rPr>
        <w:t>transfer</w:t>
      </w:r>
      <w:proofErr w:type="spellEnd"/>
      <w:r w:rsidRPr="00D244BA">
        <w:rPr>
          <w:rFonts w:cs="TimesNewRoman"/>
          <w:i/>
          <w:sz w:val="24"/>
        </w:rPr>
        <w:t xml:space="preserve"> </w:t>
      </w:r>
      <w:proofErr w:type="spellStart"/>
      <w:r w:rsidRPr="00D244BA">
        <w:rPr>
          <w:rFonts w:cs="TimesNewRoman"/>
          <w:i/>
          <w:sz w:val="24"/>
        </w:rPr>
        <w:t>of</w:t>
      </w:r>
      <w:proofErr w:type="spellEnd"/>
      <w:r w:rsidRPr="00D244BA">
        <w:rPr>
          <w:rFonts w:cs="TimesNewRoman"/>
          <w:i/>
          <w:sz w:val="24"/>
        </w:rPr>
        <w:t xml:space="preserve"> an </w:t>
      </w:r>
      <w:proofErr w:type="spellStart"/>
      <w:r w:rsidRPr="00D244BA">
        <w:rPr>
          <w:rFonts w:cs="TimesNewRoman"/>
          <w:i/>
          <w:sz w:val="24"/>
        </w:rPr>
        <w:t>insured</w:t>
      </w:r>
      <w:proofErr w:type="spellEnd"/>
      <w:r w:rsidRPr="00D244BA">
        <w:rPr>
          <w:rFonts w:cs="TimesNewRoman"/>
          <w:i/>
          <w:sz w:val="24"/>
        </w:rPr>
        <w:t xml:space="preserve"> </w:t>
      </w:r>
      <w:proofErr w:type="spellStart"/>
      <w:r w:rsidRPr="00D244BA">
        <w:rPr>
          <w:rFonts w:cs="TimesNewRoman"/>
          <w:i/>
          <w:sz w:val="24"/>
        </w:rPr>
        <w:t>person's</w:t>
      </w:r>
      <w:proofErr w:type="spellEnd"/>
      <w:r w:rsidRPr="00D244BA">
        <w:rPr>
          <w:rFonts w:cs="TimesNewRoman"/>
          <w:i/>
          <w:sz w:val="24"/>
        </w:rPr>
        <w:t xml:space="preserve"> </w:t>
      </w:r>
      <w:proofErr w:type="spellStart"/>
      <w:r w:rsidRPr="00D244BA">
        <w:rPr>
          <w:rFonts w:cs="TimesNewRoman"/>
          <w:i/>
          <w:sz w:val="24"/>
        </w:rPr>
        <w:t>rights</w:t>
      </w:r>
      <w:proofErr w:type="spellEnd"/>
      <w:r w:rsidRPr="00D244BA">
        <w:rPr>
          <w:rFonts w:cs="TimesNewRoman"/>
          <w:i/>
          <w:sz w:val="24"/>
        </w:rPr>
        <w:t xml:space="preserve"> to the </w:t>
      </w:r>
      <w:proofErr w:type="spellStart"/>
      <w:r w:rsidRPr="00D244BA">
        <w:rPr>
          <w:rFonts w:cs="TimesNewRoman"/>
          <w:i/>
          <w:sz w:val="24"/>
        </w:rPr>
        <w:t>insurer</w:t>
      </w:r>
      <w:proofErr w:type="spellEnd"/>
      <w:r w:rsidRPr="00D244BA">
        <w:rPr>
          <w:rFonts w:cs="TimesNewRoman"/>
          <w:i/>
          <w:sz w:val="24"/>
        </w:rPr>
        <w:t xml:space="preserve">, </w:t>
      </w:r>
      <w:proofErr w:type="spellStart"/>
      <w:r w:rsidRPr="00D244BA">
        <w:rPr>
          <w:rFonts w:cs="TimesNewRoman"/>
          <w:i/>
          <w:sz w:val="24"/>
        </w:rPr>
        <w:t>these</w:t>
      </w:r>
      <w:proofErr w:type="spellEnd"/>
      <w:r w:rsidRPr="00D244BA">
        <w:rPr>
          <w:rFonts w:cs="TimesNewRoman"/>
          <w:i/>
          <w:sz w:val="24"/>
        </w:rPr>
        <w:t xml:space="preserve"> </w:t>
      </w:r>
      <w:proofErr w:type="spellStart"/>
      <w:r w:rsidRPr="00D244BA">
        <w:rPr>
          <w:rFonts w:cs="TimesNewRoman"/>
          <w:i/>
          <w:sz w:val="24"/>
        </w:rPr>
        <w:t>rights</w:t>
      </w:r>
      <w:proofErr w:type="spellEnd"/>
      <w:r w:rsidRPr="00D244BA">
        <w:rPr>
          <w:rFonts w:cs="TimesNewRoman"/>
          <w:i/>
          <w:sz w:val="24"/>
        </w:rPr>
        <w:t xml:space="preserve"> shall not </w:t>
      </w:r>
      <w:proofErr w:type="spellStart"/>
      <w:r w:rsidRPr="00D244BA">
        <w:rPr>
          <w:rFonts w:cs="TimesNewRoman"/>
          <w:i/>
          <w:sz w:val="24"/>
        </w:rPr>
        <w:t>pass</w:t>
      </w:r>
      <w:proofErr w:type="spellEnd"/>
      <w:r w:rsidRPr="00D244BA">
        <w:rPr>
          <w:rFonts w:cs="TimesNewRoman"/>
          <w:i/>
          <w:sz w:val="24"/>
        </w:rPr>
        <w:t xml:space="preserve"> to the </w:t>
      </w:r>
      <w:proofErr w:type="spellStart"/>
      <w:r w:rsidRPr="00D244BA">
        <w:rPr>
          <w:rFonts w:cs="TimesNewRoman"/>
          <w:i/>
          <w:sz w:val="24"/>
        </w:rPr>
        <w:t>insurer</w:t>
      </w:r>
      <w:proofErr w:type="spellEnd"/>
      <w:r w:rsidRPr="00D244BA">
        <w:rPr>
          <w:rFonts w:cs="TimesNewRoman"/>
          <w:i/>
          <w:sz w:val="24"/>
        </w:rPr>
        <w:t xml:space="preserve"> </w:t>
      </w:r>
      <w:proofErr w:type="spellStart"/>
      <w:r w:rsidRPr="00D244BA">
        <w:rPr>
          <w:rFonts w:cs="TimesNewRoman"/>
          <w:i/>
          <w:sz w:val="24"/>
        </w:rPr>
        <w:t>if</w:t>
      </w:r>
      <w:proofErr w:type="spellEnd"/>
      <w:r w:rsidRPr="00D244BA">
        <w:rPr>
          <w:rFonts w:cs="TimesNewRoman"/>
          <w:i/>
          <w:sz w:val="24"/>
        </w:rPr>
        <w:t xml:space="preserve"> </w:t>
      </w:r>
      <w:proofErr w:type="spellStart"/>
      <w:r w:rsidRPr="00D244BA">
        <w:rPr>
          <w:rFonts w:cs="TimesNewRoman"/>
          <w:i/>
          <w:sz w:val="24"/>
        </w:rPr>
        <w:t>damage</w:t>
      </w:r>
      <w:proofErr w:type="spellEnd"/>
      <w:r w:rsidRPr="00D244BA">
        <w:rPr>
          <w:rFonts w:cs="TimesNewRoman"/>
          <w:i/>
          <w:sz w:val="24"/>
        </w:rPr>
        <w:t xml:space="preserve"> </w:t>
      </w:r>
      <w:proofErr w:type="spellStart"/>
      <w:r w:rsidRPr="00D244BA">
        <w:rPr>
          <w:rFonts w:cs="TimesNewRoman"/>
          <w:i/>
          <w:sz w:val="24"/>
        </w:rPr>
        <w:t>was</w:t>
      </w:r>
      <w:proofErr w:type="spellEnd"/>
      <w:r w:rsidRPr="00D244BA">
        <w:rPr>
          <w:rFonts w:cs="TimesNewRoman"/>
          <w:i/>
          <w:sz w:val="24"/>
        </w:rPr>
        <w:t xml:space="preserve"> </w:t>
      </w:r>
      <w:proofErr w:type="spellStart"/>
      <w:r w:rsidRPr="00D244BA">
        <w:rPr>
          <w:rFonts w:cs="TimesNewRoman"/>
          <w:i/>
          <w:sz w:val="24"/>
        </w:rPr>
        <w:t>caused</w:t>
      </w:r>
      <w:proofErr w:type="spellEnd"/>
      <w:r w:rsidRPr="00D244BA">
        <w:rPr>
          <w:rFonts w:cs="TimesNewRoman"/>
          <w:i/>
          <w:sz w:val="24"/>
        </w:rPr>
        <w:t xml:space="preserve"> by a person in </w:t>
      </w:r>
      <w:proofErr w:type="spellStart"/>
      <w:r w:rsidRPr="00D244BA">
        <w:rPr>
          <w:rFonts w:cs="TimesNewRoman"/>
          <w:i/>
          <w:sz w:val="24"/>
        </w:rPr>
        <w:t>direct</w:t>
      </w:r>
      <w:proofErr w:type="spellEnd"/>
      <w:r w:rsidRPr="00D244BA">
        <w:rPr>
          <w:rFonts w:cs="TimesNewRoman"/>
          <w:i/>
          <w:sz w:val="24"/>
        </w:rPr>
        <w:t xml:space="preserve"> </w:t>
      </w:r>
      <w:proofErr w:type="spellStart"/>
      <w:r w:rsidRPr="00D244BA">
        <w:rPr>
          <w:rFonts w:cs="TimesNewRoman"/>
          <w:i/>
          <w:sz w:val="24"/>
        </w:rPr>
        <w:t>relationship</w:t>
      </w:r>
      <w:proofErr w:type="spellEnd"/>
      <w:r w:rsidRPr="00D244BA">
        <w:rPr>
          <w:rFonts w:cs="TimesNewRoman"/>
          <w:i/>
          <w:sz w:val="24"/>
        </w:rPr>
        <w:t xml:space="preserve"> </w:t>
      </w:r>
      <w:proofErr w:type="spellStart"/>
      <w:r w:rsidRPr="00D244BA">
        <w:rPr>
          <w:rFonts w:cs="TimesNewRoman"/>
          <w:i/>
          <w:sz w:val="24"/>
        </w:rPr>
        <w:t>with</w:t>
      </w:r>
      <w:proofErr w:type="spellEnd"/>
      <w:r w:rsidRPr="00D244BA">
        <w:rPr>
          <w:rFonts w:cs="TimesNewRoman"/>
          <w:i/>
          <w:sz w:val="24"/>
        </w:rPr>
        <w:t xml:space="preserve"> the </w:t>
      </w:r>
      <w:proofErr w:type="spellStart"/>
      <w:r w:rsidRPr="00D244BA">
        <w:rPr>
          <w:rFonts w:cs="TimesNewRoman"/>
          <w:i/>
          <w:sz w:val="24"/>
        </w:rPr>
        <w:t>insured</w:t>
      </w:r>
      <w:proofErr w:type="spellEnd"/>
      <w:r w:rsidRPr="00D244BA">
        <w:rPr>
          <w:rFonts w:cs="TimesNewRoman"/>
          <w:i/>
          <w:sz w:val="24"/>
        </w:rPr>
        <w:t xml:space="preserve"> person or person </w:t>
      </w:r>
      <w:proofErr w:type="spellStart"/>
      <w:r w:rsidRPr="00D244BA">
        <w:rPr>
          <w:rFonts w:cs="TimesNewRoman"/>
          <w:i/>
          <w:sz w:val="24"/>
        </w:rPr>
        <w:t>under</w:t>
      </w:r>
      <w:proofErr w:type="spellEnd"/>
      <w:r w:rsidRPr="00D244BA">
        <w:rPr>
          <w:rFonts w:cs="TimesNewRoman"/>
          <w:i/>
          <w:sz w:val="24"/>
        </w:rPr>
        <w:t xml:space="preserve"> the </w:t>
      </w:r>
      <w:proofErr w:type="spellStart"/>
      <w:r w:rsidRPr="00D244BA">
        <w:rPr>
          <w:rFonts w:cs="TimesNewRoman"/>
          <w:i/>
          <w:sz w:val="24"/>
        </w:rPr>
        <w:t>care</w:t>
      </w:r>
      <w:proofErr w:type="spellEnd"/>
      <w:r w:rsidRPr="00D244BA">
        <w:rPr>
          <w:rFonts w:cs="TimesNewRoman"/>
          <w:i/>
          <w:sz w:val="24"/>
        </w:rPr>
        <w:t xml:space="preserve"> </w:t>
      </w:r>
      <w:proofErr w:type="spellStart"/>
      <w:r w:rsidRPr="00D244BA">
        <w:rPr>
          <w:rFonts w:cs="TimesNewRoman"/>
          <w:i/>
          <w:sz w:val="24"/>
        </w:rPr>
        <w:t>and</w:t>
      </w:r>
      <w:proofErr w:type="spellEnd"/>
      <w:r w:rsidRPr="00D244BA">
        <w:rPr>
          <w:rFonts w:cs="TimesNewRoman"/>
          <w:i/>
          <w:sz w:val="24"/>
        </w:rPr>
        <w:t xml:space="preserve"> </w:t>
      </w:r>
      <w:proofErr w:type="spellStart"/>
      <w:r w:rsidRPr="00D244BA">
        <w:rPr>
          <w:rFonts w:cs="TimesNewRoman"/>
          <w:i/>
          <w:sz w:val="24"/>
        </w:rPr>
        <w:t>responsibility</w:t>
      </w:r>
      <w:proofErr w:type="spellEnd"/>
      <w:r w:rsidRPr="00D244BA">
        <w:rPr>
          <w:rFonts w:cs="TimesNewRoman"/>
          <w:i/>
          <w:sz w:val="24"/>
        </w:rPr>
        <w:t xml:space="preserve"> </w:t>
      </w:r>
      <w:proofErr w:type="spellStart"/>
      <w:r w:rsidRPr="00D244BA">
        <w:rPr>
          <w:rFonts w:cs="TimesNewRoman"/>
          <w:i/>
          <w:sz w:val="24"/>
        </w:rPr>
        <w:t>of</w:t>
      </w:r>
      <w:proofErr w:type="spellEnd"/>
      <w:r w:rsidRPr="00D244BA">
        <w:rPr>
          <w:rFonts w:cs="TimesNewRoman"/>
          <w:i/>
          <w:sz w:val="24"/>
        </w:rPr>
        <w:t xml:space="preserve"> the </w:t>
      </w:r>
      <w:proofErr w:type="spellStart"/>
      <w:r w:rsidRPr="00D244BA">
        <w:rPr>
          <w:rFonts w:cs="TimesNewRoman"/>
          <w:i/>
          <w:sz w:val="24"/>
        </w:rPr>
        <w:t>insured</w:t>
      </w:r>
      <w:proofErr w:type="spellEnd"/>
      <w:r w:rsidRPr="00D244BA">
        <w:rPr>
          <w:rFonts w:cs="TimesNewRoman"/>
          <w:i/>
          <w:sz w:val="24"/>
        </w:rPr>
        <w:t xml:space="preserve"> person, or a person </w:t>
      </w:r>
      <w:proofErr w:type="spellStart"/>
      <w:r w:rsidRPr="00D244BA">
        <w:rPr>
          <w:rFonts w:cs="TimesNewRoman"/>
          <w:i/>
          <w:sz w:val="24"/>
        </w:rPr>
        <w:t>living</w:t>
      </w:r>
      <w:proofErr w:type="spellEnd"/>
      <w:r w:rsidRPr="00D244BA">
        <w:rPr>
          <w:rFonts w:cs="TimesNewRoman"/>
          <w:i/>
          <w:sz w:val="24"/>
        </w:rPr>
        <w:t xml:space="preserve"> </w:t>
      </w:r>
      <w:proofErr w:type="spellStart"/>
      <w:r w:rsidRPr="00D244BA">
        <w:rPr>
          <w:rFonts w:cs="TimesNewRoman"/>
          <w:i/>
          <w:sz w:val="24"/>
        </w:rPr>
        <w:t>with</w:t>
      </w:r>
      <w:proofErr w:type="spellEnd"/>
      <w:r w:rsidRPr="00D244BA">
        <w:rPr>
          <w:rFonts w:cs="TimesNewRoman"/>
          <w:i/>
          <w:sz w:val="24"/>
        </w:rPr>
        <w:t xml:space="preserve"> </w:t>
      </w:r>
      <w:proofErr w:type="spellStart"/>
      <w:r w:rsidRPr="00D244BA">
        <w:rPr>
          <w:rFonts w:cs="TimesNewRoman"/>
          <w:i/>
          <w:sz w:val="24"/>
        </w:rPr>
        <w:t>him</w:t>
      </w:r>
      <w:proofErr w:type="spellEnd"/>
      <w:r w:rsidRPr="00D244BA">
        <w:rPr>
          <w:rFonts w:cs="TimesNewRoman"/>
          <w:i/>
          <w:sz w:val="24"/>
        </w:rPr>
        <w:t xml:space="preserve"> in the </w:t>
      </w:r>
      <w:proofErr w:type="spellStart"/>
      <w:r w:rsidRPr="00D244BA">
        <w:rPr>
          <w:rFonts w:cs="TimesNewRoman"/>
          <w:i/>
          <w:sz w:val="24"/>
        </w:rPr>
        <w:t>same</w:t>
      </w:r>
      <w:proofErr w:type="spellEnd"/>
      <w:r w:rsidRPr="00D244BA">
        <w:rPr>
          <w:rFonts w:cs="TimesNewRoman"/>
          <w:i/>
          <w:sz w:val="24"/>
        </w:rPr>
        <w:t xml:space="preserve"> </w:t>
      </w:r>
      <w:proofErr w:type="spellStart"/>
      <w:r w:rsidRPr="00D244BA">
        <w:rPr>
          <w:rFonts w:cs="TimesNewRoman"/>
          <w:i/>
          <w:sz w:val="24"/>
        </w:rPr>
        <w:t>household</w:t>
      </w:r>
      <w:proofErr w:type="spellEnd"/>
      <w:r w:rsidRPr="00D244BA">
        <w:rPr>
          <w:rFonts w:cs="TimesNewRoman"/>
          <w:i/>
          <w:sz w:val="24"/>
        </w:rPr>
        <w:t xml:space="preserve">, or a person </w:t>
      </w:r>
      <w:proofErr w:type="spellStart"/>
      <w:r w:rsidRPr="00D244BA">
        <w:rPr>
          <w:rFonts w:cs="TimesNewRoman"/>
          <w:i/>
          <w:sz w:val="24"/>
        </w:rPr>
        <w:t>who</w:t>
      </w:r>
      <w:proofErr w:type="spellEnd"/>
      <w:r w:rsidRPr="00D244BA">
        <w:rPr>
          <w:rFonts w:cs="TimesNewRoman"/>
          <w:i/>
          <w:sz w:val="24"/>
        </w:rPr>
        <w:t xml:space="preserve"> </w:t>
      </w:r>
      <w:proofErr w:type="spellStart"/>
      <w:r w:rsidRPr="00D244BA">
        <w:rPr>
          <w:rFonts w:cs="TimesNewRoman"/>
          <w:i/>
          <w:sz w:val="24"/>
        </w:rPr>
        <w:t>is</w:t>
      </w:r>
      <w:proofErr w:type="spellEnd"/>
      <w:r w:rsidRPr="00D244BA">
        <w:rPr>
          <w:rFonts w:cs="TimesNewRoman"/>
          <w:i/>
          <w:sz w:val="24"/>
        </w:rPr>
        <w:t xml:space="preserve"> an </w:t>
      </w:r>
      <w:proofErr w:type="spellStart"/>
      <w:r w:rsidRPr="00D244BA">
        <w:rPr>
          <w:rFonts w:cs="TimesNewRoman"/>
          <w:i/>
          <w:sz w:val="24"/>
        </w:rPr>
        <w:t>employee</w:t>
      </w:r>
      <w:proofErr w:type="spellEnd"/>
      <w:r w:rsidRPr="00D244BA">
        <w:rPr>
          <w:rFonts w:cs="TimesNewRoman"/>
          <w:i/>
          <w:sz w:val="24"/>
        </w:rPr>
        <w:t xml:space="preserve"> </w:t>
      </w:r>
      <w:proofErr w:type="spellStart"/>
      <w:r w:rsidRPr="00D244BA">
        <w:rPr>
          <w:rFonts w:cs="TimesNewRoman"/>
          <w:i/>
          <w:sz w:val="24"/>
        </w:rPr>
        <w:t>of</w:t>
      </w:r>
      <w:proofErr w:type="spellEnd"/>
      <w:r w:rsidRPr="00D244BA">
        <w:rPr>
          <w:rFonts w:cs="TimesNewRoman"/>
          <w:i/>
          <w:sz w:val="24"/>
        </w:rPr>
        <w:t xml:space="preserve"> the </w:t>
      </w:r>
      <w:proofErr w:type="spellStart"/>
      <w:r w:rsidRPr="00D244BA">
        <w:rPr>
          <w:rFonts w:cs="TimesNewRoman"/>
          <w:i/>
          <w:sz w:val="24"/>
        </w:rPr>
        <w:t>insured</w:t>
      </w:r>
      <w:proofErr w:type="spellEnd"/>
      <w:r w:rsidRPr="00D244BA">
        <w:rPr>
          <w:rFonts w:cs="TimesNewRoman"/>
          <w:i/>
          <w:sz w:val="24"/>
        </w:rPr>
        <w:t xml:space="preserve"> person, </w:t>
      </w:r>
      <w:proofErr w:type="spellStart"/>
      <w:r w:rsidRPr="00D244BA">
        <w:rPr>
          <w:rFonts w:cs="TimesNewRoman"/>
          <w:i/>
          <w:sz w:val="24"/>
        </w:rPr>
        <w:t>unless</w:t>
      </w:r>
      <w:proofErr w:type="spellEnd"/>
      <w:r w:rsidRPr="00D244BA">
        <w:rPr>
          <w:rFonts w:cs="TimesNewRoman"/>
          <w:i/>
          <w:sz w:val="24"/>
        </w:rPr>
        <w:t xml:space="preserve"> </w:t>
      </w:r>
      <w:proofErr w:type="spellStart"/>
      <w:r w:rsidRPr="00D244BA">
        <w:rPr>
          <w:rFonts w:cs="TimesNewRoman"/>
          <w:i/>
          <w:sz w:val="24"/>
        </w:rPr>
        <w:t>such</w:t>
      </w:r>
      <w:proofErr w:type="spellEnd"/>
      <w:r w:rsidRPr="00D244BA">
        <w:rPr>
          <w:rFonts w:cs="TimesNewRoman"/>
          <w:i/>
          <w:sz w:val="24"/>
        </w:rPr>
        <w:t xml:space="preserve"> </w:t>
      </w:r>
      <w:proofErr w:type="spellStart"/>
      <w:r w:rsidRPr="00D244BA">
        <w:rPr>
          <w:rFonts w:cs="TimesNewRoman"/>
          <w:i/>
          <w:sz w:val="24"/>
        </w:rPr>
        <w:t>persons</w:t>
      </w:r>
      <w:proofErr w:type="spellEnd"/>
      <w:r w:rsidRPr="00D244BA">
        <w:rPr>
          <w:rFonts w:cs="TimesNewRoman"/>
          <w:i/>
          <w:sz w:val="24"/>
        </w:rPr>
        <w:t xml:space="preserve"> </w:t>
      </w:r>
      <w:proofErr w:type="spellStart"/>
      <w:r w:rsidRPr="00D244BA">
        <w:rPr>
          <w:rFonts w:cs="TimesNewRoman"/>
          <w:i/>
          <w:sz w:val="24"/>
        </w:rPr>
        <w:t>caused</w:t>
      </w:r>
      <w:proofErr w:type="spellEnd"/>
      <w:r w:rsidRPr="00D244BA">
        <w:rPr>
          <w:rFonts w:cs="TimesNewRoman"/>
          <w:i/>
          <w:sz w:val="24"/>
        </w:rPr>
        <w:t xml:space="preserve"> the </w:t>
      </w:r>
      <w:proofErr w:type="spellStart"/>
      <w:r w:rsidRPr="00D244BA">
        <w:rPr>
          <w:rFonts w:cs="TimesNewRoman"/>
          <w:i/>
          <w:sz w:val="24"/>
        </w:rPr>
        <w:t>damage</w:t>
      </w:r>
      <w:proofErr w:type="spellEnd"/>
      <w:r w:rsidRPr="00D244BA">
        <w:rPr>
          <w:rFonts w:cs="TimesNewRoman"/>
          <w:i/>
          <w:sz w:val="24"/>
        </w:rPr>
        <w:t xml:space="preserve"> by </w:t>
      </w:r>
      <w:proofErr w:type="spellStart"/>
      <w:r w:rsidRPr="00D244BA">
        <w:rPr>
          <w:rFonts w:cs="TimesNewRoman"/>
          <w:i/>
          <w:sz w:val="24"/>
        </w:rPr>
        <w:t>willful</w:t>
      </w:r>
      <w:proofErr w:type="spellEnd"/>
      <w:r w:rsidRPr="00D244BA">
        <w:rPr>
          <w:rFonts w:cs="TimesNewRoman"/>
          <w:i/>
          <w:sz w:val="24"/>
        </w:rPr>
        <w:t xml:space="preserve"> </w:t>
      </w:r>
      <w:proofErr w:type="spellStart"/>
      <w:r w:rsidRPr="00D244BA">
        <w:rPr>
          <w:rFonts w:cs="TimesNewRoman"/>
          <w:i/>
          <w:sz w:val="24"/>
        </w:rPr>
        <w:t>misconduct</w:t>
      </w:r>
      <w:proofErr w:type="spellEnd"/>
      <w:r w:rsidRPr="00D244BA">
        <w:rPr>
          <w:rFonts w:cs="TimesNewRoman"/>
          <w:i/>
          <w:sz w:val="24"/>
        </w:rPr>
        <w:t>.</w:t>
      </w:r>
    </w:p>
    <w:p w:rsidR="00D84302" w:rsidRPr="00D244BA" w:rsidRDefault="00D244BA" w:rsidP="00A06B9C">
      <w:pPr>
        <w:autoSpaceDE w:val="0"/>
        <w:autoSpaceDN w:val="0"/>
        <w:adjustRightInd w:val="0"/>
        <w:spacing w:line="240" w:lineRule="auto"/>
        <w:ind w:left="990"/>
        <w:rPr>
          <w:rFonts w:cs="TimesNewRoman"/>
          <w:i/>
          <w:sz w:val="24"/>
        </w:rPr>
      </w:pPr>
      <w:proofErr w:type="spellStart"/>
      <w:r w:rsidRPr="00D244BA">
        <w:rPr>
          <w:rFonts w:cs="TimesNewRoman"/>
          <w:i/>
          <w:sz w:val="24"/>
        </w:rPr>
        <w:t>However</w:t>
      </w:r>
      <w:proofErr w:type="spellEnd"/>
      <w:r w:rsidRPr="00D244BA">
        <w:rPr>
          <w:rFonts w:cs="TimesNewRoman"/>
          <w:i/>
          <w:sz w:val="24"/>
        </w:rPr>
        <w:t xml:space="preserve">, </w:t>
      </w:r>
      <w:proofErr w:type="spellStart"/>
      <w:r w:rsidRPr="00D244BA">
        <w:rPr>
          <w:rFonts w:cs="TimesNewRoman"/>
          <w:i/>
          <w:sz w:val="24"/>
        </w:rPr>
        <w:t>should</w:t>
      </w:r>
      <w:proofErr w:type="spellEnd"/>
      <w:r w:rsidRPr="00D244BA">
        <w:rPr>
          <w:rFonts w:cs="TimesNewRoman"/>
          <w:i/>
          <w:sz w:val="24"/>
        </w:rPr>
        <w:t xml:space="preserve"> </w:t>
      </w:r>
      <w:proofErr w:type="spellStart"/>
      <w:r w:rsidRPr="00D244BA">
        <w:rPr>
          <w:rFonts w:cs="TimesNewRoman"/>
          <w:i/>
          <w:sz w:val="24"/>
        </w:rPr>
        <w:t>some</w:t>
      </w:r>
      <w:proofErr w:type="spellEnd"/>
      <w:r w:rsidRPr="00D244BA">
        <w:rPr>
          <w:rFonts w:cs="TimesNewRoman"/>
          <w:i/>
          <w:sz w:val="24"/>
        </w:rPr>
        <w:t xml:space="preserve"> </w:t>
      </w:r>
      <w:proofErr w:type="spellStart"/>
      <w:r w:rsidRPr="00D244BA">
        <w:rPr>
          <w:rFonts w:cs="TimesNewRoman"/>
          <w:i/>
          <w:sz w:val="24"/>
        </w:rPr>
        <w:t>of</w:t>
      </w:r>
      <w:proofErr w:type="spellEnd"/>
      <w:r w:rsidRPr="00D244BA">
        <w:rPr>
          <w:rFonts w:cs="TimesNewRoman"/>
          <w:i/>
          <w:sz w:val="24"/>
        </w:rPr>
        <w:t xml:space="preserve"> the </w:t>
      </w:r>
      <w:proofErr w:type="spellStart"/>
      <w:r w:rsidRPr="00D244BA">
        <w:rPr>
          <w:rFonts w:cs="TimesNewRoman"/>
          <w:i/>
          <w:sz w:val="24"/>
        </w:rPr>
        <w:t>persons</w:t>
      </w:r>
      <w:proofErr w:type="spellEnd"/>
      <w:r w:rsidRPr="00D244BA">
        <w:rPr>
          <w:rFonts w:cs="TimesNewRoman"/>
          <w:i/>
          <w:sz w:val="24"/>
        </w:rPr>
        <w:t xml:space="preserve"> </w:t>
      </w:r>
      <w:proofErr w:type="spellStart"/>
      <w:r w:rsidRPr="00D244BA">
        <w:rPr>
          <w:rFonts w:cs="TimesNewRoman"/>
          <w:i/>
          <w:sz w:val="24"/>
        </w:rPr>
        <w:t>specified</w:t>
      </w:r>
      <w:proofErr w:type="spellEnd"/>
      <w:r w:rsidRPr="00D244BA">
        <w:rPr>
          <w:rFonts w:cs="TimesNewRoman"/>
          <w:i/>
          <w:sz w:val="24"/>
        </w:rPr>
        <w:t xml:space="preserve"> in the </w:t>
      </w:r>
      <w:proofErr w:type="spellStart"/>
      <w:r w:rsidRPr="00D244BA">
        <w:rPr>
          <w:rFonts w:cs="TimesNewRoman"/>
          <w:i/>
          <w:sz w:val="24"/>
        </w:rPr>
        <w:t>preceding</w:t>
      </w:r>
      <w:proofErr w:type="spellEnd"/>
      <w:r w:rsidRPr="00D244BA">
        <w:rPr>
          <w:rFonts w:cs="TimesNewRoman"/>
          <w:i/>
          <w:sz w:val="24"/>
        </w:rPr>
        <w:t xml:space="preserve"> </w:t>
      </w:r>
      <w:proofErr w:type="spellStart"/>
      <w:r w:rsidRPr="00D244BA">
        <w:rPr>
          <w:rFonts w:cs="TimesNewRoman"/>
          <w:i/>
          <w:sz w:val="24"/>
        </w:rPr>
        <w:t>paragraph</w:t>
      </w:r>
      <w:proofErr w:type="spellEnd"/>
      <w:r w:rsidRPr="00D244BA">
        <w:rPr>
          <w:rFonts w:cs="TimesNewRoman"/>
          <w:i/>
          <w:sz w:val="24"/>
        </w:rPr>
        <w:t xml:space="preserve"> be </w:t>
      </w:r>
      <w:proofErr w:type="spellStart"/>
      <w:r w:rsidRPr="00D244BA">
        <w:rPr>
          <w:rFonts w:cs="TimesNewRoman"/>
          <w:i/>
          <w:sz w:val="24"/>
        </w:rPr>
        <w:t>insured</w:t>
      </w:r>
      <w:proofErr w:type="spellEnd"/>
      <w:r w:rsidRPr="00D244BA">
        <w:rPr>
          <w:rFonts w:cs="TimesNewRoman"/>
          <w:i/>
          <w:sz w:val="24"/>
        </w:rPr>
        <w:t xml:space="preserve"> </w:t>
      </w:r>
      <w:proofErr w:type="spellStart"/>
      <w:r w:rsidRPr="00D244BA">
        <w:rPr>
          <w:rFonts w:cs="TimesNewRoman"/>
          <w:i/>
          <w:sz w:val="24"/>
        </w:rPr>
        <w:t>against</w:t>
      </w:r>
      <w:proofErr w:type="spellEnd"/>
      <w:r w:rsidRPr="00D244BA">
        <w:rPr>
          <w:rFonts w:cs="TimesNewRoman"/>
          <w:i/>
          <w:sz w:val="24"/>
        </w:rPr>
        <w:t xml:space="preserve"> </w:t>
      </w:r>
      <w:proofErr w:type="spellStart"/>
      <w:r w:rsidRPr="00D244BA">
        <w:rPr>
          <w:rFonts w:cs="TimesNewRoman"/>
          <w:i/>
          <w:sz w:val="24"/>
        </w:rPr>
        <w:t>liability</w:t>
      </w:r>
      <w:proofErr w:type="spellEnd"/>
      <w:r w:rsidRPr="00D244BA">
        <w:rPr>
          <w:rFonts w:cs="TimesNewRoman"/>
          <w:i/>
          <w:sz w:val="24"/>
        </w:rPr>
        <w:t xml:space="preserve">, the </w:t>
      </w:r>
      <w:proofErr w:type="spellStart"/>
      <w:r w:rsidRPr="00D244BA">
        <w:rPr>
          <w:rFonts w:cs="TimesNewRoman"/>
          <w:i/>
          <w:sz w:val="24"/>
        </w:rPr>
        <w:t>insurer</w:t>
      </w:r>
      <w:proofErr w:type="spellEnd"/>
      <w:r w:rsidRPr="00D244BA">
        <w:rPr>
          <w:rFonts w:cs="TimesNewRoman"/>
          <w:i/>
          <w:sz w:val="24"/>
        </w:rPr>
        <w:t xml:space="preserve"> </w:t>
      </w:r>
      <w:proofErr w:type="spellStart"/>
      <w:r w:rsidRPr="00D244BA">
        <w:rPr>
          <w:rFonts w:cs="TimesNewRoman"/>
          <w:i/>
          <w:sz w:val="24"/>
        </w:rPr>
        <w:t>may</w:t>
      </w:r>
      <w:proofErr w:type="spellEnd"/>
      <w:r w:rsidRPr="00D244BA">
        <w:rPr>
          <w:rFonts w:cs="TimesNewRoman"/>
          <w:i/>
          <w:sz w:val="24"/>
        </w:rPr>
        <w:t xml:space="preserve"> </w:t>
      </w:r>
      <w:proofErr w:type="spellStart"/>
      <w:r w:rsidRPr="00D244BA">
        <w:rPr>
          <w:rFonts w:cs="TimesNewRoman"/>
          <w:i/>
          <w:sz w:val="24"/>
        </w:rPr>
        <w:t>demand</w:t>
      </w:r>
      <w:proofErr w:type="spellEnd"/>
      <w:r w:rsidRPr="00D244BA">
        <w:rPr>
          <w:rFonts w:cs="TimesNewRoman"/>
          <w:i/>
          <w:sz w:val="24"/>
        </w:rPr>
        <w:t xml:space="preserve"> the </w:t>
      </w:r>
      <w:proofErr w:type="spellStart"/>
      <w:r w:rsidRPr="00D244BA">
        <w:rPr>
          <w:rFonts w:cs="TimesNewRoman"/>
          <w:i/>
          <w:sz w:val="24"/>
        </w:rPr>
        <w:t>redress</w:t>
      </w:r>
      <w:proofErr w:type="spellEnd"/>
      <w:r w:rsidRPr="00D244BA">
        <w:rPr>
          <w:rFonts w:cs="TimesNewRoman"/>
          <w:i/>
          <w:sz w:val="24"/>
        </w:rPr>
        <w:t xml:space="preserve"> </w:t>
      </w:r>
      <w:proofErr w:type="spellStart"/>
      <w:r w:rsidRPr="00D244BA">
        <w:rPr>
          <w:rFonts w:cs="TimesNewRoman"/>
          <w:i/>
          <w:sz w:val="24"/>
        </w:rPr>
        <w:t>of</w:t>
      </w:r>
      <w:proofErr w:type="spellEnd"/>
      <w:r w:rsidRPr="00D244BA">
        <w:rPr>
          <w:rFonts w:cs="TimesNewRoman"/>
          <w:i/>
          <w:sz w:val="24"/>
        </w:rPr>
        <w:t xml:space="preserve"> the </w:t>
      </w:r>
      <w:proofErr w:type="spellStart"/>
      <w:r w:rsidRPr="00D244BA">
        <w:rPr>
          <w:rFonts w:cs="TimesNewRoman"/>
          <w:i/>
          <w:sz w:val="24"/>
        </w:rPr>
        <w:t>amount</w:t>
      </w:r>
      <w:proofErr w:type="spellEnd"/>
      <w:r w:rsidRPr="00D244BA">
        <w:rPr>
          <w:rFonts w:cs="TimesNewRoman"/>
          <w:i/>
          <w:sz w:val="24"/>
        </w:rPr>
        <w:t xml:space="preserve"> </w:t>
      </w:r>
      <w:proofErr w:type="spellStart"/>
      <w:r w:rsidRPr="00D244BA">
        <w:rPr>
          <w:rFonts w:cs="TimesNewRoman"/>
          <w:i/>
          <w:sz w:val="24"/>
        </w:rPr>
        <w:t>paid</w:t>
      </w:r>
      <w:proofErr w:type="spellEnd"/>
      <w:r w:rsidRPr="00D244BA">
        <w:rPr>
          <w:rFonts w:cs="TimesNewRoman"/>
          <w:i/>
          <w:sz w:val="24"/>
        </w:rPr>
        <w:t xml:space="preserve"> to the </w:t>
      </w:r>
      <w:proofErr w:type="spellStart"/>
      <w:r w:rsidRPr="00D244BA">
        <w:rPr>
          <w:rFonts w:cs="TimesNewRoman"/>
          <w:i/>
          <w:sz w:val="24"/>
        </w:rPr>
        <w:t>insured</w:t>
      </w:r>
      <w:proofErr w:type="spellEnd"/>
      <w:r w:rsidRPr="00D244BA">
        <w:rPr>
          <w:rFonts w:cs="TimesNewRoman"/>
          <w:i/>
          <w:sz w:val="24"/>
        </w:rPr>
        <w:t xml:space="preserve"> person </w:t>
      </w:r>
      <w:proofErr w:type="spellStart"/>
      <w:r w:rsidRPr="00D244BA">
        <w:rPr>
          <w:rFonts w:cs="TimesNewRoman"/>
          <w:i/>
          <w:sz w:val="24"/>
        </w:rPr>
        <w:t>from</w:t>
      </w:r>
      <w:proofErr w:type="spellEnd"/>
      <w:r w:rsidRPr="00D244BA">
        <w:rPr>
          <w:rFonts w:cs="TimesNewRoman"/>
          <w:i/>
          <w:sz w:val="24"/>
        </w:rPr>
        <w:t xml:space="preserve"> </w:t>
      </w:r>
      <w:proofErr w:type="spellStart"/>
      <w:r w:rsidRPr="00D244BA">
        <w:rPr>
          <w:rFonts w:cs="TimesNewRoman"/>
          <w:i/>
          <w:sz w:val="24"/>
        </w:rPr>
        <w:t>his</w:t>
      </w:r>
      <w:proofErr w:type="spellEnd"/>
      <w:r w:rsidRPr="00D244BA">
        <w:rPr>
          <w:rFonts w:cs="TimesNewRoman"/>
          <w:i/>
          <w:sz w:val="24"/>
        </w:rPr>
        <w:t xml:space="preserve"> </w:t>
      </w:r>
      <w:proofErr w:type="spellStart"/>
      <w:r w:rsidRPr="00D244BA">
        <w:rPr>
          <w:rFonts w:cs="TimesNewRoman"/>
          <w:i/>
          <w:sz w:val="24"/>
        </w:rPr>
        <w:t>insurer</w:t>
      </w:r>
      <w:proofErr w:type="spellEnd"/>
      <w:r w:rsidR="00FF271B" w:rsidRPr="00D244BA">
        <w:rPr>
          <w:i/>
          <w:sz w:val="24"/>
          <w:lang w:val="en-GB" w:eastAsia="pl-PL"/>
        </w:rPr>
        <w:t>.</w:t>
      </w:r>
    </w:p>
    <w:p w:rsidR="00D84302" w:rsidRPr="00D244BA" w:rsidRDefault="00D84302" w:rsidP="00A06B9C">
      <w:pPr>
        <w:spacing w:line="240" w:lineRule="auto"/>
        <w:rPr>
          <w:b/>
          <w:i/>
          <w:sz w:val="24"/>
          <w:lang w:val="en-GB"/>
        </w:rPr>
      </w:pPr>
    </w:p>
    <w:p w:rsidR="00D84302" w:rsidRPr="00314A8D" w:rsidRDefault="00D244BA" w:rsidP="00A06B9C">
      <w:pPr>
        <w:spacing w:line="240" w:lineRule="auto"/>
        <w:ind w:left="990"/>
        <w:jc w:val="center"/>
        <w:rPr>
          <w:b/>
          <w:sz w:val="24"/>
          <w:lang w:val="en-GB"/>
        </w:rPr>
      </w:pPr>
      <w:r>
        <w:rPr>
          <w:b/>
          <w:sz w:val="24"/>
          <w:lang w:val="en-GB"/>
        </w:rPr>
        <w:lastRenderedPageBreak/>
        <w:t>LIABILITY INSURANCE</w:t>
      </w:r>
    </w:p>
    <w:p w:rsidR="00D84302" w:rsidRPr="00314A8D" w:rsidRDefault="00D84302" w:rsidP="00A06B9C">
      <w:pPr>
        <w:spacing w:line="240" w:lineRule="auto"/>
        <w:ind w:left="990"/>
        <w:jc w:val="center"/>
        <w:rPr>
          <w:b/>
          <w:sz w:val="24"/>
          <w:lang w:val="en-GB"/>
        </w:rPr>
      </w:pPr>
    </w:p>
    <w:p w:rsidR="00D84302" w:rsidRPr="00314A8D" w:rsidRDefault="00D244BA" w:rsidP="00A06B9C">
      <w:pPr>
        <w:spacing w:line="240" w:lineRule="auto"/>
        <w:ind w:left="994"/>
        <w:jc w:val="center"/>
        <w:rPr>
          <w:b/>
          <w:sz w:val="24"/>
          <w:lang w:val="en-GB"/>
        </w:rPr>
      </w:pPr>
      <w:r>
        <w:rPr>
          <w:b/>
          <w:sz w:val="24"/>
          <w:lang w:val="en-GB"/>
        </w:rPr>
        <w:t>Liability of the Insurer</w:t>
      </w:r>
    </w:p>
    <w:p w:rsidR="00D84302" w:rsidRPr="00314A8D" w:rsidRDefault="008A5273" w:rsidP="00A06B9C">
      <w:pPr>
        <w:spacing w:line="240" w:lineRule="auto"/>
        <w:ind w:left="994"/>
        <w:jc w:val="center"/>
        <w:rPr>
          <w:b/>
          <w:sz w:val="24"/>
          <w:lang w:val="en-GB"/>
        </w:rPr>
      </w:pPr>
      <w:r>
        <w:rPr>
          <w:b/>
          <w:sz w:val="24"/>
          <w:lang w:val="en-GB"/>
        </w:rPr>
        <w:t>Article</w:t>
      </w:r>
      <w:r w:rsidR="00FF271B" w:rsidRPr="00314A8D">
        <w:rPr>
          <w:b/>
          <w:sz w:val="24"/>
          <w:lang w:val="en-GB"/>
        </w:rPr>
        <w:t xml:space="preserve"> 940</w:t>
      </w:r>
    </w:p>
    <w:p w:rsidR="00D84302" w:rsidRPr="00314A8D" w:rsidRDefault="00D84302" w:rsidP="00A06B9C">
      <w:pPr>
        <w:spacing w:line="240" w:lineRule="auto"/>
        <w:ind w:left="990"/>
        <w:rPr>
          <w:sz w:val="24"/>
          <w:lang w:val="en-GB"/>
        </w:rPr>
      </w:pPr>
    </w:p>
    <w:p w:rsidR="00D84302" w:rsidRPr="00D244BA" w:rsidRDefault="00D244BA" w:rsidP="00A06B9C">
      <w:pPr>
        <w:autoSpaceDE w:val="0"/>
        <w:autoSpaceDN w:val="0"/>
        <w:adjustRightInd w:val="0"/>
        <w:spacing w:line="240" w:lineRule="auto"/>
        <w:ind w:left="990"/>
        <w:rPr>
          <w:rFonts w:cs="TimesNewRoman"/>
          <w:i/>
          <w:sz w:val="24"/>
        </w:rPr>
      </w:pPr>
      <w:r w:rsidRPr="00D244BA">
        <w:rPr>
          <w:rFonts w:cs="TimesNewRoman"/>
          <w:i/>
          <w:sz w:val="24"/>
        </w:rPr>
        <w:t xml:space="preserve">In </w:t>
      </w:r>
      <w:proofErr w:type="spellStart"/>
      <w:r w:rsidRPr="00D244BA">
        <w:rPr>
          <w:rFonts w:cs="TimesNewRoman"/>
          <w:i/>
          <w:sz w:val="24"/>
        </w:rPr>
        <w:t>case</w:t>
      </w:r>
      <w:proofErr w:type="spellEnd"/>
      <w:r w:rsidRPr="00D244BA">
        <w:rPr>
          <w:rFonts w:cs="TimesNewRoman"/>
          <w:i/>
          <w:sz w:val="24"/>
        </w:rPr>
        <w:t xml:space="preserve"> </w:t>
      </w:r>
      <w:proofErr w:type="spellStart"/>
      <w:r w:rsidRPr="00D244BA">
        <w:rPr>
          <w:rFonts w:cs="TimesNewRoman"/>
          <w:i/>
          <w:sz w:val="24"/>
        </w:rPr>
        <w:t>of</w:t>
      </w:r>
      <w:proofErr w:type="spellEnd"/>
      <w:r w:rsidRPr="00D244BA">
        <w:rPr>
          <w:rFonts w:cs="TimesNewRoman"/>
          <w:i/>
          <w:sz w:val="24"/>
        </w:rPr>
        <w:t xml:space="preserve"> </w:t>
      </w:r>
      <w:proofErr w:type="spellStart"/>
      <w:r w:rsidRPr="00D244BA">
        <w:rPr>
          <w:rFonts w:cs="TimesNewRoman"/>
          <w:i/>
          <w:sz w:val="24"/>
        </w:rPr>
        <w:t>liability</w:t>
      </w:r>
      <w:proofErr w:type="spellEnd"/>
      <w:r w:rsidRPr="00D244BA">
        <w:rPr>
          <w:rFonts w:cs="TimesNewRoman"/>
          <w:i/>
          <w:sz w:val="24"/>
        </w:rPr>
        <w:t xml:space="preserve"> </w:t>
      </w:r>
      <w:proofErr w:type="spellStart"/>
      <w:r w:rsidRPr="00D244BA">
        <w:rPr>
          <w:rFonts w:cs="TimesNewRoman"/>
          <w:i/>
          <w:sz w:val="24"/>
        </w:rPr>
        <w:t>insurance</w:t>
      </w:r>
      <w:proofErr w:type="spellEnd"/>
      <w:r w:rsidRPr="00D244BA">
        <w:rPr>
          <w:rFonts w:cs="TimesNewRoman"/>
          <w:i/>
          <w:sz w:val="24"/>
        </w:rPr>
        <w:t xml:space="preserve">, the </w:t>
      </w:r>
      <w:proofErr w:type="spellStart"/>
      <w:r w:rsidRPr="00D244BA">
        <w:rPr>
          <w:rFonts w:cs="TimesNewRoman"/>
          <w:i/>
          <w:sz w:val="24"/>
        </w:rPr>
        <w:t>insurer</w:t>
      </w:r>
      <w:proofErr w:type="spellEnd"/>
      <w:r w:rsidRPr="00D244BA">
        <w:rPr>
          <w:rFonts w:cs="TimesNewRoman"/>
          <w:i/>
          <w:sz w:val="24"/>
        </w:rPr>
        <w:t xml:space="preserve"> shall be </w:t>
      </w:r>
      <w:proofErr w:type="spellStart"/>
      <w:r w:rsidRPr="00D244BA">
        <w:rPr>
          <w:rFonts w:cs="TimesNewRoman"/>
          <w:i/>
          <w:sz w:val="24"/>
        </w:rPr>
        <w:t>liable</w:t>
      </w:r>
      <w:proofErr w:type="spellEnd"/>
      <w:r w:rsidRPr="00D244BA">
        <w:rPr>
          <w:rFonts w:cs="TimesNewRoman"/>
          <w:i/>
          <w:sz w:val="24"/>
        </w:rPr>
        <w:t xml:space="preserve"> </w:t>
      </w:r>
      <w:proofErr w:type="spellStart"/>
      <w:r w:rsidRPr="00D244BA">
        <w:rPr>
          <w:rFonts w:cs="TimesNewRoman"/>
          <w:i/>
          <w:sz w:val="24"/>
        </w:rPr>
        <w:t>for</w:t>
      </w:r>
      <w:proofErr w:type="spellEnd"/>
      <w:r w:rsidRPr="00D244BA">
        <w:rPr>
          <w:rFonts w:cs="TimesNewRoman"/>
          <w:i/>
          <w:sz w:val="24"/>
        </w:rPr>
        <w:t xml:space="preserve"> </w:t>
      </w:r>
      <w:proofErr w:type="spellStart"/>
      <w:r w:rsidRPr="00D244BA">
        <w:rPr>
          <w:rFonts w:cs="TimesNewRoman"/>
          <w:i/>
          <w:sz w:val="24"/>
        </w:rPr>
        <w:t>damage</w:t>
      </w:r>
      <w:proofErr w:type="spellEnd"/>
      <w:r w:rsidRPr="00D244BA">
        <w:rPr>
          <w:rFonts w:cs="TimesNewRoman"/>
          <w:i/>
          <w:sz w:val="24"/>
        </w:rPr>
        <w:t xml:space="preserve"> </w:t>
      </w:r>
      <w:proofErr w:type="spellStart"/>
      <w:r w:rsidRPr="00D244BA">
        <w:rPr>
          <w:rFonts w:cs="TimesNewRoman"/>
          <w:i/>
          <w:sz w:val="24"/>
        </w:rPr>
        <w:t>caused</w:t>
      </w:r>
      <w:proofErr w:type="spellEnd"/>
      <w:r w:rsidRPr="00D244BA">
        <w:rPr>
          <w:rFonts w:cs="TimesNewRoman"/>
          <w:i/>
          <w:sz w:val="24"/>
        </w:rPr>
        <w:t xml:space="preserve"> by the </w:t>
      </w:r>
      <w:proofErr w:type="spellStart"/>
      <w:r w:rsidRPr="00D244BA">
        <w:rPr>
          <w:rFonts w:cs="TimesNewRoman"/>
          <w:i/>
          <w:sz w:val="24"/>
        </w:rPr>
        <w:t>insured</w:t>
      </w:r>
      <w:proofErr w:type="spellEnd"/>
      <w:r w:rsidRPr="00D244BA">
        <w:rPr>
          <w:rFonts w:cs="TimesNewRoman"/>
          <w:i/>
          <w:sz w:val="24"/>
        </w:rPr>
        <w:t xml:space="preserve"> </w:t>
      </w:r>
      <w:proofErr w:type="spellStart"/>
      <w:r w:rsidRPr="00D244BA">
        <w:rPr>
          <w:rFonts w:cs="TimesNewRoman"/>
          <w:i/>
          <w:sz w:val="24"/>
        </w:rPr>
        <w:t>event</w:t>
      </w:r>
      <w:proofErr w:type="spellEnd"/>
      <w:r w:rsidRPr="00D244BA">
        <w:rPr>
          <w:rFonts w:cs="TimesNewRoman"/>
          <w:i/>
          <w:sz w:val="24"/>
        </w:rPr>
        <w:t xml:space="preserve"> </w:t>
      </w:r>
      <w:proofErr w:type="spellStart"/>
      <w:r w:rsidRPr="00D244BA">
        <w:rPr>
          <w:rFonts w:cs="TimesNewRoman"/>
          <w:i/>
          <w:sz w:val="24"/>
        </w:rPr>
        <w:t>only</w:t>
      </w:r>
      <w:proofErr w:type="spellEnd"/>
      <w:r w:rsidRPr="00D244BA">
        <w:rPr>
          <w:rFonts w:cs="TimesNewRoman"/>
          <w:i/>
          <w:sz w:val="24"/>
        </w:rPr>
        <w:t xml:space="preserve"> </w:t>
      </w:r>
      <w:proofErr w:type="spellStart"/>
      <w:r w:rsidRPr="00D244BA">
        <w:rPr>
          <w:rFonts w:cs="TimesNewRoman"/>
          <w:i/>
          <w:sz w:val="24"/>
        </w:rPr>
        <w:t>if</w:t>
      </w:r>
      <w:proofErr w:type="spellEnd"/>
      <w:r w:rsidRPr="00D244BA">
        <w:rPr>
          <w:rFonts w:cs="TimesNewRoman"/>
          <w:i/>
          <w:sz w:val="24"/>
        </w:rPr>
        <w:t xml:space="preserve"> the </w:t>
      </w:r>
      <w:proofErr w:type="spellStart"/>
      <w:r w:rsidRPr="00D244BA">
        <w:rPr>
          <w:rFonts w:cs="TimesNewRoman"/>
          <w:i/>
          <w:sz w:val="24"/>
        </w:rPr>
        <w:t>third</w:t>
      </w:r>
      <w:proofErr w:type="spellEnd"/>
      <w:r w:rsidRPr="00D244BA">
        <w:rPr>
          <w:rFonts w:cs="TimesNewRoman"/>
          <w:i/>
          <w:sz w:val="24"/>
        </w:rPr>
        <w:t xml:space="preserve"> </w:t>
      </w:r>
      <w:proofErr w:type="spellStart"/>
      <w:r w:rsidRPr="00D244BA">
        <w:rPr>
          <w:rFonts w:cs="TimesNewRoman"/>
          <w:i/>
          <w:sz w:val="24"/>
        </w:rPr>
        <w:t>party</w:t>
      </w:r>
      <w:proofErr w:type="spellEnd"/>
      <w:r w:rsidRPr="00D244BA">
        <w:rPr>
          <w:rFonts w:cs="TimesNewRoman"/>
          <w:i/>
          <w:sz w:val="24"/>
        </w:rPr>
        <w:t xml:space="preserve"> </w:t>
      </w:r>
      <w:proofErr w:type="spellStart"/>
      <w:r w:rsidRPr="00D244BA">
        <w:rPr>
          <w:rFonts w:cs="TimesNewRoman"/>
          <w:i/>
          <w:sz w:val="24"/>
        </w:rPr>
        <w:t>sustaining</w:t>
      </w:r>
      <w:proofErr w:type="spellEnd"/>
      <w:r w:rsidRPr="00D244BA">
        <w:rPr>
          <w:rFonts w:cs="TimesNewRoman"/>
          <w:i/>
          <w:sz w:val="24"/>
        </w:rPr>
        <w:t xml:space="preserve"> </w:t>
      </w:r>
      <w:proofErr w:type="spellStart"/>
      <w:r w:rsidRPr="00D244BA">
        <w:rPr>
          <w:rFonts w:cs="TimesNewRoman"/>
          <w:i/>
          <w:sz w:val="24"/>
        </w:rPr>
        <w:t>damage</w:t>
      </w:r>
      <w:proofErr w:type="spellEnd"/>
      <w:r w:rsidRPr="00D244BA">
        <w:rPr>
          <w:rFonts w:cs="TimesNewRoman"/>
          <w:i/>
          <w:sz w:val="24"/>
        </w:rPr>
        <w:t xml:space="preserve"> </w:t>
      </w:r>
      <w:proofErr w:type="spellStart"/>
      <w:r w:rsidRPr="00D244BA">
        <w:rPr>
          <w:rFonts w:cs="TimesNewRoman"/>
          <w:i/>
          <w:sz w:val="24"/>
        </w:rPr>
        <w:t>request</w:t>
      </w:r>
      <w:proofErr w:type="spellEnd"/>
      <w:r w:rsidRPr="00D244BA">
        <w:rPr>
          <w:rFonts w:cs="TimesNewRoman"/>
          <w:i/>
          <w:sz w:val="24"/>
        </w:rPr>
        <w:t xml:space="preserve"> </w:t>
      </w:r>
      <w:proofErr w:type="spellStart"/>
      <w:r w:rsidRPr="00D244BA">
        <w:rPr>
          <w:rFonts w:cs="TimesNewRoman"/>
          <w:i/>
          <w:sz w:val="24"/>
        </w:rPr>
        <w:t>compensation</w:t>
      </w:r>
      <w:proofErr w:type="spellEnd"/>
      <w:r w:rsidR="00FF271B" w:rsidRPr="00D244BA">
        <w:rPr>
          <w:i/>
          <w:sz w:val="24"/>
          <w:lang w:val="en-GB" w:eastAsia="pl-PL"/>
        </w:rPr>
        <w:t>.</w:t>
      </w:r>
    </w:p>
    <w:p w:rsidR="00D84302" w:rsidRPr="00D244BA" w:rsidRDefault="00D244BA" w:rsidP="00A06B9C">
      <w:pPr>
        <w:autoSpaceDE w:val="0"/>
        <w:autoSpaceDN w:val="0"/>
        <w:adjustRightInd w:val="0"/>
        <w:spacing w:line="240" w:lineRule="auto"/>
        <w:ind w:left="990"/>
        <w:rPr>
          <w:rFonts w:cs="TimesNewRoman"/>
          <w:i/>
          <w:sz w:val="24"/>
        </w:rPr>
      </w:pPr>
      <w:r w:rsidRPr="00D244BA">
        <w:rPr>
          <w:rFonts w:cs="TimesNewRoman"/>
          <w:i/>
          <w:sz w:val="24"/>
        </w:rPr>
        <w:t xml:space="preserve">The </w:t>
      </w:r>
      <w:proofErr w:type="spellStart"/>
      <w:r w:rsidRPr="00D244BA">
        <w:rPr>
          <w:rFonts w:cs="TimesNewRoman"/>
          <w:i/>
          <w:sz w:val="24"/>
        </w:rPr>
        <w:t>insurer</w:t>
      </w:r>
      <w:proofErr w:type="spellEnd"/>
      <w:r w:rsidRPr="00D244BA">
        <w:rPr>
          <w:rFonts w:cs="TimesNewRoman"/>
          <w:i/>
          <w:sz w:val="24"/>
        </w:rPr>
        <w:t xml:space="preserve"> shall </w:t>
      </w:r>
      <w:proofErr w:type="spellStart"/>
      <w:r w:rsidRPr="00D244BA">
        <w:rPr>
          <w:rFonts w:cs="TimesNewRoman"/>
          <w:i/>
          <w:sz w:val="24"/>
        </w:rPr>
        <w:t>bear</w:t>
      </w:r>
      <w:proofErr w:type="spellEnd"/>
      <w:r w:rsidRPr="00D244BA">
        <w:rPr>
          <w:rFonts w:cs="TimesNewRoman"/>
          <w:i/>
          <w:sz w:val="24"/>
        </w:rPr>
        <w:t xml:space="preserve">, </w:t>
      </w:r>
      <w:proofErr w:type="spellStart"/>
      <w:r w:rsidRPr="00D244BA">
        <w:rPr>
          <w:rFonts w:cs="TimesNewRoman"/>
          <w:i/>
          <w:sz w:val="24"/>
        </w:rPr>
        <w:t>within</w:t>
      </w:r>
      <w:proofErr w:type="spellEnd"/>
      <w:r w:rsidRPr="00D244BA">
        <w:rPr>
          <w:rFonts w:cs="TimesNewRoman"/>
          <w:i/>
          <w:sz w:val="24"/>
        </w:rPr>
        <w:t xml:space="preserve"> the </w:t>
      </w:r>
      <w:proofErr w:type="spellStart"/>
      <w:r w:rsidRPr="00D244BA">
        <w:rPr>
          <w:rFonts w:cs="TimesNewRoman"/>
          <w:i/>
          <w:sz w:val="24"/>
        </w:rPr>
        <w:t>limits</w:t>
      </w:r>
      <w:proofErr w:type="spellEnd"/>
      <w:r w:rsidRPr="00D244BA">
        <w:rPr>
          <w:rFonts w:cs="TimesNewRoman"/>
          <w:i/>
          <w:sz w:val="24"/>
        </w:rPr>
        <w:t xml:space="preserve"> </w:t>
      </w:r>
      <w:proofErr w:type="spellStart"/>
      <w:r w:rsidRPr="00D244BA">
        <w:rPr>
          <w:rFonts w:cs="TimesNewRoman"/>
          <w:i/>
          <w:sz w:val="24"/>
        </w:rPr>
        <w:t>of</w:t>
      </w:r>
      <w:proofErr w:type="spellEnd"/>
      <w:r w:rsidRPr="00D244BA">
        <w:rPr>
          <w:rFonts w:cs="TimesNewRoman"/>
          <w:i/>
          <w:sz w:val="24"/>
        </w:rPr>
        <w:t xml:space="preserve"> the </w:t>
      </w:r>
      <w:proofErr w:type="spellStart"/>
      <w:r w:rsidRPr="00D244BA">
        <w:rPr>
          <w:rFonts w:cs="TimesNewRoman"/>
          <w:i/>
          <w:sz w:val="24"/>
        </w:rPr>
        <w:t>amount</w:t>
      </w:r>
      <w:proofErr w:type="spellEnd"/>
      <w:r w:rsidRPr="00D244BA">
        <w:rPr>
          <w:rFonts w:cs="TimesNewRoman"/>
          <w:i/>
          <w:sz w:val="24"/>
        </w:rPr>
        <w:t xml:space="preserve"> </w:t>
      </w:r>
      <w:proofErr w:type="spellStart"/>
      <w:r w:rsidRPr="00D244BA">
        <w:rPr>
          <w:rFonts w:cs="TimesNewRoman"/>
          <w:i/>
          <w:sz w:val="24"/>
        </w:rPr>
        <w:t>of</w:t>
      </w:r>
      <w:proofErr w:type="spellEnd"/>
      <w:r w:rsidRPr="00D244BA">
        <w:rPr>
          <w:rFonts w:cs="TimesNewRoman"/>
          <w:i/>
          <w:sz w:val="24"/>
        </w:rPr>
        <w:t xml:space="preserve"> </w:t>
      </w:r>
      <w:proofErr w:type="spellStart"/>
      <w:r w:rsidRPr="00D244BA">
        <w:rPr>
          <w:rFonts w:cs="TimesNewRoman"/>
          <w:i/>
          <w:sz w:val="24"/>
        </w:rPr>
        <w:t>insurance</w:t>
      </w:r>
      <w:proofErr w:type="spellEnd"/>
      <w:r w:rsidRPr="00D244BA">
        <w:rPr>
          <w:rFonts w:cs="TimesNewRoman"/>
          <w:i/>
          <w:sz w:val="24"/>
        </w:rPr>
        <w:t xml:space="preserve">, the </w:t>
      </w:r>
      <w:proofErr w:type="spellStart"/>
      <w:r w:rsidRPr="00D244BA">
        <w:rPr>
          <w:rFonts w:cs="TimesNewRoman"/>
          <w:i/>
          <w:sz w:val="24"/>
        </w:rPr>
        <w:t>expenses</w:t>
      </w:r>
      <w:proofErr w:type="spellEnd"/>
      <w:r w:rsidRPr="00D244BA">
        <w:rPr>
          <w:rFonts w:cs="TimesNewRoman"/>
          <w:i/>
          <w:sz w:val="24"/>
        </w:rPr>
        <w:t xml:space="preserve"> </w:t>
      </w:r>
      <w:proofErr w:type="spellStart"/>
      <w:r w:rsidRPr="00D244BA">
        <w:rPr>
          <w:rFonts w:cs="TimesNewRoman"/>
          <w:i/>
          <w:sz w:val="24"/>
        </w:rPr>
        <w:t>of</w:t>
      </w:r>
      <w:proofErr w:type="spellEnd"/>
      <w:r w:rsidRPr="00D244BA">
        <w:rPr>
          <w:rFonts w:cs="TimesNewRoman"/>
          <w:i/>
          <w:sz w:val="24"/>
        </w:rPr>
        <w:t xml:space="preserve"> </w:t>
      </w:r>
      <w:proofErr w:type="spellStart"/>
      <w:r w:rsidRPr="00D244BA">
        <w:rPr>
          <w:rFonts w:cs="TimesNewRoman"/>
          <w:i/>
          <w:sz w:val="24"/>
        </w:rPr>
        <w:t>litigation</w:t>
      </w:r>
      <w:proofErr w:type="spellEnd"/>
      <w:r w:rsidRPr="00D244BA">
        <w:rPr>
          <w:rFonts w:cs="TimesNewRoman"/>
          <w:i/>
          <w:sz w:val="24"/>
        </w:rPr>
        <w:t xml:space="preserve"> </w:t>
      </w:r>
      <w:proofErr w:type="spellStart"/>
      <w:r w:rsidRPr="00D244BA">
        <w:rPr>
          <w:rFonts w:cs="TimesNewRoman"/>
          <w:i/>
          <w:sz w:val="24"/>
        </w:rPr>
        <w:t>over</w:t>
      </w:r>
      <w:proofErr w:type="spellEnd"/>
      <w:r w:rsidRPr="00D244BA">
        <w:rPr>
          <w:rFonts w:cs="TimesNewRoman"/>
          <w:i/>
          <w:sz w:val="24"/>
        </w:rPr>
        <w:t xml:space="preserve"> the </w:t>
      </w:r>
      <w:proofErr w:type="spellStart"/>
      <w:r w:rsidRPr="00D244BA">
        <w:rPr>
          <w:rFonts w:cs="TimesNewRoman"/>
          <w:i/>
          <w:sz w:val="24"/>
        </w:rPr>
        <w:t>liability</w:t>
      </w:r>
      <w:proofErr w:type="spellEnd"/>
      <w:r w:rsidRPr="00D244BA">
        <w:rPr>
          <w:rFonts w:cs="TimesNewRoman"/>
          <w:i/>
          <w:sz w:val="24"/>
        </w:rPr>
        <w:t xml:space="preserve"> </w:t>
      </w:r>
      <w:proofErr w:type="spellStart"/>
      <w:r w:rsidRPr="00D244BA">
        <w:rPr>
          <w:rFonts w:cs="TimesNewRoman"/>
          <w:i/>
          <w:sz w:val="24"/>
        </w:rPr>
        <w:t>of</w:t>
      </w:r>
      <w:proofErr w:type="spellEnd"/>
      <w:r w:rsidRPr="00D244BA">
        <w:rPr>
          <w:rFonts w:cs="TimesNewRoman"/>
          <w:i/>
          <w:sz w:val="24"/>
        </w:rPr>
        <w:t xml:space="preserve"> the </w:t>
      </w:r>
      <w:proofErr w:type="spellStart"/>
      <w:r w:rsidRPr="00D244BA">
        <w:rPr>
          <w:rFonts w:cs="TimesNewRoman"/>
          <w:i/>
          <w:sz w:val="24"/>
        </w:rPr>
        <w:t>insured</w:t>
      </w:r>
      <w:proofErr w:type="spellEnd"/>
      <w:r w:rsidRPr="00D244BA">
        <w:rPr>
          <w:rFonts w:cs="TimesNewRoman"/>
          <w:i/>
          <w:sz w:val="24"/>
        </w:rPr>
        <w:t xml:space="preserve"> person</w:t>
      </w:r>
      <w:r w:rsidR="00FF271B" w:rsidRPr="00D244BA">
        <w:rPr>
          <w:i/>
          <w:sz w:val="24"/>
          <w:lang w:val="en-GB" w:eastAsia="pl-PL"/>
        </w:rPr>
        <w:t>.</w:t>
      </w:r>
    </w:p>
    <w:p w:rsidR="00D84302" w:rsidRPr="00314A8D" w:rsidRDefault="00D84302" w:rsidP="00A06B9C">
      <w:pPr>
        <w:spacing w:line="240" w:lineRule="auto"/>
        <w:rPr>
          <w:rFonts w:cs="Arial"/>
          <w:b/>
          <w:bCs/>
          <w:sz w:val="24"/>
          <w:lang w:val="en-GB"/>
        </w:rPr>
      </w:pPr>
    </w:p>
    <w:p w:rsidR="009A6258" w:rsidRDefault="009A6258" w:rsidP="00A06B9C">
      <w:pPr>
        <w:spacing w:line="240" w:lineRule="auto"/>
        <w:ind w:left="990"/>
        <w:jc w:val="center"/>
        <w:rPr>
          <w:rFonts w:cs="Arial"/>
          <w:b/>
          <w:bCs/>
          <w:sz w:val="24"/>
          <w:lang w:val="en-GB"/>
        </w:rPr>
      </w:pPr>
      <w:r>
        <w:rPr>
          <w:rFonts w:cs="Arial"/>
          <w:b/>
          <w:bCs/>
          <w:sz w:val="24"/>
          <w:lang w:val="en-GB"/>
        </w:rPr>
        <w:t>Personal Right of the Person Sustaining Damage and Direct Action</w:t>
      </w:r>
    </w:p>
    <w:p w:rsidR="00D84302" w:rsidRPr="00314A8D" w:rsidRDefault="009A6258" w:rsidP="00A06B9C">
      <w:pPr>
        <w:spacing w:line="240" w:lineRule="auto"/>
        <w:ind w:left="990"/>
        <w:jc w:val="center"/>
        <w:rPr>
          <w:b/>
          <w:sz w:val="24"/>
          <w:lang w:val="en-GB"/>
        </w:rPr>
      </w:pPr>
      <w:r>
        <w:rPr>
          <w:b/>
          <w:sz w:val="24"/>
          <w:lang w:val="en-GB"/>
        </w:rPr>
        <w:t>Article</w:t>
      </w:r>
      <w:r w:rsidR="00FF271B" w:rsidRPr="00314A8D">
        <w:rPr>
          <w:b/>
          <w:sz w:val="24"/>
          <w:lang w:val="en-GB"/>
        </w:rPr>
        <w:t xml:space="preserve"> 941</w:t>
      </w:r>
    </w:p>
    <w:p w:rsidR="00D84302" w:rsidRPr="00314A8D" w:rsidRDefault="00D84302" w:rsidP="00A06B9C">
      <w:pPr>
        <w:spacing w:line="240" w:lineRule="auto"/>
        <w:ind w:left="990"/>
        <w:rPr>
          <w:i/>
          <w:sz w:val="24"/>
          <w:lang w:val="en-GB"/>
        </w:rPr>
      </w:pPr>
    </w:p>
    <w:p w:rsidR="00D84302" w:rsidRPr="009A6258" w:rsidRDefault="009A6258" w:rsidP="00A06B9C">
      <w:pPr>
        <w:autoSpaceDE w:val="0"/>
        <w:autoSpaceDN w:val="0"/>
        <w:adjustRightInd w:val="0"/>
        <w:spacing w:line="240" w:lineRule="auto"/>
        <w:ind w:left="990"/>
        <w:rPr>
          <w:rFonts w:cs="TimesNewRoman"/>
          <w:i/>
          <w:sz w:val="24"/>
        </w:rPr>
      </w:pPr>
      <w:r w:rsidRPr="009A6258">
        <w:rPr>
          <w:rFonts w:cs="TimesNewRoman"/>
          <w:i/>
          <w:sz w:val="24"/>
        </w:rPr>
        <w:t xml:space="preserve">In </w:t>
      </w:r>
      <w:proofErr w:type="spellStart"/>
      <w:r w:rsidRPr="009A6258">
        <w:rPr>
          <w:rFonts w:cs="TimesNewRoman"/>
          <w:i/>
          <w:sz w:val="24"/>
        </w:rPr>
        <w:t>case</w:t>
      </w:r>
      <w:proofErr w:type="spellEnd"/>
      <w:r w:rsidRPr="009A6258">
        <w:rPr>
          <w:rFonts w:cs="TimesNewRoman"/>
          <w:i/>
          <w:sz w:val="24"/>
        </w:rPr>
        <w:t xml:space="preserve"> </w:t>
      </w:r>
      <w:proofErr w:type="spellStart"/>
      <w:r w:rsidRPr="009A6258">
        <w:rPr>
          <w:rFonts w:cs="TimesNewRoman"/>
          <w:i/>
          <w:sz w:val="24"/>
        </w:rPr>
        <w:t>of</w:t>
      </w:r>
      <w:proofErr w:type="spellEnd"/>
      <w:r w:rsidRPr="009A6258">
        <w:rPr>
          <w:rFonts w:cs="TimesNewRoman"/>
          <w:i/>
          <w:sz w:val="24"/>
        </w:rPr>
        <w:t xml:space="preserve"> </w:t>
      </w:r>
      <w:proofErr w:type="spellStart"/>
      <w:r w:rsidRPr="009A6258">
        <w:rPr>
          <w:rFonts w:cs="TimesNewRoman"/>
          <w:i/>
          <w:sz w:val="24"/>
        </w:rPr>
        <w:t>liability</w:t>
      </w:r>
      <w:proofErr w:type="spellEnd"/>
      <w:r w:rsidRPr="009A6258">
        <w:rPr>
          <w:rFonts w:cs="TimesNewRoman"/>
          <w:i/>
          <w:sz w:val="24"/>
        </w:rPr>
        <w:t xml:space="preserve"> </w:t>
      </w:r>
      <w:proofErr w:type="spellStart"/>
      <w:r w:rsidRPr="009A6258">
        <w:rPr>
          <w:rFonts w:cs="TimesNewRoman"/>
          <w:i/>
          <w:sz w:val="24"/>
        </w:rPr>
        <w:t>insurance</w:t>
      </w:r>
      <w:proofErr w:type="spellEnd"/>
      <w:r w:rsidRPr="009A6258">
        <w:rPr>
          <w:rFonts w:cs="TimesNewRoman"/>
          <w:i/>
          <w:sz w:val="24"/>
        </w:rPr>
        <w:t xml:space="preserve"> the person </w:t>
      </w:r>
      <w:proofErr w:type="spellStart"/>
      <w:r w:rsidRPr="009A6258">
        <w:rPr>
          <w:rFonts w:cs="TimesNewRoman"/>
          <w:i/>
          <w:sz w:val="24"/>
        </w:rPr>
        <w:t>sustaining</w:t>
      </w:r>
      <w:proofErr w:type="spellEnd"/>
      <w:r w:rsidRPr="009A6258">
        <w:rPr>
          <w:rFonts w:cs="TimesNewRoman"/>
          <w:i/>
          <w:sz w:val="24"/>
        </w:rPr>
        <w:t xml:space="preserve"> </w:t>
      </w:r>
      <w:proofErr w:type="spellStart"/>
      <w:r w:rsidRPr="009A6258">
        <w:rPr>
          <w:rFonts w:cs="TimesNewRoman"/>
          <w:i/>
          <w:sz w:val="24"/>
        </w:rPr>
        <w:t>damage</w:t>
      </w:r>
      <w:proofErr w:type="spellEnd"/>
      <w:r w:rsidRPr="009A6258">
        <w:rPr>
          <w:rFonts w:cs="TimesNewRoman"/>
          <w:i/>
          <w:sz w:val="24"/>
        </w:rPr>
        <w:t xml:space="preserve"> </w:t>
      </w:r>
      <w:proofErr w:type="spellStart"/>
      <w:r w:rsidRPr="009A6258">
        <w:rPr>
          <w:rFonts w:cs="TimesNewRoman"/>
          <w:i/>
          <w:sz w:val="24"/>
        </w:rPr>
        <w:t>may</w:t>
      </w:r>
      <w:proofErr w:type="spellEnd"/>
      <w:r w:rsidRPr="009A6258">
        <w:rPr>
          <w:rFonts w:cs="TimesNewRoman"/>
          <w:i/>
          <w:sz w:val="24"/>
        </w:rPr>
        <w:t xml:space="preserve"> </w:t>
      </w:r>
      <w:proofErr w:type="spellStart"/>
      <w:r w:rsidRPr="009A6258">
        <w:rPr>
          <w:rFonts w:cs="TimesNewRoman"/>
          <w:i/>
          <w:sz w:val="24"/>
        </w:rPr>
        <w:t>request</w:t>
      </w:r>
      <w:proofErr w:type="spellEnd"/>
      <w:r w:rsidRPr="009A6258">
        <w:rPr>
          <w:rFonts w:cs="TimesNewRoman"/>
          <w:i/>
          <w:sz w:val="24"/>
        </w:rPr>
        <w:t xml:space="preserve"> the </w:t>
      </w:r>
      <w:proofErr w:type="spellStart"/>
      <w:r w:rsidRPr="009A6258">
        <w:rPr>
          <w:rFonts w:cs="TimesNewRoman"/>
          <w:i/>
          <w:sz w:val="24"/>
        </w:rPr>
        <w:t>compensation</w:t>
      </w:r>
      <w:proofErr w:type="spellEnd"/>
      <w:r w:rsidRPr="009A6258">
        <w:rPr>
          <w:rFonts w:cs="TimesNewRoman"/>
          <w:i/>
          <w:sz w:val="24"/>
        </w:rPr>
        <w:t xml:space="preserve"> </w:t>
      </w:r>
      <w:proofErr w:type="spellStart"/>
      <w:r w:rsidRPr="009A6258">
        <w:rPr>
          <w:rFonts w:cs="TimesNewRoman"/>
          <w:i/>
          <w:sz w:val="24"/>
        </w:rPr>
        <w:t>for</w:t>
      </w:r>
      <w:proofErr w:type="spellEnd"/>
      <w:r w:rsidRPr="009A6258">
        <w:rPr>
          <w:rFonts w:cs="TimesNewRoman"/>
          <w:i/>
          <w:sz w:val="24"/>
        </w:rPr>
        <w:t xml:space="preserve"> </w:t>
      </w:r>
      <w:proofErr w:type="spellStart"/>
      <w:r w:rsidRPr="009A6258">
        <w:rPr>
          <w:rFonts w:cs="TimesNewRoman"/>
          <w:i/>
          <w:sz w:val="24"/>
        </w:rPr>
        <w:t>loss</w:t>
      </w:r>
      <w:proofErr w:type="spellEnd"/>
      <w:r w:rsidRPr="009A6258">
        <w:rPr>
          <w:rFonts w:cs="TimesNewRoman"/>
          <w:i/>
          <w:sz w:val="24"/>
        </w:rPr>
        <w:t xml:space="preserve"> </w:t>
      </w:r>
      <w:proofErr w:type="spellStart"/>
      <w:r w:rsidRPr="009A6258">
        <w:rPr>
          <w:rFonts w:cs="TimesNewRoman"/>
          <w:i/>
          <w:sz w:val="24"/>
        </w:rPr>
        <w:t>sustained</w:t>
      </w:r>
      <w:proofErr w:type="spellEnd"/>
      <w:r w:rsidRPr="009A6258">
        <w:rPr>
          <w:rFonts w:cs="TimesNewRoman"/>
          <w:i/>
          <w:sz w:val="24"/>
        </w:rPr>
        <w:t xml:space="preserve"> </w:t>
      </w:r>
      <w:proofErr w:type="spellStart"/>
      <w:r w:rsidRPr="009A6258">
        <w:rPr>
          <w:rFonts w:cs="TimesNewRoman"/>
          <w:i/>
          <w:sz w:val="24"/>
        </w:rPr>
        <w:t>due</w:t>
      </w:r>
      <w:proofErr w:type="spellEnd"/>
      <w:r w:rsidRPr="009A6258">
        <w:rPr>
          <w:rFonts w:cs="TimesNewRoman"/>
          <w:i/>
          <w:sz w:val="24"/>
        </w:rPr>
        <w:t xml:space="preserve"> to an </w:t>
      </w:r>
      <w:proofErr w:type="spellStart"/>
      <w:r w:rsidRPr="009A6258">
        <w:rPr>
          <w:rFonts w:cs="TimesNewRoman"/>
          <w:i/>
          <w:sz w:val="24"/>
        </w:rPr>
        <w:t>event</w:t>
      </w:r>
      <w:proofErr w:type="spellEnd"/>
      <w:r w:rsidRPr="009A6258">
        <w:rPr>
          <w:rFonts w:cs="TimesNewRoman"/>
          <w:i/>
          <w:sz w:val="24"/>
        </w:rPr>
        <w:t xml:space="preserve"> </w:t>
      </w:r>
      <w:proofErr w:type="spellStart"/>
      <w:r w:rsidRPr="009A6258">
        <w:rPr>
          <w:rFonts w:cs="TimesNewRoman"/>
          <w:i/>
          <w:sz w:val="24"/>
        </w:rPr>
        <w:t>falling</w:t>
      </w:r>
      <w:proofErr w:type="spellEnd"/>
      <w:r w:rsidRPr="009A6258">
        <w:rPr>
          <w:rFonts w:cs="TimesNewRoman"/>
          <w:i/>
          <w:sz w:val="24"/>
        </w:rPr>
        <w:t xml:space="preserve"> </w:t>
      </w:r>
      <w:proofErr w:type="spellStart"/>
      <w:r w:rsidRPr="009A6258">
        <w:rPr>
          <w:rFonts w:cs="TimesNewRoman"/>
          <w:i/>
          <w:sz w:val="24"/>
        </w:rPr>
        <w:t>within</w:t>
      </w:r>
      <w:proofErr w:type="spellEnd"/>
      <w:r w:rsidRPr="009A6258">
        <w:rPr>
          <w:rFonts w:cs="TimesNewRoman"/>
          <w:i/>
          <w:sz w:val="24"/>
        </w:rPr>
        <w:t xml:space="preserve"> the </w:t>
      </w:r>
      <w:proofErr w:type="spellStart"/>
      <w:r w:rsidRPr="009A6258">
        <w:rPr>
          <w:rFonts w:cs="TimesNewRoman"/>
          <w:i/>
          <w:sz w:val="24"/>
        </w:rPr>
        <w:t>sphere</w:t>
      </w:r>
      <w:proofErr w:type="spellEnd"/>
      <w:r w:rsidRPr="009A6258">
        <w:rPr>
          <w:rFonts w:cs="TimesNewRoman"/>
          <w:i/>
          <w:sz w:val="24"/>
        </w:rPr>
        <w:t xml:space="preserve"> </w:t>
      </w:r>
      <w:proofErr w:type="spellStart"/>
      <w:r w:rsidRPr="009A6258">
        <w:rPr>
          <w:rFonts w:cs="TimesNewRoman"/>
          <w:i/>
          <w:sz w:val="24"/>
        </w:rPr>
        <w:t>of</w:t>
      </w:r>
      <w:proofErr w:type="spellEnd"/>
      <w:r w:rsidRPr="009A6258">
        <w:rPr>
          <w:rFonts w:cs="TimesNewRoman"/>
          <w:i/>
          <w:sz w:val="24"/>
        </w:rPr>
        <w:t xml:space="preserve"> </w:t>
      </w:r>
      <w:proofErr w:type="spellStart"/>
      <w:r w:rsidRPr="009A6258">
        <w:rPr>
          <w:rFonts w:cs="TimesNewRoman"/>
          <w:i/>
          <w:sz w:val="24"/>
        </w:rPr>
        <w:t>liability</w:t>
      </w:r>
      <w:proofErr w:type="spellEnd"/>
      <w:r w:rsidRPr="009A6258">
        <w:rPr>
          <w:rFonts w:cs="TimesNewRoman"/>
          <w:i/>
          <w:sz w:val="24"/>
        </w:rPr>
        <w:t xml:space="preserve"> </w:t>
      </w:r>
      <w:proofErr w:type="spellStart"/>
      <w:r w:rsidRPr="009A6258">
        <w:rPr>
          <w:rFonts w:cs="TimesNewRoman"/>
          <w:i/>
          <w:sz w:val="24"/>
        </w:rPr>
        <w:t>of</w:t>
      </w:r>
      <w:proofErr w:type="spellEnd"/>
      <w:r w:rsidRPr="009A6258">
        <w:rPr>
          <w:rFonts w:cs="TimesNewRoman"/>
          <w:i/>
          <w:sz w:val="24"/>
        </w:rPr>
        <w:t xml:space="preserve"> the </w:t>
      </w:r>
      <w:proofErr w:type="spellStart"/>
      <w:r w:rsidRPr="009A6258">
        <w:rPr>
          <w:rFonts w:cs="TimesNewRoman"/>
          <w:i/>
          <w:sz w:val="24"/>
        </w:rPr>
        <w:t>insured</w:t>
      </w:r>
      <w:proofErr w:type="spellEnd"/>
      <w:r w:rsidRPr="009A6258">
        <w:rPr>
          <w:rFonts w:cs="TimesNewRoman"/>
          <w:i/>
          <w:sz w:val="24"/>
        </w:rPr>
        <w:t xml:space="preserve"> person </w:t>
      </w:r>
      <w:proofErr w:type="spellStart"/>
      <w:r w:rsidRPr="009A6258">
        <w:rPr>
          <w:rFonts w:cs="TimesNewRoman"/>
          <w:i/>
          <w:sz w:val="24"/>
        </w:rPr>
        <w:t>directly</w:t>
      </w:r>
      <w:proofErr w:type="spellEnd"/>
      <w:r w:rsidRPr="009A6258">
        <w:rPr>
          <w:rFonts w:cs="TimesNewRoman"/>
          <w:i/>
          <w:sz w:val="24"/>
        </w:rPr>
        <w:t xml:space="preserve"> </w:t>
      </w:r>
      <w:proofErr w:type="spellStart"/>
      <w:r w:rsidRPr="009A6258">
        <w:rPr>
          <w:rFonts w:cs="TimesNewRoman"/>
          <w:i/>
          <w:sz w:val="24"/>
        </w:rPr>
        <w:t>from</w:t>
      </w:r>
      <w:proofErr w:type="spellEnd"/>
      <w:r w:rsidRPr="009A6258">
        <w:rPr>
          <w:rFonts w:cs="TimesNewRoman"/>
          <w:i/>
          <w:sz w:val="24"/>
        </w:rPr>
        <w:t xml:space="preserve"> the </w:t>
      </w:r>
      <w:proofErr w:type="spellStart"/>
      <w:r w:rsidRPr="009A6258">
        <w:rPr>
          <w:rFonts w:cs="TimesNewRoman"/>
          <w:i/>
          <w:sz w:val="24"/>
        </w:rPr>
        <w:t>insurer</w:t>
      </w:r>
      <w:proofErr w:type="spellEnd"/>
      <w:r w:rsidRPr="009A6258">
        <w:rPr>
          <w:rFonts w:cs="TimesNewRoman"/>
          <w:i/>
          <w:sz w:val="24"/>
        </w:rPr>
        <w:t xml:space="preserve">, but </w:t>
      </w:r>
      <w:proofErr w:type="spellStart"/>
      <w:r w:rsidRPr="009A6258">
        <w:rPr>
          <w:rFonts w:cs="TimesNewRoman"/>
          <w:i/>
          <w:sz w:val="24"/>
        </w:rPr>
        <w:t>only</w:t>
      </w:r>
      <w:proofErr w:type="spellEnd"/>
      <w:r w:rsidRPr="009A6258">
        <w:rPr>
          <w:rFonts w:cs="TimesNewRoman"/>
          <w:i/>
          <w:sz w:val="24"/>
        </w:rPr>
        <w:t xml:space="preserve"> </w:t>
      </w:r>
      <w:proofErr w:type="spellStart"/>
      <w:r w:rsidRPr="009A6258">
        <w:rPr>
          <w:rFonts w:cs="TimesNewRoman"/>
          <w:i/>
          <w:sz w:val="24"/>
        </w:rPr>
        <w:t>up</w:t>
      </w:r>
      <w:proofErr w:type="spellEnd"/>
      <w:r w:rsidRPr="009A6258">
        <w:rPr>
          <w:rFonts w:cs="TimesNewRoman"/>
          <w:i/>
          <w:sz w:val="24"/>
        </w:rPr>
        <w:t xml:space="preserve"> to the </w:t>
      </w:r>
      <w:proofErr w:type="spellStart"/>
      <w:r w:rsidRPr="009A6258">
        <w:rPr>
          <w:rFonts w:cs="TimesNewRoman"/>
          <w:i/>
          <w:sz w:val="24"/>
        </w:rPr>
        <w:t>amount</w:t>
      </w:r>
      <w:proofErr w:type="spellEnd"/>
      <w:r w:rsidRPr="009A6258">
        <w:rPr>
          <w:rFonts w:cs="TimesNewRoman"/>
          <w:i/>
          <w:sz w:val="24"/>
        </w:rPr>
        <w:t xml:space="preserve"> </w:t>
      </w:r>
      <w:proofErr w:type="spellStart"/>
      <w:r w:rsidRPr="009A6258">
        <w:rPr>
          <w:rFonts w:cs="TimesNewRoman"/>
          <w:i/>
          <w:sz w:val="24"/>
        </w:rPr>
        <w:t>of</w:t>
      </w:r>
      <w:proofErr w:type="spellEnd"/>
      <w:r w:rsidRPr="009A6258">
        <w:rPr>
          <w:rFonts w:cs="TimesNewRoman"/>
          <w:i/>
          <w:sz w:val="24"/>
        </w:rPr>
        <w:t xml:space="preserve"> the </w:t>
      </w:r>
      <w:proofErr w:type="spellStart"/>
      <w:r w:rsidRPr="009A6258">
        <w:rPr>
          <w:rFonts w:cs="TimesNewRoman"/>
          <w:i/>
          <w:sz w:val="24"/>
        </w:rPr>
        <w:t>insurer's</w:t>
      </w:r>
      <w:proofErr w:type="spellEnd"/>
      <w:r w:rsidRPr="009A6258">
        <w:rPr>
          <w:rFonts w:cs="TimesNewRoman"/>
          <w:i/>
          <w:sz w:val="24"/>
        </w:rPr>
        <w:t xml:space="preserve"> </w:t>
      </w:r>
      <w:proofErr w:type="spellStart"/>
      <w:r w:rsidRPr="009A6258">
        <w:rPr>
          <w:rFonts w:cs="TimesNewRoman"/>
          <w:i/>
          <w:sz w:val="24"/>
        </w:rPr>
        <w:t>obligation</w:t>
      </w:r>
      <w:proofErr w:type="spellEnd"/>
      <w:r w:rsidR="00FF271B" w:rsidRPr="009A6258">
        <w:rPr>
          <w:i/>
          <w:sz w:val="24"/>
          <w:lang w:val="en-GB" w:eastAsia="pl-PL"/>
        </w:rPr>
        <w:t>.</w:t>
      </w:r>
    </w:p>
    <w:p w:rsidR="00D84302" w:rsidRPr="007928F2" w:rsidRDefault="007928F2" w:rsidP="00A06B9C">
      <w:pPr>
        <w:autoSpaceDE w:val="0"/>
        <w:autoSpaceDN w:val="0"/>
        <w:adjustRightInd w:val="0"/>
        <w:spacing w:line="240" w:lineRule="auto"/>
        <w:ind w:left="990"/>
        <w:rPr>
          <w:rFonts w:cs="TimesNewRoman"/>
          <w:i/>
          <w:sz w:val="24"/>
        </w:rPr>
      </w:pPr>
      <w:r w:rsidRPr="007928F2">
        <w:rPr>
          <w:rFonts w:cs="TimesNewRoman"/>
          <w:i/>
          <w:sz w:val="24"/>
        </w:rPr>
        <w:t xml:space="preserve">The person </w:t>
      </w:r>
      <w:proofErr w:type="spellStart"/>
      <w:r w:rsidRPr="007928F2">
        <w:rPr>
          <w:rFonts w:cs="TimesNewRoman"/>
          <w:i/>
          <w:sz w:val="24"/>
        </w:rPr>
        <w:t>sustaining</w:t>
      </w:r>
      <w:proofErr w:type="spellEnd"/>
      <w:r w:rsidRPr="007928F2">
        <w:rPr>
          <w:rFonts w:cs="TimesNewRoman"/>
          <w:i/>
          <w:sz w:val="24"/>
        </w:rPr>
        <w:t xml:space="preserve"> </w:t>
      </w:r>
      <w:proofErr w:type="spellStart"/>
      <w:r w:rsidRPr="007928F2">
        <w:rPr>
          <w:rFonts w:cs="TimesNewRoman"/>
          <w:i/>
          <w:sz w:val="24"/>
        </w:rPr>
        <w:t>damage</w:t>
      </w:r>
      <w:proofErr w:type="spellEnd"/>
      <w:r w:rsidRPr="007928F2">
        <w:rPr>
          <w:rFonts w:cs="TimesNewRoman"/>
          <w:i/>
          <w:sz w:val="24"/>
        </w:rPr>
        <w:t xml:space="preserve"> shall </w:t>
      </w:r>
      <w:proofErr w:type="spellStart"/>
      <w:r w:rsidRPr="007928F2">
        <w:rPr>
          <w:rFonts w:cs="TimesNewRoman"/>
          <w:i/>
          <w:sz w:val="24"/>
        </w:rPr>
        <w:t>have</w:t>
      </w:r>
      <w:proofErr w:type="spellEnd"/>
      <w:r w:rsidRPr="007928F2">
        <w:rPr>
          <w:rFonts w:cs="TimesNewRoman"/>
          <w:i/>
          <w:sz w:val="24"/>
        </w:rPr>
        <w:t xml:space="preserve">, </w:t>
      </w:r>
      <w:proofErr w:type="spellStart"/>
      <w:r w:rsidRPr="007928F2">
        <w:rPr>
          <w:rFonts w:cs="TimesNewRoman"/>
          <w:i/>
          <w:sz w:val="24"/>
        </w:rPr>
        <w:t>from</w:t>
      </w:r>
      <w:proofErr w:type="spellEnd"/>
      <w:r w:rsidRPr="007928F2">
        <w:rPr>
          <w:rFonts w:cs="TimesNewRoman"/>
          <w:i/>
          <w:sz w:val="24"/>
        </w:rPr>
        <w:t xml:space="preserve"> the </w:t>
      </w:r>
      <w:proofErr w:type="spellStart"/>
      <w:r w:rsidRPr="007928F2">
        <w:rPr>
          <w:rFonts w:cs="TimesNewRoman"/>
          <w:i/>
          <w:sz w:val="24"/>
        </w:rPr>
        <w:t>day</w:t>
      </w:r>
      <w:proofErr w:type="spellEnd"/>
      <w:r w:rsidRPr="007928F2">
        <w:rPr>
          <w:rFonts w:cs="TimesNewRoman"/>
          <w:i/>
          <w:sz w:val="24"/>
        </w:rPr>
        <w:t xml:space="preserve"> </w:t>
      </w:r>
      <w:proofErr w:type="spellStart"/>
      <w:r w:rsidRPr="007928F2">
        <w:rPr>
          <w:rFonts w:cs="TimesNewRoman"/>
          <w:i/>
          <w:sz w:val="24"/>
        </w:rPr>
        <w:t>of</w:t>
      </w:r>
      <w:proofErr w:type="spellEnd"/>
      <w:r w:rsidRPr="007928F2">
        <w:rPr>
          <w:rFonts w:cs="TimesNewRoman"/>
          <w:i/>
          <w:sz w:val="24"/>
        </w:rPr>
        <w:t xml:space="preserve"> </w:t>
      </w:r>
      <w:proofErr w:type="spellStart"/>
      <w:r w:rsidRPr="007928F2">
        <w:rPr>
          <w:rFonts w:cs="TimesNewRoman"/>
          <w:i/>
          <w:sz w:val="24"/>
        </w:rPr>
        <w:t>occurrence</w:t>
      </w:r>
      <w:proofErr w:type="spellEnd"/>
      <w:r w:rsidRPr="007928F2">
        <w:rPr>
          <w:rFonts w:cs="TimesNewRoman"/>
          <w:i/>
          <w:sz w:val="24"/>
        </w:rPr>
        <w:t xml:space="preserve"> </w:t>
      </w:r>
      <w:proofErr w:type="spellStart"/>
      <w:r w:rsidRPr="007928F2">
        <w:rPr>
          <w:rFonts w:cs="TimesNewRoman"/>
          <w:i/>
          <w:sz w:val="24"/>
        </w:rPr>
        <w:t>of</w:t>
      </w:r>
      <w:proofErr w:type="spellEnd"/>
      <w:r w:rsidRPr="007928F2">
        <w:rPr>
          <w:rFonts w:cs="TimesNewRoman"/>
          <w:i/>
          <w:sz w:val="24"/>
        </w:rPr>
        <w:t xml:space="preserve"> the </w:t>
      </w:r>
      <w:proofErr w:type="spellStart"/>
      <w:r w:rsidRPr="007928F2">
        <w:rPr>
          <w:rFonts w:cs="TimesNewRoman"/>
          <w:i/>
          <w:sz w:val="24"/>
        </w:rPr>
        <w:t>insured</w:t>
      </w:r>
      <w:proofErr w:type="spellEnd"/>
      <w:r w:rsidRPr="007928F2">
        <w:rPr>
          <w:rFonts w:cs="TimesNewRoman"/>
          <w:i/>
          <w:sz w:val="24"/>
        </w:rPr>
        <w:t xml:space="preserve"> </w:t>
      </w:r>
      <w:proofErr w:type="spellStart"/>
      <w:r w:rsidRPr="007928F2">
        <w:rPr>
          <w:rFonts w:cs="TimesNewRoman"/>
          <w:i/>
          <w:sz w:val="24"/>
        </w:rPr>
        <w:t>event</w:t>
      </w:r>
      <w:proofErr w:type="spellEnd"/>
      <w:r w:rsidRPr="007928F2">
        <w:rPr>
          <w:rFonts w:cs="TimesNewRoman"/>
          <w:i/>
          <w:sz w:val="24"/>
        </w:rPr>
        <w:t xml:space="preserve">, </w:t>
      </w:r>
      <w:proofErr w:type="spellStart"/>
      <w:r w:rsidRPr="007928F2">
        <w:rPr>
          <w:rFonts w:cs="TimesNewRoman"/>
          <w:i/>
          <w:sz w:val="24"/>
        </w:rPr>
        <w:t>his</w:t>
      </w:r>
      <w:proofErr w:type="spellEnd"/>
      <w:r w:rsidRPr="007928F2">
        <w:rPr>
          <w:rFonts w:cs="TimesNewRoman"/>
          <w:i/>
          <w:sz w:val="24"/>
        </w:rPr>
        <w:t xml:space="preserve"> </w:t>
      </w:r>
      <w:proofErr w:type="spellStart"/>
      <w:r w:rsidRPr="007928F2">
        <w:rPr>
          <w:rFonts w:cs="TimesNewRoman"/>
          <w:i/>
          <w:sz w:val="24"/>
        </w:rPr>
        <w:t>own</w:t>
      </w:r>
      <w:proofErr w:type="spellEnd"/>
      <w:r w:rsidRPr="007928F2">
        <w:rPr>
          <w:rFonts w:cs="TimesNewRoman"/>
          <w:i/>
          <w:sz w:val="24"/>
        </w:rPr>
        <w:t xml:space="preserve"> </w:t>
      </w:r>
      <w:proofErr w:type="spellStart"/>
      <w:r w:rsidRPr="007928F2">
        <w:rPr>
          <w:rFonts w:cs="TimesNewRoman"/>
          <w:i/>
          <w:sz w:val="24"/>
        </w:rPr>
        <w:t>right</w:t>
      </w:r>
      <w:proofErr w:type="spellEnd"/>
      <w:r w:rsidRPr="007928F2">
        <w:rPr>
          <w:rFonts w:cs="TimesNewRoman"/>
          <w:i/>
          <w:sz w:val="24"/>
        </w:rPr>
        <w:t xml:space="preserve"> to </w:t>
      </w:r>
      <w:proofErr w:type="spellStart"/>
      <w:r w:rsidRPr="007928F2">
        <w:rPr>
          <w:rFonts w:cs="TimesNewRoman"/>
          <w:i/>
          <w:sz w:val="24"/>
        </w:rPr>
        <w:t>compensation</w:t>
      </w:r>
      <w:proofErr w:type="spellEnd"/>
      <w:r w:rsidRPr="007928F2">
        <w:rPr>
          <w:rFonts w:cs="TimesNewRoman"/>
          <w:i/>
          <w:sz w:val="24"/>
        </w:rPr>
        <w:t xml:space="preserve"> </w:t>
      </w:r>
      <w:proofErr w:type="spellStart"/>
      <w:r w:rsidRPr="007928F2">
        <w:rPr>
          <w:rFonts w:cs="TimesNewRoman"/>
          <w:i/>
          <w:sz w:val="24"/>
        </w:rPr>
        <w:t>from</w:t>
      </w:r>
      <w:proofErr w:type="spellEnd"/>
      <w:r w:rsidRPr="007928F2">
        <w:rPr>
          <w:rFonts w:cs="TimesNewRoman"/>
          <w:i/>
          <w:sz w:val="24"/>
        </w:rPr>
        <w:t xml:space="preserve"> the </w:t>
      </w:r>
      <w:proofErr w:type="spellStart"/>
      <w:r w:rsidRPr="007928F2">
        <w:rPr>
          <w:rFonts w:cs="TimesNewRoman"/>
          <w:i/>
          <w:sz w:val="24"/>
        </w:rPr>
        <w:t>insurance</w:t>
      </w:r>
      <w:proofErr w:type="spellEnd"/>
      <w:r w:rsidRPr="007928F2">
        <w:rPr>
          <w:rFonts w:cs="TimesNewRoman"/>
          <w:i/>
          <w:sz w:val="24"/>
        </w:rPr>
        <w:t xml:space="preserve">, </w:t>
      </w:r>
      <w:proofErr w:type="spellStart"/>
      <w:r w:rsidRPr="007928F2">
        <w:rPr>
          <w:rFonts w:cs="TimesNewRoman"/>
          <w:i/>
          <w:sz w:val="24"/>
        </w:rPr>
        <w:t>so</w:t>
      </w:r>
      <w:proofErr w:type="spellEnd"/>
      <w:r w:rsidRPr="007928F2">
        <w:rPr>
          <w:rFonts w:cs="TimesNewRoman"/>
          <w:i/>
          <w:sz w:val="24"/>
        </w:rPr>
        <w:t xml:space="preserve"> </w:t>
      </w:r>
      <w:proofErr w:type="spellStart"/>
      <w:r w:rsidRPr="007928F2">
        <w:rPr>
          <w:rFonts w:cs="TimesNewRoman"/>
          <w:i/>
          <w:sz w:val="24"/>
        </w:rPr>
        <w:t>that</w:t>
      </w:r>
      <w:proofErr w:type="spellEnd"/>
      <w:r w:rsidRPr="007928F2">
        <w:rPr>
          <w:rFonts w:cs="TimesNewRoman"/>
          <w:i/>
          <w:sz w:val="24"/>
        </w:rPr>
        <w:t xml:space="preserve"> </w:t>
      </w:r>
      <w:proofErr w:type="spellStart"/>
      <w:r w:rsidRPr="007928F2">
        <w:rPr>
          <w:rFonts w:cs="TimesNewRoman"/>
          <w:i/>
          <w:sz w:val="24"/>
        </w:rPr>
        <w:t>any</w:t>
      </w:r>
      <w:proofErr w:type="spellEnd"/>
      <w:r w:rsidRPr="007928F2">
        <w:rPr>
          <w:rFonts w:cs="TimesNewRoman"/>
          <w:i/>
          <w:sz w:val="24"/>
        </w:rPr>
        <w:t xml:space="preserve"> </w:t>
      </w:r>
      <w:proofErr w:type="spellStart"/>
      <w:r w:rsidRPr="007928F2">
        <w:rPr>
          <w:rFonts w:cs="TimesNewRoman"/>
          <w:i/>
          <w:sz w:val="24"/>
        </w:rPr>
        <w:t>subsequent</w:t>
      </w:r>
      <w:proofErr w:type="spellEnd"/>
      <w:r w:rsidRPr="007928F2">
        <w:rPr>
          <w:rFonts w:cs="TimesNewRoman"/>
          <w:i/>
          <w:sz w:val="24"/>
        </w:rPr>
        <w:t xml:space="preserve"> </w:t>
      </w:r>
      <w:proofErr w:type="spellStart"/>
      <w:r w:rsidRPr="007928F2">
        <w:rPr>
          <w:rFonts w:cs="TimesNewRoman"/>
          <w:i/>
          <w:sz w:val="24"/>
        </w:rPr>
        <w:t>change</w:t>
      </w:r>
      <w:proofErr w:type="spellEnd"/>
      <w:r w:rsidRPr="007928F2">
        <w:rPr>
          <w:rFonts w:cs="TimesNewRoman"/>
          <w:i/>
          <w:sz w:val="24"/>
        </w:rPr>
        <w:t xml:space="preserve"> in the </w:t>
      </w:r>
      <w:proofErr w:type="spellStart"/>
      <w:r w:rsidRPr="007928F2">
        <w:rPr>
          <w:rFonts w:cs="TimesNewRoman"/>
          <w:i/>
          <w:sz w:val="24"/>
        </w:rPr>
        <w:t>insured</w:t>
      </w:r>
      <w:proofErr w:type="spellEnd"/>
      <w:r w:rsidRPr="007928F2">
        <w:rPr>
          <w:rFonts w:cs="TimesNewRoman"/>
          <w:i/>
          <w:sz w:val="24"/>
        </w:rPr>
        <w:t xml:space="preserve"> </w:t>
      </w:r>
      <w:proofErr w:type="spellStart"/>
      <w:r w:rsidRPr="007928F2">
        <w:rPr>
          <w:rFonts w:cs="TimesNewRoman"/>
          <w:i/>
          <w:sz w:val="24"/>
        </w:rPr>
        <w:t>person's</w:t>
      </w:r>
      <w:proofErr w:type="spellEnd"/>
      <w:r w:rsidRPr="007928F2">
        <w:rPr>
          <w:rFonts w:cs="TimesNewRoman"/>
          <w:i/>
          <w:sz w:val="24"/>
        </w:rPr>
        <w:t xml:space="preserve"> </w:t>
      </w:r>
      <w:proofErr w:type="spellStart"/>
      <w:r w:rsidRPr="007928F2">
        <w:rPr>
          <w:rFonts w:cs="TimesNewRoman"/>
          <w:i/>
          <w:sz w:val="24"/>
        </w:rPr>
        <w:t>rights</w:t>
      </w:r>
      <w:proofErr w:type="spellEnd"/>
      <w:r w:rsidRPr="007928F2">
        <w:rPr>
          <w:rFonts w:cs="TimesNewRoman"/>
          <w:i/>
          <w:sz w:val="24"/>
        </w:rPr>
        <w:t xml:space="preserve"> </w:t>
      </w:r>
      <w:proofErr w:type="spellStart"/>
      <w:r w:rsidRPr="007928F2">
        <w:rPr>
          <w:rFonts w:cs="TimesNewRoman"/>
          <w:i/>
          <w:sz w:val="24"/>
        </w:rPr>
        <w:t>against</w:t>
      </w:r>
      <w:proofErr w:type="spellEnd"/>
      <w:r w:rsidRPr="007928F2">
        <w:rPr>
          <w:rFonts w:cs="TimesNewRoman"/>
          <w:i/>
          <w:sz w:val="24"/>
        </w:rPr>
        <w:t xml:space="preserve"> the </w:t>
      </w:r>
      <w:proofErr w:type="spellStart"/>
      <w:r w:rsidRPr="007928F2">
        <w:rPr>
          <w:rFonts w:cs="TimesNewRoman"/>
          <w:i/>
          <w:sz w:val="24"/>
        </w:rPr>
        <w:t>insurer</w:t>
      </w:r>
      <w:proofErr w:type="spellEnd"/>
      <w:r w:rsidRPr="007928F2">
        <w:rPr>
          <w:rFonts w:cs="TimesNewRoman"/>
          <w:i/>
          <w:sz w:val="24"/>
        </w:rPr>
        <w:t xml:space="preserve"> shall </w:t>
      </w:r>
      <w:proofErr w:type="spellStart"/>
      <w:r w:rsidRPr="007928F2">
        <w:rPr>
          <w:rFonts w:cs="TimesNewRoman"/>
          <w:i/>
          <w:sz w:val="24"/>
        </w:rPr>
        <w:t>have</w:t>
      </w:r>
      <w:proofErr w:type="spellEnd"/>
      <w:r w:rsidRPr="007928F2">
        <w:rPr>
          <w:rFonts w:cs="TimesNewRoman"/>
          <w:i/>
          <w:sz w:val="24"/>
        </w:rPr>
        <w:t xml:space="preserve"> </w:t>
      </w:r>
      <w:proofErr w:type="spellStart"/>
      <w:r w:rsidRPr="007928F2">
        <w:rPr>
          <w:rFonts w:cs="TimesNewRoman"/>
          <w:i/>
          <w:sz w:val="24"/>
        </w:rPr>
        <w:t>no</w:t>
      </w:r>
      <w:proofErr w:type="spellEnd"/>
      <w:r w:rsidRPr="007928F2">
        <w:rPr>
          <w:rFonts w:cs="TimesNewRoman"/>
          <w:i/>
          <w:sz w:val="24"/>
        </w:rPr>
        <w:t xml:space="preserve"> </w:t>
      </w:r>
      <w:proofErr w:type="spellStart"/>
      <w:r w:rsidRPr="007928F2">
        <w:rPr>
          <w:rFonts w:cs="TimesNewRoman"/>
          <w:i/>
          <w:sz w:val="24"/>
        </w:rPr>
        <w:t>effect</w:t>
      </w:r>
      <w:proofErr w:type="spellEnd"/>
      <w:r w:rsidRPr="007928F2">
        <w:rPr>
          <w:rFonts w:cs="TimesNewRoman"/>
          <w:i/>
          <w:sz w:val="24"/>
        </w:rPr>
        <w:t xml:space="preserve"> </w:t>
      </w:r>
      <w:proofErr w:type="spellStart"/>
      <w:r w:rsidRPr="007928F2">
        <w:rPr>
          <w:rFonts w:cs="TimesNewRoman"/>
          <w:i/>
          <w:sz w:val="24"/>
        </w:rPr>
        <w:t>on</w:t>
      </w:r>
      <w:proofErr w:type="spellEnd"/>
      <w:r w:rsidRPr="007928F2">
        <w:rPr>
          <w:rFonts w:cs="TimesNewRoman"/>
          <w:i/>
          <w:sz w:val="24"/>
        </w:rPr>
        <w:t xml:space="preserve"> the </w:t>
      </w:r>
      <w:proofErr w:type="spellStart"/>
      <w:r w:rsidRPr="007928F2">
        <w:rPr>
          <w:rFonts w:cs="TimesNewRoman"/>
          <w:i/>
          <w:sz w:val="24"/>
        </w:rPr>
        <w:t>right</w:t>
      </w:r>
      <w:proofErr w:type="spellEnd"/>
      <w:r w:rsidRPr="007928F2">
        <w:rPr>
          <w:rFonts w:cs="TimesNewRoman"/>
          <w:i/>
          <w:sz w:val="24"/>
        </w:rPr>
        <w:t xml:space="preserve"> </w:t>
      </w:r>
      <w:proofErr w:type="spellStart"/>
      <w:r w:rsidRPr="007928F2">
        <w:rPr>
          <w:rFonts w:cs="TimesNewRoman"/>
          <w:i/>
          <w:sz w:val="24"/>
        </w:rPr>
        <w:t>of</w:t>
      </w:r>
      <w:proofErr w:type="spellEnd"/>
      <w:r w:rsidRPr="007928F2">
        <w:rPr>
          <w:rFonts w:cs="TimesNewRoman"/>
          <w:i/>
          <w:sz w:val="24"/>
        </w:rPr>
        <w:t xml:space="preserve"> a person </w:t>
      </w:r>
      <w:proofErr w:type="spellStart"/>
      <w:r w:rsidRPr="007928F2">
        <w:rPr>
          <w:rFonts w:cs="TimesNewRoman"/>
          <w:i/>
          <w:sz w:val="24"/>
        </w:rPr>
        <w:t>sustaining</w:t>
      </w:r>
      <w:proofErr w:type="spellEnd"/>
      <w:r w:rsidRPr="007928F2">
        <w:rPr>
          <w:rFonts w:cs="TimesNewRoman"/>
          <w:i/>
          <w:sz w:val="24"/>
        </w:rPr>
        <w:t xml:space="preserve"> </w:t>
      </w:r>
      <w:proofErr w:type="spellStart"/>
      <w:r w:rsidRPr="007928F2">
        <w:rPr>
          <w:rFonts w:cs="TimesNewRoman"/>
          <w:i/>
          <w:sz w:val="24"/>
        </w:rPr>
        <w:t>damage</w:t>
      </w:r>
      <w:proofErr w:type="spellEnd"/>
      <w:r w:rsidRPr="007928F2">
        <w:rPr>
          <w:rFonts w:cs="TimesNewRoman"/>
          <w:i/>
          <w:sz w:val="24"/>
        </w:rPr>
        <w:t xml:space="preserve"> to </w:t>
      </w:r>
      <w:proofErr w:type="spellStart"/>
      <w:r w:rsidRPr="007928F2">
        <w:rPr>
          <w:rFonts w:cs="TimesNewRoman"/>
          <w:i/>
          <w:sz w:val="24"/>
        </w:rPr>
        <w:t>compensation</w:t>
      </w:r>
      <w:proofErr w:type="spellEnd"/>
      <w:r w:rsidR="00FF271B" w:rsidRPr="007928F2">
        <w:rPr>
          <w:i/>
          <w:sz w:val="24"/>
          <w:lang w:val="en-GB" w:eastAsia="pl-PL"/>
        </w:rPr>
        <w:t>.</w:t>
      </w:r>
    </w:p>
    <w:p w:rsidR="00D84302" w:rsidRPr="007928F2" w:rsidRDefault="00D84302" w:rsidP="00A06B9C">
      <w:pPr>
        <w:pStyle w:val="CommentText"/>
        <w:spacing w:line="240" w:lineRule="auto"/>
        <w:ind w:left="990"/>
        <w:rPr>
          <w:b/>
          <w:i/>
          <w:sz w:val="24"/>
          <w:szCs w:val="24"/>
          <w:lang w:val="en-GB"/>
        </w:rPr>
      </w:pPr>
    </w:p>
    <w:p w:rsidR="00D84302" w:rsidRPr="00314A8D" w:rsidRDefault="007928F2" w:rsidP="00A06B9C">
      <w:pPr>
        <w:pStyle w:val="CommentText"/>
        <w:spacing w:line="240" w:lineRule="auto"/>
        <w:rPr>
          <w:sz w:val="24"/>
          <w:szCs w:val="24"/>
          <w:lang w:val="en-GB"/>
        </w:rPr>
      </w:pPr>
      <w:r>
        <w:rPr>
          <w:b/>
          <w:sz w:val="24"/>
          <w:szCs w:val="24"/>
          <w:lang w:val="en-GB"/>
        </w:rPr>
        <w:t>Assessment of the Admissibility of the Referral</w:t>
      </w:r>
    </w:p>
    <w:p w:rsidR="00D84302" w:rsidRPr="00314A8D" w:rsidRDefault="00D84302" w:rsidP="00A06B9C">
      <w:pPr>
        <w:spacing w:line="240" w:lineRule="auto"/>
        <w:rPr>
          <w:sz w:val="24"/>
          <w:lang w:val="en-GB"/>
        </w:rPr>
      </w:pPr>
    </w:p>
    <w:p w:rsidR="00D84302" w:rsidRPr="007928F2" w:rsidRDefault="007928F2" w:rsidP="00A06B9C">
      <w:pPr>
        <w:numPr>
          <w:ilvl w:val="0"/>
          <w:numId w:val="63"/>
        </w:numPr>
        <w:spacing w:line="240" w:lineRule="auto"/>
        <w:ind w:left="630" w:hanging="630"/>
        <w:rPr>
          <w:sz w:val="24"/>
          <w:lang w:val="en-GB"/>
        </w:rPr>
      </w:pPr>
      <w:r w:rsidRPr="007928F2">
        <w:rPr>
          <w:rFonts w:eastAsia="Times New Roman"/>
          <w:sz w:val="24"/>
        </w:rPr>
        <w:t xml:space="preserve">The </w:t>
      </w:r>
      <w:proofErr w:type="spellStart"/>
      <w:r w:rsidRPr="007928F2">
        <w:rPr>
          <w:rFonts w:eastAsia="Times New Roman"/>
          <w:sz w:val="24"/>
        </w:rPr>
        <w:t>Court</w:t>
      </w:r>
      <w:proofErr w:type="spellEnd"/>
      <w:r w:rsidRPr="007928F2">
        <w:rPr>
          <w:rFonts w:eastAsia="Times New Roman"/>
          <w:sz w:val="24"/>
        </w:rPr>
        <w:t xml:space="preserve"> </w:t>
      </w:r>
      <w:proofErr w:type="spellStart"/>
      <w:r w:rsidRPr="007928F2">
        <w:rPr>
          <w:rFonts w:eastAsia="Times New Roman"/>
          <w:sz w:val="24"/>
        </w:rPr>
        <w:t>first</w:t>
      </w:r>
      <w:proofErr w:type="spellEnd"/>
      <w:r w:rsidRPr="007928F2">
        <w:rPr>
          <w:rFonts w:eastAsia="Times New Roman"/>
          <w:sz w:val="24"/>
        </w:rPr>
        <w:t xml:space="preserve"> </w:t>
      </w:r>
      <w:proofErr w:type="spellStart"/>
      <w:r w:rsidRPr="007928F2">
        <w:rPr>
          <w:rFonts w:eastAsia="Times New Roman"/>
          <w:sz w:val="24"/>
        </w:rPr>
        <w:t>examines</w:t>
      </w:r>
      <w:proofErr w:type="spellEnd"/>
      <w:r w:rsidRPr="007928F2">
        <w:rPr>
          <w:rFonts w:eastAsia="Times New Roman"/>
          <w:sz w:val="24"/>
        </w:rPr>
        <w:t xml:space="preserve"> </w:t>
      </w:r>
      <w:proofErr w:type="spellStart"/>
      <w:r w:rsidRPr="007928F2">
        <w:rPr>
          <w:rFonts w:eastAsia="Times New Roman"/>
          <w:sz w:val="24"/>
        </w:rPr>
        <w:t>whether</w:t>
      </w:r>
      <w:proofErr w:type="spellEnd"/>
      <w:r w:rsidRPr="007928F2">
        <w:rPr>
          <w:rFonts w:eastAsia="Times New Roman"/>
          <w:sz w:val="24"/>
        </w:rPr>
        <w:t xml:space="preserve"> the </w:t>
      </w:r>
      <w:proofErr w:type="spellStart"/>
      <w:r w:rsidRPr="007928F2">
        <w:rPr>
          <w:rFonts w:eastAsia="Times New Roman"/>
          <w:sz w:val="24"/>
        </w:rPr>
        <w:t>Referral</w:t>
      </w:r>
      <w:proofErr w:type="spellEnd"/>
      <w:r w:rsidRPr="007928F2">
        <w:rPr>
          <w:rFonts w:eastAsia="Times New Roman"/>
          <w:sz w:val="24"/>
        </w:rPr>
        <w:t xml:space="preserve"> has </w:t>
      </w:r>
      <w:proofErr w:type="spellStart"/>
      <w:r w:rsidRPr="007928F2">
        <w:rPr>
          <w:rFonts w:eastAsia="Times New Roman"/>
          <w:sz w:val="24"/>
        </w:rPr>
        <w:t>fulfilled</w:t>
      </w:r>
      <w:proofErr w:type="spellEnd"/>
      <w:r w:rsidRPr="007928F2">
        <w:rPr>
          <w:rFonts w:eastAsia="Times New Roman"/>
          <w:sz w:val="24"/>
        </w:rPr>
        <w:t xml:space="preserve"> the </w:t>
      </w:r>
      <w:proofErr w:type="spellStart"/>
      <w:r w:rsidRPr="007928F2">
        <w:rPr>
          <w:rFonts w:eastAsia="Times New Roman"/>
          <w:sz w:val="24"/>
        </w:rPr>
        <w:t>admissibility</w:t>
      </w:r>
      <w:proofErr w:type="spellEnd"/>
      <w:r w:rsidRPr="007928F2">
        <w:rPr>
          <w:rFonts w:eastAsia="Times New Roman"/>
          <w:sz w:val="24"/>
        </w:rPr>
        <w:t xml:space="preserve"> </w:t>
      </w:r>
      <w:proofErr w:type="spellStart"/>
      <w:r w:rsidRPr="007928F2">
        <w:rPr>
          <w:rFonts w:eastAsia="Times New Roman"/>
          <w:sz w:val="24"/>
        </w:rPr>
        <w:t>requirements</w:t>
      </w:r>
      <w:proofErr w:type="spellEnd"/>
      <w:r w:rsidRPr="007928F2">
        <w:rPr>
          <w:rFonts w:eastAsia="Times New Roman"/>
          <w:sz w:val="24"/>
        </w:rPr>
        <w:t xml:space="preserve"> </w:t>
      </w:r>
      <w:proofErr w:type="spellStart"/>
      <w:r w:rsidRPr="007928F2">
        <w:rPr>
          <w:rFonts w:eastAsia="Times New Roman"/>
          <w:sz w:val="24"/>
        </w:rPr>
        <w:t>established</w:t>
      </w:r>
      <w:proofErr w:type="spellEnd"/>
      <w:r w:rsidRPr="007928F2">
        <w:rPr>
          <w:rFonts w:eastAsia="Times New Roman"/>
          <w:sz w:val="24"/>
        </w:rPr>
        <w:t xml:space="preserve"> by the </w:t>
      </w:r>
      <w:proofErr w:type="spellStart"/>
      <w:r w:rsidRPr="007928F2">
        <w:rPr>
          <w:rFonts w:eastAsia="Times New Roman"/>
          <w:sz w:val="24"/>
        </w:rPr>
        <w:t>Constitution</w:t>
      </w:r>
      <w:proofErr w:type="spellEnd"/>
      <w:r w:rsidRPr="007928F2">
        <w:rPr>
          <w:rFonts w:eastAsia="Times New Roman"/>
          <w:sz w:val="24"/>
        </w:rPr>
        <w:t xml:space="preserve">, </w:t>
      </w:r>
      <w:proofErr w:type="spellStart"/>
      <w:r w:rsidRPr="007928F2">
        <w:rPr>
          <w:rFonts w:eastAsia="Times New Roman"/>
          <w:sz w:val="24"/>
        </w:rPr>
        <w:t>and</w:t>
      </w:r>
      <w:proofErr w:type="spellEnd"/>
      <w:r w:rsidRPr="007928F2">
        <w:rPr>
          <w:rFonts w:eastAsia="Times New Roman"/>
          <w:sz w:val="24"/>
        </w:rPr>
        <w:t xml:space="preserve"> </w:t>
      </w:r>
      <w:proofErr w:type="spellStart"/>
      <w:r w:rsidRPr="007928F2">
        <w:rPr>
          <w:rFonts w:eastAsia="Times New Roman"/>
          <w:sz w:val="24"/>
        </w:rPr>
        <w:t>further</w:t>
      </w:r>
      <w:proofErr w:type="spellEnd"/>
      <w:r w:rsidRPr="007928F2">
        <w:rPr>
          <w:rFonts w:eastAsia="Times New Roman"/>
          <w:sz w:val="24"/>
        </w:rPr>
        <w:t xml:space="preserve"> </w:t>
      </w:r>
      <w:proofErr w:type="spellStart"/>
      <w:r w:rsidRPr="007928F2">
        <w:rPr>
          <w:rFonts w:eastAsia="Times New Roman"/>
          <w:sz w:val="24"/>
        </w:rPr>
        <w:t>specified</w:t>
      </w:r>
      <w:proofErr w:type="spellEnd"/>
      <w:r w:rsidRPr="007928F2">
        <w:rPr>
          <w:rFonts w:eastAsia="Times New Roman"/>
          <w:sz w:val="24"/>
        </w:rPr>
        <w:t xml:space="preserve"> by the </w:t>
      </w:r>
      <w:proofErr w:type="spellStart"/>
      <w:r w:rsidRPr="007928F2">
        <w:rPr>
          <w:rFonts w:eastAsia="Times New Roman"/>
          <w:sz w:val="24"/>
        </w:rPr>
        <w:t>Law</w:t>
      </w:r>
      <w:proofErr w:type="spellEnd"/>
      <w:r w:rsidRPr="007928F2">
        <w:rPr>
          <w:rFonts w:eastAsia="Times New Roman"/>
          <w:sz w:val="24"/>
        </w:rPr>
        <w:t xml:space="preserve"> </w:t>
      </w:r>
      <w:proofErr w:type="spellStart"/>
      <w:r w:rsidRPr="007928F2">
        <w:rPr>
          <w:rFonts w:eastAsia="Times New Roman"/>
          <w:sz w:val="24"/>
        </w:rPr>
        <w:t>and</w:t>
      </w:r>
      <w:proofErr w:type="spellEnd"/>
      <w:r w:rsidRPr="007928F2">
        <w:rPr>
          <w:rFonts w:eastAsia="Times New Roman"/>
          <w:sz w:val="24"/>
        </w:rPr>
        <w:t xml:space="preserve"> </w:t>
      </w:r>
      <w:proofErr w:type="spellStart"/>
      <w:r w:rsidRPr="007928F2">
        <w:rPr>
          <w:rFonts w:eastAsia="Times New Roman"/>
          <w:sz w:val="24"/>
        </w:rPr>
        <w:t>Rules</w:t>
      </w:r>
      <w:proofErr w:type="spellEnd"/>
      <w:r w:rsidRPr="007928F2">
        <w:rPr>
          <w:rFonts w:eastAsia="Times New Roman"/>
          <w:sz w:val="24"/>
        </w:rPr>
        <w:t xml:space="preserve"> </w:t>
      </w:r>
      <w:proofErr w:type="spellStart"/>
      <w:r w:rsidRPr="007928F2">
        <w:rPr>
          <w:rFonts w:eastAsia="Times New Roman"/>
          <w:sz w:val="24"/>
        </w:rPr>
        <w:t>of</w:t>
      </w:r>
      <w:proofErr w:type="spellEnd"/>
      <w:r w:rsidRPr="007928F2">
        <w:rPr>
          <w:rFonts w:eastAsia="Times New Roman"/>
          <w:sz w:val="24"/>
        </w:rPr>
        <w:t xml:space="preserve"> Procedure</w:t>
      </w:r>
      <w:r w:rsidR="00FF271B" w:rsidRPr="007928F2">
        <w:rPr>
          <w:sz w:val="24"/>
          <w:lang w:val="en-GB"/>
        </w:rPr>
        <w:t xml:space="preserve">. </w:t>
      </w:r>
    </w:p>
    <w:p w:rsidR="00D84302" w:rsidRPr="00314A8D" w:rsidRDefault="00D84302" w:rsidP="00A06B9C">
      <w:pPr>
        <w:spacing w:line="240" w:lineRule="auto"/>
        <w:ind w:left="630"/>
        <w:rPr>
          <w:sz w:val="24"/>
          <w:lang w:val="en-GB"/>
        </w:rPr>
      </w:pPr>
    </w:p>
    <w:p w:rsidR="00D84302" w:rsidRPr="007928F2" w:rsidRDefault="007928F2" w:rsidP="00A06B9C">
      <w:pPr>
        <w:numPr>
          <w:ilvl w:val="0"/>
          <w:numId w:val="63"/>
        </w:numPr>
        <w:spacing w:line="240" w:lineRule="auto"/>
        <w:ind w:left="630" w:hanging="630"/>
        <w:rPr>
          <w:sz w:val="24"/>
          <w:lang w:val="en-GB"/>
        </w:rPr>
      </w:pPr>
      <w:r w:rsidRPr="007928F2">
        <w:rPr>
          <w:rFonts w:eastAsia="Times New Roman"/>
          <w:sz w:val="24"/>
        </w:rPr>
        <w:t xml:space="preserve">In </w:t>
      </w:r>
      <w:proofErr w:type="spellStart"/>
      <w:r w:rsidRPr="007928F2">
        <w:rPr>
          <w:rFonts w:eastAsia="Times New Roman"/>
          <w:sz w:val="24"/>
        </w:rPr>
        <w:t>this</w:t>
      </w:r>
      <w:proofErr w:type="spellEnd"/>
      <w:r w:rsidRPr="007928F2">
        <w:rPr>
          <w:rFonts w:eastAsia="Times New Roman"/>
          <w:sz w:val="24"/>
        </w:rPr>
        <w:t xml:space="preserve"> </w:t>
      </w:r>
      <w:proofErr w:type="spellStart"/>
      <w:r w:rsidRPr="007928F2">
        <w:rPr>
          <w:rFonts w:eastAsia="Times New Roman"/>
          <w:sz w:val="24"/>
        </w:rPr>
        <w:t>respect</w:t>
      </w:r>
      <w:proofErr w:type="spellEnd"/>
      <w:r w:rsidRPr="007928F2">
        <w:rPr>
          <w:rFonts w:eastAsia="Times New Roman"/>
          <w:sz w:val="24"/>
        </w:rPr>
        <w:t xml:space="preserve">, the </w:t>
      </w:r>
      <w:proofErr w:type="spellStart"/>
      <w:r w:rsidRPr="007928F2">
        <w:rPr>
          <w:rFonts w:eastAsia="Times New Roman"/>
          <w:sz w:val="24"/>
        </w:rPr>
        <w:t>Court</w:t>
      </w:r>
      <w:proofErr w:type="spellEnd"/>
      <w:r w:rsidRPr="007928F2">
        <w:rPr>
          <w:rFonts w:eastAsia="Times New Roman"/>
          <w:sz w:val="24"/>
        </w:rPr>
        <w:t xml:space="preserve"> </w:t>
      </w:r>
      <w:proofErr w:type="spellStart"/>
      <w:r w:rsidRPr="007928F2">
        <w:rPr>
          <w:rFonts w:eastAsia="Times New Roman"/>
          <w:sz w:val="24"/>
        </w:rPr>
        <w:t>refers</w:t>
      </w:r>
      <w:proofErr w:type="spellEnd"/>
      <w:r w:rsidRPr="007928F2">
        <w:rPr>
          <w:rFonts w:eastAsia="Times New Roman"/>
          <w:sz w:val="24"/>
        </w:rPr>
        <w:t xml:space="preserve"> to </w:t>
      </w:r>
      <w:proofErr w:type="spellStart"/>
      <w:r w:rsidRPr="007928F2">
        <w:rPr>
          <w:rFonts w:eastAsia="Times New Roman"/>
          <w:sz w:val="24"/>
        </w:rPr>
        <w:t>paragraphs</w:t>
      </w:r>
      <w:proofErr w:type="spellEnd"/>
      <w:r w:rsidRPr="007928F2">
        <w:rPr>
          <w:rFonts w:eastAsia="Times New Roman"/>
          <w:sz w:val="24"/>
        </w:rPr>
        <w:t xml:space="preserve"> 1 </w:t>
      </w:r>
      <w:proofErr w:type="spellStart"/>
      <w:r w:rsidRPr="007928F2">
        <w:rPr>
          <w:rFonts w:eastAsia="Times New Roman"/>
          <w:sz w:val="24"/>
        </w:rPr>
        <w:t>and</w:t>
      </w:r>
      <w:proofErr w:type="spellEnd"/>
      <w:r w:rsidRPr="007928F2">
        <w:rPr>
          <w:rFonts w:eastAsia="Times New Roman"/>
          <w:sz w:val="24"/>
        </w:rPr>
        <w:t xml:space="preserve"> 7 </w:t>
      </w:r>
      <w:proofErr w:type="spellStart"/>
      <w:r w:rsidRPr="007928F2">
        <w:rPr>
          <w:rFonts w:eastAsia="Times New Roman"/>
          <w:sz w:val="24"/>
        </w:rPr>
        <w:t>of</w:t>
      </w:r>
      <w:proofErr w:type="spellEnd"/>
      <w:r w:rsidRPr="007928F2">
        <w:rPr>
          <w:rFonts w:eastAsia="Times New Roman"/>
          <w:sz w:val="24"/>
        </w:rPr>
        <w:t xml:space="preserve"> </w:t>
      </w:r>
      <w:proofErr w:type="spellStart"/>
      <w:r w:rsidRPr="007928F2">
        <w:rPr>
          <w:rFonts w:eastAsia="Times New Roman"/>
          <w:sz w:val="24"/>
        </w:rPr>
        <w:t>Article</w:t>
      </w:r>
      <w:proofErr w:type="spellEnd"/>
      <w:r w:rsidRPr="007928F2">
        <w:rPr>
          <w:rFonts w:eastAsia="Times New Roman"/>
          <w:sz w:val="24"/>
        </w:rPr>
        <w:t xml:space="preserve"> 113 [</w:t>
      </w:r>
      <w:proofErr w:type="spellStart"/>
      <w:r w:rsidRPr="007928F2">
        <w:rPr>
          <w:rFonts w:eastAsia="Times New Roman"/>
          <w:bCs/>
          <w:sz w:val="24"/>
        </w:rPr>
        <w:t>Jurisdiction</w:t>
      </w:r>
      <w:proofErr w:type="spellEnd"/>
      <w:r w:rsidRPr="007928F2">
        <w:rPr>
          <w:rFonts w:eastAsia="Times New Roman"/>
          <w:bCs/>
          <w:sz w:val="24"/>
        </w:rPr>
        <w:t xml:space="preserve"> </w:t>
      </w:r>
      <w:proofErr w:type="spellStart"/>
      <w:r w:rsidRPr="007928F2">
        <w:rPr>
          <w:rFonts w:eastAsia="Times New Roman"/>
          <w:bCs/>
          <w:sz w:val="24"/>
        </w:rPr>
        <w:t>and</w:t>
      </w:r>
      <w:proofErr w:type="spellEnd"/>
      <w:r w:rsidRPr="007928F2">
        <w:rPr>
          <w:rFonts w:eastAsia="Times New Roman"/>
          <w:bCs/>
          <w:sz w:val="24"/>
        </w:rPr>
        <w:t xml:space="preserve"> </w:t>
      </w:r>
      <w:proofErr w:type="spellStart"/>
      <w:r w:rsidRPr="007928F2">
        <w:rPr>
          <w:rFonts w:eastAsia="Times New Roman"/>
          <w:bCs/>
          <w:sz w:val="24"/>
        </w:rPr>
        <w:t>Authorized</w:t>
      </w:r>
      <w:proofErr w:type="spellEnd"/>
      <w:r w:rsidRPr="007928F2">
        <w:rPr>
          <w:rFonts w:eastAsia="Times New Roman"/>
          <w:bCs/>
          <w:sz w:val="24"/>
        </w:rPr>
        <w:t xml:space="preserve"> </w:t>
      </w:r>
      <w:proofErr w:type="spellStart"/>
      <w:r w:rsidRPr="007928F2">
        <w:rPr>
          <w:rFonts w:eastAsia="Times New Roman"/>
          <w:bCs/>
          <w:sz w:val="24"/>
        </w:rPr>
        <w:t>Parties</w:t>
      </w:r>
      <w:proofErr w:type="spellEnd"/>
      <w:r w:rsidRPr="007928F2">
        <w:rPr>
          <w:rFonts w:eastAsia="Times New Roman"/>
          <w:sz w:val="24"/>
        </w:rPr>
        <w:t xml:space="preserve">] </w:t>
      </w:r>
      <w:proofErr w:type="spellStart"/>
      <w:r w:rsidRPr="007928F2">
        <w:rPr>
          <w:rFonts w:eastAsia="Times New Roman"/>
          <w:sz w:val="24"/>
        </w:rPr>
        <w:t>of</w:t>
      </w:r>
      <w:proofErr w:type="spellEnd"/>
      <w:r w:rsidRPr="007928F2">
        <w:rPr>
          <w:rFonts w:eastAsia="Times New Roman"/>
          <w:sz w:val="24"/>
        </w:rPr>
        <w:t xml:space="preserve"> the </w:t>
      </w:r>
      <w:proofErr w:type="spellStart"/>
      <w:r w:rsidRPr="007928F2">
        <w:rPr>
          <w:rFonts w:eastAsia="Times New Roman"/>
          <w:sz w:val="24"/>
        </w:rPr>
        <w:t>Constitution</w:t>
      </w:r>
      <w:proofErr w:type="spellEnd"/>
      <w:r w:rsidRPr="007928F2">
        <w:rPr>
          <w:rFonts w:eastAsia="Times New Roman"/>
          <w:sz w:val="24"/>
        </w:rPr>
        <w:t xml:space="preserve"> </w:t>
      </w:r>
      <w:proofErr w:type="spellStart"/>
      <w:r w:rsidRPr="007928F2">
        <w:rPr>
          <w:rFonts w:eastAsia="Times New Roman"/>
          <w:sz w:val="24"/>
        </w:rPr>
        <w:t>which</w:t>
      </w:r>
      <w:proofErr w:type="spellEnd"/>
      <w:r w:rsidRPr="007928F2">
        <w:rPr>
          <w:rFonts w:eastAsia="Times New Roman"/>
          <w:sz w:val="24"/>
        </w:rPr>
        <w:t xml:space="preserve"> </w:t>
      </w:r>
      <w:proofErr w:type="spellStart"/>
      <w:r w:rsidRPr="007928F2">
        <w:rPr>
          <w:rFonts w:eastAsia="Times New Roman"/>
          <w:sz w:val="24"/>
        </w:rPr>
        <w:t>establish</w:t>
      </w:r>
      <w:proofErr w:type="spellEnd"/>
      <w:r w:rsidR="00FF271B" w:rsidRPr="007928F2">
        <w:rPr>
          <w:sz w:val="24"/>
          <w:lang w:val="en-GB"/>
        </w:rPr>
        <w:t xml:space="preserve">: </w:t>
      </w:r>
    </w:p>
    <w:p w:rsidR="00D84302" w:rsidRPr="00314A8D" w:rsidRDefault="00D84302" w:rsidP="00A06B9C">
      <w:pPr>
        <w:pStyle w:val="ListParagraph"/>
        <w:spacing w:line="240" w:lineRule="auto"/>
        <w:rPr>
          <w:i/>
          <w:iCs/>
          <w:sz w:val="24"/>
          <w:lang w:val="en-GB"/>
        </w:rPr>
      </w:pPr>
    </w:p>
    <w:p w:rsidR="00D84302" w:rsidRPr="007928F2" w:rsidRDefault="00FF271B" w:rsidP="00A06B9C">
      <w:pPr>
        <w:spacing w:line="240" w:lineRule="auto"/>
        <w:ind w:left="990"/>
        <w:rPr>
          <w:i/>
          <w:iCs/>
          <w:sz w:val="24"/>
          <w:lang w:val="en-GB"/>
        </w:rPr>
      </w:pPr>
      <w:r w:rsidRPr="00314A8D">
        <w:rPr>
          <w:i/>
          <w:iCs/>
          <w:sz w:val="24"/>
          <w:lang w:val="en-GB"/>
        </w:rPr>
        <w:t xml:space="preserve">“1. </w:t>
      </w:r>
      <w:r w:rsidR="007928F2" w:rsidRPr="007928F2">
        <w:rPr>
          <w:rFonts w:eastAsia="Times New Roman"/>
          <w:i/>
          <w:sz w:val="24"/>
        </w:rPr>
        <w:t xml:space="preserve">The </w:t>
      </w:r>
      <w:proofErr w:type="spellStart"/>
      <w:r w:rsidR="007928F2" w:rsidRPr="007928F2">
        <w:rPr>
          <w:rFonts w:eastAsia="Times New Roman"/>
          <w:i/>
          <w:sz w:val="24"/>
        </w:rPr>
        <w:t>Constitutional</w:t>
      </w:r>
      <w:proofErr w:type="spellEnd"/>
      <w:r w:rsidR="007928F2" w:rsidRPr="007928F2">
        <w:rPr>
          <w:rFonts w:eastAsia="Times New Roman"/>
          <w:i/>
          <w:sz w:val="24"/>
        </w:rPr>
        <w:t xml:space="preserve"> </w:t>
      </w:r>
      <w:proofErr w:type="spellStart"/>
      <w:r w:rsidR="007928F2" w:rsidRPr="007928F2">
        <w:rPr>
          <w:rFonts w:eastAsia="Times New Roman"/>
          <w:i/>
          <w:sz w:val="24"/>
        </w:rPr>
        <w:t>Court</w:t>
      </w:r>
      <w:proofErr w:type="spellEnd"/>
      <w:r w:rsidR="007928F2" w:rsidRPr="007928F2">
        <w:rPr>
          <w:rFonts w:eastAsia="Times New Roman"/>
          <w:i/>
          <w:sz w:val="24"/>
        </w:rPr>
        <w:t xml:space="preserve"> </w:t>
      </w:r>
      <w:proofErr w:type="spellStart"/>
      <w:r w:rsidR="007928F2" w:rsidRPr="007928F2">
        <w:rPr>
          <w:rFonts w:eastAsia="Times New Roman"/>
          <w:i/>
          <w:sz w:val="24"/>
        </w:rPr>
        <w:t>decides</w:t>
      </w:r>
      <w:proofErr w:type="spellEnd"/>
      <w:r w:rsidR="007928F2" w:rsidRPr="007928F2">
        <w:rPr>
          <w:rFonts w:eastAsia="Times New Roman"/>
          <w:i/>
          <w:sz w:val="24"/>
        </w:rPr>
        <w:t xml:space="preserve"> </w:t>
      </w:r>
      <w:proofErr w:type="spellStart"/>
      <w:r w:rsidR="007928F2" w:rsidRPr="007928F2">
        <w:rPr>
          <w:rFonts w:eastAsia="Times New Roman"/>
          <w:i/>
          <w:sz w:val="24"/>
        </w:rPr>
        <w:t>only</w:t>
      </w:r>
      <w:proofErr w:type="spellEnd"/>
      <w:r w:rsidR="007928F2" w:rsidRPr="007928F2">
        <w:rPr>
          <w:rFonts w:eastAsia="Times New Roman"/>
          <w:i/>
          <w:sz w:val="24"/>
        </w:rPr>
        <w:t xml:space="preserve"> </w:t>
      </w:r>
      <w:proofErr w:type="spellStart"/>
      <w:r w:rsidR="007928F2" w:rsidRPr="007928F2">
        <w:rPr>
          <w:rFonts w:eastAsia="Times New Roman"/>
          <w:i/>
          <w:sz w:val="24"/>
        </w:rPr>
        <w:t>on</w:t>
      </w:r>
      <w:proofErr w:type="spellEnd"/>
      <w:r w:rsidR="007928F2" w:rsidRPr="007928F2">
        <w:rPr>
          <w:rFonts w:eastAsia="Times New Roman"/>
          <w:i/>
          <w:sz w:val="24"/>
        </w:rPr>
        <w:t xml:space="preserve"> </w:t>
      </w:r>
      <w:proofErr w:type="spellStart"/>
      <w:r w:rsidR="007928F2" w:rsidRPr="007928F2">
        <w:rPr>
          <w:rFonts w:eastAsia="Times New Roman"/>
          <w:i/>
          <w:sz w:val="24"/>
        </w:rPr>
        <w:t>matters</w:t>
      </w:r>
      <w:proofErr w:type="spellEnd"/>
      <w:r w:rsidR="007928F2" w:rsidRPr="007928F2">
        <w:rPr>
          <w:rFonts w:eastAsia="Times New Roman"/>
          <w:i/>
          <w:sz w:val="24"/>
        </w:rPr>
        <w:t xml:space="preserve"> </w:t>
      </w:r>
      <w:proofErr w:type="spellStart"/>
      <w:r w:rsidR="007928F2" w:rsidRPr="007928F2">
        <w:rPr>
          <w:rFonts w:eastAsia="Times New Roman"/>
          <w:i/>
          <w:sz w:val="24"/>
        </w:rPr>
        <w:t>referred</w:t>
      </w:r>
      <w:proofErr w:type="spellEnd"/>
      <w:r w:rsidR="007928F2" w:rsidRPr="007928F2">
        <w:rPr>
          <w:rFonts w:eastAsia="Times New Roman"/>
          <w:i/>
          <w:sz w:val="24"/>
        </w:rPr>
        <w:t xml:space="preserve"> to the </w:t>
      </w:r>
      <w:proofErr w:type="spellStart"/>
      <w:r w:rsidR="007928F2" w:rsidRPr="007928F2">
        <w:rPr>
          <w:rFonts w:eastAsia="Times New Roman"/>
          <w:i/>
          <w:sz w:val="24"/>
        </w:rPr>
        <w:t>court</w:t>
      </w:r>
      <w:proofErr w:type="spellEnd"/>
      <w:r w:rsidR="007928F2" w:rsidRPr="007928F2">
        <w:rPr>
          <w:rFonts w:eastAsia="Times New Roman"/>
          <w:i/>
          <w:sz w:val="24"/>
        </w:rPr>
        <w:t xml:space="preserve"> in a legal </w:t>
      </w:r>
      <w:proofErr w:type="spellStart"/>
      <w:r w:rsidR="007928F2" w:rsidRPr="007928F2">
        <w:rPr>
          <w:rFonts w:eastAsia="Times New Roman"/>
          <w:i/>
          <w:sz w:val="24"/>
        </w:rPr>
        <w:t>manner</w:t>
      </w:r>
      <w:proofErr w:type="spellEnd"/>
      <w:r w:rsidR="007928F2" w:rsidRPr="007928F2">
        <w:rPr>
          <w:rFonts w:eastAsia="Times New Roman"/>
          <w:i/>
          <w:sz w:val="24"/>
        </w:rPr>
        <w:t xml:space="preserve"> by </w:t>
      </w:r>
      <w:proofErr w:type="spellStart"/>
      <w:r w:rsidR="007928F2" w:rsidRPr="007928F2">
        <w:rPr>
          <w:rFonts w:eastAsia="Times New Roman"/>
          <w:i/>
          <w:sz w:val="24"/>
        </w:rPr>
        <w:t>authorized</w:t>
      </w:r>
      <w:proofErr w:type="spellEnd"/>
      <w:r w:rsidR="007928F2" w:rsidRPr="007928F2">
        <w:rPr>
          <w:rFonts w:eastAsia="Times New Roman"/>
          <w:i/>
          <w:sz w:val="24"/>
        </w:rPr>
        <w:t xml:space="preserve"> </w:t>
      </w:r>
      <w:proofErr w:type="spellStart"/>
      <w:r w:rsidR="007928F2" w:rsidRPr="007928F2">
        <w:rPr>
          <w:rFonts w:eastAsia="Times New Roman"/>
          <w:i/>
          <w:sz w:val="24"/>
        </w:rPr>
        <w:t>parties</w:t>
      </w:r>
      <w:proofErr w:type="spellEnd"/>
      <w:r w:rsidRPr="007928F2">
        <w:rPr>
          <w:i/>
          <w:sz w:val="24"/>
          <w:lang w:val="en-GB"/>
        </w:rPr>
        <w:t>.</w:t>
      </w:r>
    </w:p>
    <w:p w:rsidR="00D84302" w:rsidRPr="007928F2" w:rsidRDefault="00FF271B" w:rsidP="00A06B9C">
      <w:pPr>
        <w:spacing w:line="240" w:lineRule="auto"/>
        <w:ind w:left="990"/>
        <w:rPr>
          <w:i/>
          <w:iCs/>
          <w:sz w:val="24"/>
          <w:lang w:val="en-GB"/>
        </w:rPr>
      </w:pPr>
      <w:r w:rsidRPr="007928F2">
        <w:rPr>
          <w:i/>
          <w:iCs/>
          <w:sz w:val="24"/>
          <w:lang w:val="en-GB"/>
        </w:rPr>
        <w:t xml:space="preserve">[…] </w:t>
      </w:r>
    </w:p>
    <w:p w:rsidR="00D84302" w:rsidRPr="007928F2" w:rsidRDefault="00FF271B" w:rsidP="00A06B9C">
      <w:pPr>
        <w:spacing w:line="240" w:lineRule="auto"/>
        <w:ind w:left="990"/>
        <w:rPr>
          <w:i/>
          <w:iCs/>
          <w:sz w:val="24"/>
          <w:lang w:val="en-GB"/>
        </w:rPr>
      </w:pPr>
      <w:r w:rsidRPr="007928F2">
        <w:rPr>
          <w:i/>
          <w:iCs/>
          <w:sz w:val="24"/>
          <w:lang w:val="en-GB"/>
        </w:rPr>
        <w:t xml:space="preserve">7. </w:t>
      </w:r>
      <w:proofErr w:type="spellStart"/>
      <w:r w:rsidR="007928F2" w:rsidRPr="007928F2">
        <w:rPr>
          <w:rFonts w:eastAsia="Times New Roman"/>
          <w:i/>
          <w:sz w:val="24"/>
        </w:rPr>
        <w:t>Individuals</w:t>
      </w:r>
      <w:proofErr w:type="spellEnd"/>
      <w:r w:rsidR="007928F2" w:rsidRPr="007928F2">
        <w:rPr>
          <w:rFonts w:eastAsia="Times New Roman"/>
          <w:i/>
          <w:sz w:val="24"/>
        </w:rPr>
        <w:t xml:space="preserve"> are </w:t>
      </w:r>
      <w:proofErr w:type="spellStart"/>
      <w:r w:rsidR="007928F2" w:rsidRPr="007928F2">
        <w:rPr>
          <w:rFonts w:eastAsia="Times New Roman"/>
          <w:i/>
          <w:sz w:val="24"/>
        </w:rPr>
        <w:t>authorized</w:t>
      </w:r>
      <w:proofErr w:type="spellEnd"/>
      <w:r w:rsidR="007928F2" w:rsidRPr="007928F2">
        <w:rPr>
          <w:rFonts w:eastAsia="Times New Roman"/>
          <w:i/>
          <w:sz w:val="24"/>
        </w:rPr>
        <w:t xml:space="preserve"> to </w:t>
      </w:r>
      <w:proofErr w:type="spellStart"/>
      <w:r w:rsidR="007928F2" w:rsidRPr="007928F2">
        <w:rPr>
          <w:rFonts w:eastAsia="Times New Roman"/>
          <w:i/>
          <w:sz w:val="24"/>
        </w:rPr>
        <w:t>refer</w:t>
      </w:r>
      <w:proofErr w:type="spellEnd"/>
      <w:r w:rsidR="007928F2" w:rsidRPr="007928F2">
        <w:rPr>
          <w:rFonts w:eastAsia="Times New Roman"/>
          <w:i/>
          <w:sz w:val="24"/>
        </w:rPr>
        <w:t xml:space="preserve"> </w:t>
      </w:r>
      <w:proofErr w:type="spellStart"/>
      <w:r w:rsidR="007928F2" w:rsidRPr="007928F2">
        <w:rPr>
          <w:rFonts w:eastAsia="Times New Roman"/>
          <w:i/>
          <w:sz w:val="24"/>
        </w:rPr>
        <w:t>violations</w:t>
      </w:r>
      <w:proofErr w:type="spellEnd"/>
      <w:r w:rsidR="007928F2" w:rsidRPr="007928F2">
        <w:rPr>
          <w:rFonts w:eastAsia="Times New Roman"/>
          <w:i/>
          <w:sz w:val="24"/>
        </w:rPr>
        <w:t xml:space="preserve"> by </w:t>
      </w:r>
      <w:proofErr w:type="spellStart"/>
      <w:r w:rsidR="007928F2" w:rsidRPr="007928F2">
        <w:rPr>
          <w:rFonts w:eastAsia="Times New Roman"/>
          <w:i/>
          <w:sz w:val="24"/>
        </w:rPr>
        <w:t>public</w:t>
      </w:r>
      <w:proofErr w:type="spellEnd"/>
      <w:r w:rsidR="007928F2" w:rsidRPr="007928F2">
        <w:rPr>
          <w:rFonts w:eastAsia="Times New Roman"/>
          <w:i/>
          <w:sz w:val="24"/>
        </w:rPr>
        <w:t xml:space="preserve"> </w:t>
      </w:r>
      <w:proofErr w:type="spellStart"/>
      <w:r w:rsidR="007928F2" w:rsidRPr="007928F2">
        <w:rPr>
          <w:rFonts w:eastAsia="Times New Roman"/>
          <w:i/>
          <w:sz w:val="24"/>
        </w:rPr>
        <w:t>authorities</w:t>
      </w:r>
      <w:proofErr w:type="spellEnd"/>
      <w:r w:rsidR="007928F2" w:rsidRPr="007928F2">
        <w:rPr>
          <w:rFonts w:eastAsia="Times New Roman"/>
          <w:i/>
          <w:sz w:val="24"/>
        </w:rPr>
        <w:t xml:space="preserve"> </w:t>
      </w:r>
      <w:proofErr w:type="spellStart"/>
      <w:r w:rsidR="007928F2" w:rsidRPr="007928F2">
        <w:rPr>
          <w:rFonts w:eastAsia="Times New Roman"/>
          <w:i/>
          <w:sz w:val="24"/>
        </w:rPr>
        <w:t>of</w:t>
      </w:r>
      <w:proofErr w:type="spellEnd"/>
      <w:r w:rsidR="007928F2" w:rsidRPr="007928F2">
        <w:rPr>
          <w:rFonts w:eastAsia="Times New Roman"/>
          <w:i/>
          <w:sz w:val="24"/>
        </w:rPr>
        <w:t xml:space="preserve"> </w:t>
      </w:r>
      <w:proofErr w:type="spellStart"/>
      <w:r w:rsidR="007928F2" w:rsidRPr="007928F2">
        <w:rPr>
          <w:rFonts w:eastAsia="Times New Roman"/>
          <w:i/>
          <w:sz w:val="24"/>
        </w:rPr>
        <w:t>their</w:t>
      </w:r>
      <w:proofErr w:type="spellEnd"/>
      <w:r w:rsidR="007928F2" w:rsidRPr="007928F2">
        <w:rPr>
          <w:rFonts w:eastAsia="Times New Roman"/>
          <w:i/>
          <w:sz w:val="24"/>
        </w:rPr>
        <w:t xml:space="preserve"> individual </w:t>
      </w:r>
      <w:proofErr w:type="spellStart"/>
      <w:r w:rsidR="007928F2" w:rsidRPr="007928F2">
        <w:rPr>
          <w:rFonts w:eastAsia="Times New Roman"/>
          <w:i/>
          <w:sz w:val="24"/>
        </w:rPr>
        <w:t>rights</w:t>
      </w:r>
      <w:proofErr w:type="spellEnd"/>
      <w:r w:rsidR="007928F2" w:rsidRPr="007928F2">
        <w:rPr>
          <w:rFonts w:eastAsia="Times New Roman"/>
          <w:i/>
          <w:sz w:val="24"/>
        </w:rPr>
        <w:t xml:space="preserve"> </w:t>
      </w:r>
      <w:proofErr w:type="spellStart"/>
      <w:r w:rsidR="007928F2" w:rsidRPr="007928F2">
        <w:rPr>
          <w:rFonts w:eastAsia="Times New Roman"/>
          <w:i/>
          <w:sz w:val="24"/>
        </w:rPr>
        <w:t>and</w:t>
      </w:r>
      <w:proofErr w:type="spellEnd"/>
      <w:r w:rsidR="007928F2" w:rsidRPr="007928F2">
        <w:rPr>
          <w:rFonts w:eastAsia="Times New Roman"/>
          <w:i/>
          <w:sz w:val="24"/>
        </w:rPr>
        <w:t xml:space="preserve"> </w:t>
      </w:r>
      <w:proofErr w:type="spellStart"/>
      <w:r w:rsidR="007928F2" w:rsidRPr="007928F2">
        <w:rPr>
          <w:rFonts w:eastAsia="Times New Roman"/>
          <w:i/>
          <w:sz w:val="24"/>
        </w:rPr>
        <w:t>freedoms</w:t>
      </w:r>
      <w:proofErr w:type="spellEnd"/>
      <w:r w:rsidR="007928F2" w:rsidRPr="007928F2">
        <w:rPr>
          <w:rFonts w:eastAsia="Times New Roman"/>
          <w:i/>
          <w:sz w:val="24"/>
        </w:rPr>
        <w:t xml:space="preserve"> </w:t>
      </w:r>
      <w:proofErr w:type="spellStart"/>
      <w:r w:rsidR="007928F2" w:rsidRPr="007928F2">
        <w:rPr>
          <w:rFonts w:eastAsia="Times New Roman"/>
          <w:i/>
          <w:sz w:val="24"/>
        </w:rPr>
        <w:t>guaranteed</w:t>
      </w:r>
      <w:proofErr w:type="spellEnd"/>
      <w:r w:rsidR="007928F2" w:rsidRPr="007928F2">
        <w:rPr>
          <w:rFonts w:eastAsia="Times New Roman"/>
          <w:i/>
          <w:sz w:val="24"/>
        </w:rPr>
        <w:t xml:space="preserve"> by the </w:t>
      </w:r>
      <w:proofErr w:type="spellStart"/>
      <w:r w:rsidR="007928F2" w:rsidRPr="007928F2">
        <w:rPr>
          <w:rFonts w:eastAsia="Times New Roman"/>
          <w:i/>
          <w:sz w:val="24"/>
        </w:rPr>
        <w:t>Constitution</w:t>
      </w:r>
      <w:proofErr w:type="spellEnd"/>
      <w:r w:rsidR="007928F2" w:rsidRPr="007928F2">
        <w:rPr>
          <w:rFonts w:eastAsia="Times New Roman"/>
          <w:i/>
          <w:sz w:val="24"/>
        </w:rPr>
        <w:t xml:space="preserve">, but </w:t>
      </w:r>
      <w:proofErr w:type="spellStart"/>
      <w:r w:rsidR="007928F2" w:rsidRPr="007928F2">
        <w:rPr>
          <w:rFonts w:eastAsia="Times New Roman"/>
          <w:i/>
          <w:sz w:val="24"/>
        </w:rPr>
        <w:t>only</w:t>
      </w:r>
      <w:proofErr w:type="spellEnd"/>
      <w:r w:rsidR="007928F2" w:rsidRPr="007928F2">
        <w:rPr>
          <w:rFonts w:eastAsia="Times New Roman"/>
          <w:i/>
          <w:sz w:val="24"/>
        </w:rPr>
        <w:t xml:space="preserve"> </w:t>
      </w:r>
      <w:proofErr w:type="spellStart"/>
      <w:r w:rsidR="007928F2" w:rsidRPr="007928F2">
        <w:rPr>
          <w:rFonts w:eastAsia="Times New Roman"/>
          <w:i/>
          <w:sz w:val="24"/>
        </w:rPr>
        <w:t>after</w:t>
      </w:r>
      <w:proofErr w:type="spellEnd"/>
      <w:r w:rsidR="007928F2" w:rsidRPr="007928F2">
        <w:rPr>
          <w:rFonts w:eastAsia="Times New Roman"/>
          <w:i/>
          <w:sz w:val="24"/>
        </w:rPr>
        <w:t xml:space="preserve"> </w:t>
      </w:r>
      <w:proofErr w:type="spellStart"/>
      <w:r w:rsidR="007928F2" w:rsidRPr="007928F2">
        <w:rPr>
          <w:rFonts w:eastAsia="Times New Roman"/>
          <w:i/>
          <w:sz w:val="24"/>
        </w:rPr>
        <w:t>exhaustion</w:t>
      </w:r>
      <w:proofErr w:type="spellEnd"/>
      <w:r w:rsidR="007928F2" w:rsidRPr="007928F2">
        <w:rPr>
          <w:rFonts w:eastAsia="Times New Roman"/>
          <w:i/>
          <w:sz w:val="24"/>
        </w:rPr>
        <w:t xml:space="preserve"> </w:t>
      </w:r>
      <w:proofErr w:type="spellStart"/>
      <w:r w:rsidR="007928F2" w:rsidRPr="007928F2">
        <w:rPr>
          <w:rFonts w:eastAsia="Times New Roman"/>
          <w:i/>
          <w:sz w:val="24"/>
        </w:rPr>
        <w:t>of</w:t>
      </w:r>
      <w:proofErr w:type="spellEnd"/>
      <w:r w:rsidR="007928F2" w:rsidRPr="007928F2">
        <w:rPr>
          <w:rFonts w:eastAsia="Times New Roman"/>
          <w:i/>
          <w:sz w:val="24"/>
        </w:rPr>
        <w:t xml:space="preserve"> all legal </w:t>
      </w:r>
      <w:proofErr w:type="spellStart"/>
      <w:r w:rsidR="007928F2" w:rsidRPr="007928F2">
        <w:rPr>
          <w:rFonts w:eastAsia="Times New Roman"/>
          <w:i/>
          <w:sz w:val="24"/>
        </w:rPr>
        <w:t>remedies</w:t>
      </w:r>
      <w:proofErr w:type="spellEnd"/>
      <w:r w:rsidR="007928F2" w:rsidRPr="007928F2">
        <w:rPr>
          <w:rFonts w:eastAsia="Times New Roman"/>
          <w:i/>
          <w:sz w:val="24"/>
        </w:rPr>
        <w:t xml:space="preserve"> </w:t>
      </w:r>
      <w:proofErr w:type="spellStart"/>
      <w:r w:rsidR="007928F2" w:rsidRPr="007928F2">
        <w:rPr>
          <w:rFonts w:eastAsia="Times New Roman"/>
          <w:i/>
          <w:sz w:val="24"/>
        </w:rPr>
        <w:t>provided</w:t>
      </w:r>
      <w:proofErr w:type="spellEnd"/>
      <w:r w:rsidR="007928F2" w:rsidRPr="007928F2">
        <w:rPr>
          <w:rFonts w:eastAsia="Times New Roman"/>
          <w:i/>
          <w:sz w:val="24"/>
        </w:rPr>
        <w:t xml:space="preserve"> by </w:t>
      </w:r>
      <w:proofErr w:type="spellStart"/>
      <w:r w:rsidR="007928F2" w:rsidRPr="007928F2">
        <w:rPr>
          <w:rFonts w:eastAsia="Times New Roman"/>
          <w:i/>
          <w:sz w:val="24"/>
        </w:rPr>
        <w:t>law</w:t>
      </w:r>
      <w:proofErr w:type="spellEnd"/>
      <w:r w:rsidRPr="007928F2">
        <w:rPr>
          <w:i/>
          <w:iCs/>
          <w:sz w:val="24"/>
          <w:lang w:val="en-GB"/>
        </w:rPr>
        <w:t>.”</w:t>
      </w:r>
    </w:p>
    <w:p w:rsidR="00D84302" w:rsidRPr="00314A8D" w:rsidRDefault="00D84302" w:rsidP="00A06B9C">
      <w:pPr>
        <w:spacing w:line="240" w:lineRule="auto"/>
        <w:ind w:left="990"/>
        <w:rPr>
          <w:sz w:val="24"/>
          <w:lang w:val="en-GB"/>
        </w:rPr>
      </w:pPr>
    </w:p>
    <w:p w:rsidR="00D84302" w:rsidRPr="007928F2" w:rsidRDefault="007928F2" w:rsidP="00A06B9C">
      <w:pPr>
        <w:pStyle w:val="ListParagraph"/>
        <w:numPr>
          <w:ilvl w:val="0"/>
          <w:numId w:val="63"/>
        </w:numPr>
        <w:spacing w:line="240" w:lineRule="auto"/>
        <w:ind w:left="630" w:hanging="630"/>
        <w:rPr>
          <w:i/>
          <w:iCs/>
          <w:sz w:val="24"/>
          <w:lang w:val="en-GB"/>
        </w:rPr>
      </w:pPr>
      <w:r w:rsidRPr="007928F2">
        <w:rPr>
          <w:sz w:val="24"/>
          <w:lang w:val="en-GB"/>
        </w:rPr>
        <w:t>The Court also refers to paragraph 4 of Article 21 [General Principles] of the Constitution, w</w:t>
      </w:r>
      <w:r>
        <w:rPr>
          <w:sz w:val="24"/>
          <w:lang w:val="en-GB"/>
        </w:rPr>
        <w:t xml:space="preserve">hich states: </w:t>
      </w:r>
      <w:r w:rsidRPr="007928F2">
        <w:rPr>
          <w:i/>
          <w:sz w:val="24"/>
          <w:lang w:val="en-GB"/>
        </w:rPr>
        <w:t>“Fundamental rights and freedoms set forth in the Constitution are also valid for legal persons, to the extent applicable.</w:t>
      </w:r>
      <w:r w:rsidR="00FF271B" w:rsidRPr="007928F2">
        <w:rPr>
          <w:i/>
          <w:iCs/>
          <w:sz w:val="24"/>
          <w:lang w:val="en-GB"/>
        </w:rPr>
        <w:t>”</w:t>
      </w:r>
    </w:p>
    <w:p w:rsidR="00D84302" w:rsidRPr="007928F2" w:rsidRDefault="00D84302" w:rsidP="00A06B9C">
      <w:pPr>
        <w:pStyle w:val="ListParagraph"/>
        <w:spacing w:line="240" w:lineRule="auto"/>
        <w:rPr>
          <w:i/>
          <w:sz w:val="24"/>
          <w:lang w:val="en-GB"/>
        </w:rPr>
      </w:pPr>
    </w:p>
    <w:p w:rsidR="00D84302" w:rsidRPr="00314A8D" w:rsidRDefault="00C25B8C" w:rsidP="00A06B9C">
      <w:pPr>
        <w:pStyle w:val="ListParagraph"/>
        <w:numPr>
          <w:ilvl w:val="0"/>
          <w:numId w:val="63"/>
        </w:numPr>
        <w:spacing w:line="240" w:lineRule="auto"/>
        <w:ind w:left="630" w:hanging="630"/>
        <w:rPr>
          <w:sz w:val="24"/>
          <w:lang w:val="en-GB"/>
        </w:rPr>
      </w:pPr>
      <w:r w:rsidRPr="00C25B8C">
        <w:rPr>
          <w:sz w:val="24"/>
          <w:lang w:val="en-GB"/>
        </w:rPr>
        <w:t xml:space="preserve">The Court further examines whether the Applicant has met the </w:t>
      </w:r>
      <w:r>
        <w:rPr>
          <w:sz w:val="24"/>
          <w:lang w:val="en-GB"/>
        </w:rPr>
        <w:t>admissibility requirements</w:t>
      </w:r>
      <w:r w:rsidRPr="00C25B8C">
        <w:rPr>
          <w:sz w:val="24"/>
          <w:lang w:val="en-GB"/>
        </w:rPr>
        <w:t xml:space="preserve"> as set out in the Law. In this re</w:t>
      </w:r>
      <w:r>
        <w:rPr>
          <w:sz w:val="24"/>
          <w:lang w:val="en-GB"/>
        </w:rPr>
        <w:t>spect</w:t>
      </w:r>
      <w:r w:rsidRPr="00C25B8C">
        <w:rPr>
          <w:sz w:val="24"/>
          <w:lang w:val="en-GB"/>
        </w:rPr>
        <w:t>, the Court refers to Articles 47 [Individual Reque</w:t>
      </w:r>
      <w:r>
        <w:rPr>
          <w:sz w:val="24"/>
          <w:lang w:val="en-GB"/>
        </w:rPr>
        <w:t>s</w:t>
      </w:r>
      <w:r w:rsidRPr="00C25B8C">
        <w:rPr>
          <w:sz w:val="24"/>
          <w:lang w:val="en-GB"/>
        </w:rPr>
        <w:t>ts], 48 [</w:t>
      </w:r>
      <w:r>
        <w:rPr>
          <w:sz w:val="24"/>
          <w:lang w:val="en-GB"/>
        </w:rPr>
        <w:t>Accuracy of the Referral</w:t>
      </w:r>
      <w:r w:rsidRPr="00C25B8C">
        <w:rPr>
          <w:sz w:val="24"/>
          <w:lang w:val="en-GB"/>
        </w:rPr>
        <w:t xml:space="preserve">] and 49 [Deadlines] of the Law, which </w:t>
      </w:r>
      <w:r>
        <w:rPr>
          <w:sz w:val="24"/>
          <w:lang w:val="en-GB"/>
        </w:rPr>
        <w:t>provide</w:t>
      </w:r>
      <w:r w:rsidR="00FF271B" w:rsidRPr="00314A8D">
        <w:rPr>
          <w:sz w:val="24"/>
          <w:lang w:val="en-GB"/>
        </w:rPr>
        <w:t xml:space="preserve">: </w:t>
      </w:r>
    </w:p>
    <w:p w:rsidR="00D84302" w:rsidRPr="00314A8D" w:rsidRDefault="00D84302" w:rsidP="00A06B9C">
      <w:pPr>
        <w:spacing w:line="240" w:lineRule="auto"/>
        <w:ind w:left="630"/>
        <w:rPr>
          <w:sz w:val="24"/>
          <w:lang w:val="en-GB"/>
        </w:rPr>
      </w:pPr>
    </w:p>
    <w:p w:rsidR="00D84302" w:rsidRPr="00314A8D" w:rsidRDefault="00C25B8C" w:rsidP="00A06B9C">
      <w:pPr>
        <w:spacing w:line="240" w:lineRule="auto"/>
        <w:ind w:left="990"/>
        <w:jc w:val="center"/>
        <w:rPr>
          <w:sz w:val="24"/>
          <w:lang w:val="en-GB"/>
        </w:rPr>
      </w:pPr>
      <w:r>
        <w:rPr>
          <w:sz w:val="24"/>
          <w:lang w:val="en-GB"/>
        </w:rPr>
        <w:t xml:space="preserve">Article </w:t>
      </w:r>
      <w:r w:rsidR="00FF271B" w:rsidRPr="00314A8D">
        <w:rPr>
          <w:sz w:val="24"/>
          <w:lang w:val="en-GB"/>
        </w:rPr>
        <w:t>47</w:t>
      </w:r>
    </w:p>
    <w:p w:rsidR="00D84302" w:rsidRPr="00314A8D" w:rsidRDefault="00C25B8C" w:rsidP="00A06B9C">
      <w:pPr>
        <w:spacing w:line="240" w:lineRule="auto"/>
        <w:ind w:left="990"/>
        <w:jc w:val="center"/>
        <w:rPr>
          <w:sz w:val="24"/>
          <w:lang w:val="en-GB"/>
        </w:rPr>
      </w:pPr>
      <w:r>
        <w:rPr>
          <w:sz w:val="24"/>
          <w:lang w:val="en-GB"/>
        </w:rPr>
        <w:t>[Individual Requests</w:t>
      </w:r>
      <w:r w:rsidR="00FF271B" w:rsidRPr="00314A8D">
        <w:rPr>
          <w:sz w:val="24"/>
          <w:lang w:val="en-GB"/>
        </w:rPr>
        <w:t>]</w:t>
      </w:r>
    </w:p>
    <w:p w:rsidR="00D84302" w:rsidRPr="00314A8D" w:rsidRDefault="00D84302" w:rsidP="00A06B9C">
      <w:pPr>
        <w:spacing w:line="240" w:lineRule="auto"/>
        <w:ind w:left="990"/>
        <w:jc w:val="center"/>
        <w:rPr>
          <w:sz w:val="24"/>
          <w:lang w:val="en-GB"/>
        </w:rPr>
      </w:pPr>
    </w:p>
    <w:p w:rsidR="00C25B8C" w:rsidRPr="00C25B8C" w:rsidRDefault="00FF271B" w:rsidP="00A06B9C">
      <w:pPr>
        <w:spacing w:line="240" w:lineRule="auto"/>
        <w:ind w:left="990"/>
        <w:rPr>
          <w:rFonts w:eastAsia="Times New Roman"/>
          <w:i/>
          <w:iCs/>
          <w:sz w:val="24"/>
          <w:lang w:val="en-GB"/>
        </w:rPr>
      </w:pPr>
      <w:r w:rsidRPr="00C25B8C">
        <w:rPr>
          <w:rFonts w:cs="TimesNewRomanPSMT"/>
          <w:i/>
          <w:sz w:val="24"/>
          <w:lang w:val="en-GB" w:eastAsia="sq-AL"/>
        </w:rPr>
        <w:lastRenderedPageBreak/>
        <w:t>“</w:t>
      </w:r>
      <w:r w:rsidR="00C25B8C" w:rsidRPr="00C25B8C">
        <w:rPr>
          <w:rFonts w:eastAsia="Times New Roman"/>
          <w:i/>
          <w:iCs/>
          <w:sz w:val="24"/>
          <w:lang w:val="en-GB"/>
        </w:rPr>
        <w:t>1. Every individual is entitled to request from the Constitutional Court legal protection when he considers that his/her individual rights and freedoms guaranteed by the Constitution are violated by a public authority.</w:t>
      </w:r>
    </w:p>
    <w:p w:rsidR="00C25B8C" w:rsidRPr="00C25B8C" w:rsidRDefault="00C25B8C" w:rsidP="00A06B9C">
      <w:pPr>
        <w:spacing w:line="240" w:lineRule="auto"/>
        <w:ind w:left="990"/>
        <w:rPr>
          <w:rFonts w:eastAsia="Times New Roman"/>
          <w:i/>
          <w:sz w:val="24"/>
          <w:lang w:val="en-GB" w:eastAsia="sq-AL"/>
        </w:rPr>
      </w:pPr>
    </w:p>
    <w:p w:rsidR="00C25B8C" w:rsidRPr="00C25B8C" w:rsidRDefault="00C25B8C" w:rsidP="00A06B9C">
      <w:pPr>
        <w:spacing w:line="240" w:lineRule="auto"/>
        <w:ind w:left="990"/>
        <w:rPr>
          <w:rFonts w:eastAsia="Times New Roman"/>
          <w:i/>
          <w:sz w:val="24"/>
          <w:lang w:val="en-GB" w:eastAsia="sq-AL"/>
        </w:rPr>
      </w:pPr>
      <w:r w:rsidRPr="00C25B8C">
        <w:rPr>
          <w:rFonts w:eastAsia="Times New Roman"/>
          <w:i/>
          <w:sz w:val="24"/>
          <w:lang w:val="en-GB" w:eastAsia="sq-AL"/>
        </w:rPr>
        <w:t>2. The individual may submit the referral in question only after he/she has exhausted all the legal remedies provided by the law”</w:t>
      </w:r>
    </w:p>
    <w:p w:rsidR="00D84302" w:rsidRPr="00314A8D" w:rsidRDefault="00D84302" w:rsidP="00A06B9C">
      <w:pPr>
        <w:spacing w:line="240" w:lineRule="auto"/>
        <w:rPr>
          <w:sz w:val="24"/>
          <w:lang w:val="en-GB"/>
        </w:rPr>
      </w:pPr>
    </w:p>
    <w:p w:rsidR="00D84302" w:rsidRPr="00314A8D" w:rsidRDefault="00C25B8C" w:rsidP="00A06B9C">
      <w:pPr>
        <w:spacing w:line="240" w:lineRule="auto"/>
        <w:ind w:left="990"/>
        <w:jc w:val="center"/>
        <w:rPr>
          <w:sz w:val="24"/>
          <w:lang w:val="en-GB"/>
        </w:rPr>
      </w:pPr>
      <w:r>
        <w:rPr>
          <w:sz w:val="24"/>
          <w:lang w:val="en-GB"/>
        </w:rPr>
        <w:t>Article</w:t>
      </w:r>
      <w:r w:rsidR="00FF271B" w:rsidRPr="00314A8D">
        <w:rPr>
          <w:sz w:val="24"/>
          <w:lang w:val="en-GB"/>
        </w:rPr>
        <w:t xml:space="preserve"> 48</w:t>
      </w:r>
    </w:p>
    <w:p w:rsidR="00D84302" w:rsidRPr="00314A8D" w:rsidRDefault="00FF271B" w:rsidP="00A06B9C">
      <w:pPr>
        <w:spacing w:line="240" w:lineRule="auto"/>
        <w:ind w:left="990"/>
        <w:jc w:val="center"/>
        <w:rPr>
          <w:sz w:val="24"/>
          <w:lang w:val="en-GB"/>
        </w:rPr>
      </w:pPr>
      <w:r w:rsidRPr="00314A8D">
        <w:rPr>
          <w:sz w:val="24"/>
          <w:lang w:val="en-GB"/>
        </w:rPr>
        <w:t xml:space="preserve"> [</w:t>
      </w:r>
      <w:r w:rsidR="00C25B8C">
        <w:rPr>
          <w:sz w:val="24"/>
          <w:lang w:val="en-GB"/>
        </w:rPr>
        <w:t>Accuracy of the Referral</w:t>
      </w:r>
      <w:r w:rsidRPr="00314A8D">
        <w:rPr>
          <w:sz w:val="24"/>
          <w:lang w:val="en-GB"/>
        </w:rPr>
        <w:t>]</w:t>
      </w:r>
    </w:p>
    <w:p w:rsidR="00D84302" w:rsidRPr="00314A8D" w:rsidRDefault="00D84302" w:rsidP="00A06B9C">
      <w:pPr>
        <w:spacing w:line="240" w:lineRule="auto"/>
        <w:ind w:left="990"/>
        <w:rPr>
          <w:sz w:val="24"/>
          <w:lang w:val="en-GB"/>
        </w:rPr>
      </w:pPr>
    </w:p>
    <w:p w:rsidR="00C25B8C" w:rsidRPr="00C25B8C" w:rsidRDefault="00C25B8C" w:rsidP="00A06B9C">
      <w:pPr>
        <w:spacing w:line="240" w:lineRule="auto"/>
        <w:ind w:left="990"/>
        <w:rPr>
          <w:i/>
          <w:sz w:val="24"/>
          <w:lang w:val="en-GB"/>
        </w:rPr>
      </w:pPr>
      <w:r w:rsidRPr="00C25B8C">
        <w:rPr>
          <w:i/>
          <w:sz w:val="24"/>
          <w:lang w:val="en-GB"/>
        </w:rPr>
        <w:t>“In his /her referral, the claimant should accurately clarify what rights and freedoms he/she claims to have been violated and what concrete act of public authority is subject to challenge”.</w:t>
      </w:r>
    </w:p>
    <w:p w:rsidR="00C25B8C" w:rsidRDefault="00C25B8C" w:rsidP="00A06B9C">
      <w:pPr>
        <w:spacing w:line="240" w:lineRule="auto"/>
        <w:rPr>
          <w:sz w:val="24"/>
          <w:lang w:val="en-GB"/>
        </w:rPr>
      </w:pPr>
    </w:p>
    <w:p w:rsidR="00D84302" w:rsidRPr="00314A8D" w:rsidRDefault="006C578E" w:rsidP="00A06B9C">
      <w:pPr>
        <w:spacing w:line="240" w:lineRule="auto"/>
        <w:ind w:left="990"/>
        <w:jc w:val="center"/>
        <w:rPr>
          <w:sz w:val="24"/>
          <w:lang w:val="en-GB"/>
        </w:rPr>
      </w:pPr>
      <w:r>
        <w:rPr>
          <w:sz w:val="24"/>
          <w:lang w:val="en-GB"/>
        </w:rPr>
        <w:t xml:space="preserve">Article </w:t>
      </w:r>
      <w:r w:rsidR="00FF271B" w:rsidRPr="00314A8D">
        <w:rPr>
          <w:sz w:val="24"/>
          <w:lang w:val="en-GB"/>
        </w:rPr>
        <w:t xml:space="preserve">49 </w:t>
      </w:r>
    </w:p>
    <w:p w:rsidR="00D84302" w:rsidRPr="00314A8D" w:rsidRDefault="00FF271B" w:rsidP="00A06B9C">
      <w:pPr>
        <w:spacing w:line="240" w:lineRule="auto"/>
        <w:ind w:left="990"/>
        <w:jc w:val="center"/>
        <w:rPr>
          <w:sz w:val="24"/>
          <w:lang w:val="en-GB"/>
        </w:rPr>
      </w:pPr>
      <w:r w:rsidRPr="00314A8D">
        <w:rPr>
          <w:sz w:val="24"/>
          <w:lang w:val="en-GB"/>
        </w:rPr>
        <w:t>[</w:t>
      </w:r>
      <w:r w:rsidR="006C578E">
        <w:rPr>
          <w:sz w:val="24"/>
          <w:lang w:val="en-GB"/>
        </w:rPr>
        <w:t>Deadlines</w:t>
      </w:r>
      <w:r w:rsidRPr="00314A8D">
        <w:rPr>
          <w:sz w:val="24"/>
          <w:lang w:val="en-GB"/>
        </w:rPr>
        <w:t>]</w:t>
      </w:r>
    </w:p>
    <w:p w:rsidR="00D84302" w:rsidRPr="00314A8D" w:rsidRDefault="00D84302" w:rsidP="00A06B9C">
      <w:pPr>
        <w:spacing w:line="240" w:lineRule="auto"/>
        <w:ind w:left="990"/>
        <w:rPr>
          <w:sz w:val="24"/>
          <w:lang w:val="en-GB"/>
        </w:rPr>
      </w:pPr>
    </w:p>
    <w:p w:rsidR="006C578E" w:rsidRPr="006C578E" w:rsidRDefault="006C578E" w:rsidP="00A06B9C">
      <w:pPr>
        <w:spacing w:line="240" w:lineRule="auto"/>
        <w:ind w:left="990"/>
        <w:rPr>
          <w:rFonts w:eastAsia="Times New Roman" w:cs="Georgia"/>
          <w:sz w:val="24"/>
          <w:lang w:val="en-GB" w:eastAsia="sq-AL"/>
        </w:rPr>
      </w:pPr>
      <w:r>
        <w:rPr>
          <w:rFonts w:eastAsia="Times New Roman"/>
          <w:i/>
          <w:lang w:val="en-GB"/>
        </w:rPr>
        <w:t xml:space="preserve"> </w:t>
      </w:r>
      <w:r w:rsidRPr="005D162A">
        <w:rPr>
          <w:rFonts w:eastAsia="Times New Roman"/>
          <w:i/>
          <w:lang w:val="en-GB"/>
        </w:rPr>
        <w:t>“</w:t>
      </w:r>
      <w:r w:rsidRPr="006C578E">
        <w:rPr>
          <w:rFonts w:eastAsia="Times New Roman"/>
          <w:i/>
          <w:sz w:val="24"/>
          <w:lang w:val="en-GB"/>
        </w:rPr>
        <w:t>The referral should be submitted within a period of four (4) months. The deadline shall be counted from the day upon which the claimant has bee</w:t>
      </w:r>
      <w:r>
        <w:rPr>
          <w:rFonts w:eastAsia="Times New Roman"/>
          <w:i/>
          <w:sz w:val="24"/>
          <w:lang w:val="en-GB"/>
        </w:rPr>
        <w:t>n served with a court decision…</w:t>
      </w:r>
      <w:r w:rsidRPr="006C578E">
        <w:rPr>
          <w:rFonts w:eastAsia="Times New Roman"/>
          <w:i/>
          <w:sz w:val="24"/>
          <w:lang w:val="en-GB"/>
        </w:rPr>
        <w:t>”</w:t>
      </w:r>
    </w:p>
    <w:p w:rsidR="00D84302" w:rsidRPr="006C578E" w:rsidRDefault="00D84302" w:rsidP="00A06B9C">
      <w:pPr>
        <w:spacing w:line="240" w:lineRule="auto"/>
        <w:rPr>
          <w:sz w:val="24"/>
          <w:lang w:val="en-GB"/>
        </w:rPr>
      </w:pPr>
    </w:p>
    <w:p w:rsidR="00D84302" w:rsidRPr="00314A8D" w:rsidRDefault="00553AFA" w:rsidP="00A06B9C">
      <w:pPr>
        <w:pStyle w:val="ListParagraph"/>
        <w:numPr>
          <w:ilvl w:val="0"/>
          <w:numId w:val="63"/>
        </w:numPr>
        <w:spacing w:line="240" w:lineRule="auto"/>
        <w:ind w:left="630" w:hanging="630"/>
        <w:rPr>
          <w:sz w:val="24"/>
          <w:lang w:val="en-GB"/>
        </w:rPr>
      </w:pPr>
      <w:r w:rsidRPr="00553AFA">
        <w:rPr>
          <w:sz w:val="24"/>
          <w:lang w:val="en-GB"/>
        </w:rPr>
        <w:t>In this re</w:t>
      </w:r>
      <w:r>
        <w:rPr>
          <w:sz w:val="24"/>
          <w:lang w:val="en-GB"/>
        </w:rPr>
        <w:t>spect</w:t>
      </w:r>
      <w:r w:rsidRPr="00553AFA">
        <w:rPr>
          <w:sz w:val="24"/>
          <w:lang w:val="en-GB"/>
        </w:rPr>
        <w:t xml:space="preserve">, the Court first notes that the </w:t>
      </w:r>
      <w:r>
        <w:rPr>
          <w:sz w:val="24"/>
          <w:lang w:val="en-GB"/>
        </w:rPr>
        <w:t>A</w:t>
      </w:r>
      <w:r w:rsidRPr="00553AFA">
        <w:rPr>
          <w:sz w:val="24"/>
          <w:lang w:val="en-GB"/>
        </w:rPr>
        <w:t xml:space="preserve">pplicant </w:t>
      </w:r>
      <w:r>
        <w:rPr>
          <w:sz w:val="24"/>
          <w:lang w:val="en-GB"/>
        </w:rPr>
        <w:t>is entitled</w:t>
      </w:r>
      <w:r w:rsidRPr="00553AFA">
        <w:rPr>
          <w:sz w:val="24"/>
          <w:lang w:val="en-GB"/>
        </w:rPr>
        <w:t xml:space="preserve"> to file a constitutional complaint,</w:t>
      </w:r>
      <w:r>
        <w:rPr>
          <w:sz w:val="24"/>
          <w:lang w:val="en-GB"/>
        </w:rPr>
        <w:t xml:space="preserve"> by referring to</w:t>
      </w:r>
      <w:r w:rsidRPr="00553AFA">
        <w:rPr>
          <w:sz w:val="24"/>
          <w:lang w:val="en-GB"/>
        </w:rPr>
        <w:t xml:space="preserve"> alleged violations of his fundamental rights and freedoms, which </w:t>
      </w:r>
      <w:r>
        <w:rPr>
          <w:sz w:val="24"/>
          <w:lang w:val="en-GB"/>
        </w:rPr>
        <w:t>are valid for</w:t>
      </w:r>
      <w:r w:rsidRPr="00553AFA">
        <w:rPr>
          <w:sz w:val="24"/>
          <w:lang w:val="en-GB"/>
        </w:rPr>
        <w:t xml:space="preserve"> individuals </w:t>
      </w:r>
      <w:r>
        <w:rPr>
          <w:sz w:val="24"/>
          <w:lang w:val="en-GB"/>
        </w:rPr>
        <w:t>as well as for</w:t>
      </w:r>
      <w:r w:rsidRPr="00553AFA">
        <w:rPr>
          <w:sz w:val="24"/>
          <w:lang w:val="en-GB"/>
        </w:rPr>
        <w:t xml:space="preserve"> legal </w:t>
      </w:r>
      <w:r>
        <w:rPr>
          <w:sz w:val="24"/>
          <w:lang w:val="en-GB"/>
        </w:rPr>
        <w:t>persons</w:t>
      </w:r>
      <w:r w:rsidRPr="00553AFA">
        <w:rPr>
          <w:sz w:val="24"/>
          <w:lang w:val="en-GB"/>
        </w:rPr>
        <w:t xml:space="preserve"> (see the case of the Constitutional Court no. KI41/09, </w:t>
      </w:r>
      <w:r>
        <w:rPr>
          <w:sz w:val="24"/>
          <w:lang w:val="en-GB"/>
        </w:rPr>
        <w:t>A</w:t>
      </w:r>
      <w:r w:rsidRPr="00553AFA">
        <w:rPr>
          <w:sz w:val="24"/>
          <w:lang w:val="en-GB"/>
        </w:rPr>
        <w:t xml:space="preserve">pplicant </w:t>
      </w:r>
      <w:r w:rsidRPr="00553AFA">
        <w:rPr>
          <w:i/>
          <w:sz w:val="24"/>
          <w:lang w:val="en-GB"/>
        </w:rPr>
        <w:t>AAB-RIINVEST LLC</w:t>
      </w:r>
      <w:r w:rsidRPr="00553AFA">
        <w:rPr>
          <w:sz w:val="24"/>
          <w:lang w:val="en-GB"/>
        </w:rPr>
        <w:t xml:space="preserve">, </w:t>
      </w:r>
      <w:r>
        <w:rPr>
          <w:sz w:val="24"/>
          <w:lang w:val="en-GB"/>
        </w:rPr>
        <w:t xml:space="preserve">Resolution </w:t>
      </w:r>
      <w:r w:rsidRPr="00553AFA">
        <w:rPr>
          <w:sz w:val="24"/>
          <w:lang w:val="en-GB"/>
        </w:rPr>
        <w:t xml:space="preserve">on </w:t>
      </w:r>
      <w:r>
        <w:rPr>
          <w:sz w:val="24"/>
          <w:lang w:val="en-GB"/>
        </w:rPr>
        <w:t>I</w:t>
      </w:r>
      <w:r w:rsidRPr="00553AFA">
        <w:rPr>
          <w:sz w:val="24"/>
          <w:lang w:val="en-GB"/>
        </w:rPr>
        <w:t xml:space="preserve">nadmissibility, </w:t>
      </w:r>
      <w:r>
        <w:rPr>
          <w:sz w:val="24"/>
          <w:lang w:val="en-GB"/>
        </w:rPr>
        <w:t xml:space="preserve">of </w:t>
      </w:r>
      <w:r w:rsidRPr="00553AFA">
        <w:rPr>
          <w:sz w:val="24"/>
          <w:lang w:val="en-GB"/>
        </w:rPr>
        <w:t>3 February 2010, paragraph 14</w:t>
      </w:r>
      <w:r w:rsidR="00FF271B" w:rsidRPr="00314A8D">
        <w:rPr>
          <w:sz w:val="24"/>
          <w:lang w:val="en-GB"/>
        </w:rPr>
        <w:t>).</w:t>
      </w:r>
    </w:p>
    <w:p w:rsidR="00D84302" w:rsidRPr="00314A8D" w:rsidRDefault="00D84302" w:rsidP="00A06B9C">
      <w:pPr>
        <w:spacing w:line="240" w:lineRule="auto"/>
        <w:rPr>
          <w:sz w:val="24"/>
          <w:lang w:val="en-GB"/>
        </w:rPr>
      </w:pPr>
    </w:p>
    <w:p w:rsidR="00D84302" w:rsidRPr="00314A8D" w:rsidRDefault="00D10012" w:rsidP="00A06B9C">
      <w:pPr>
        <w:pStyle w:val="ListParagraph"/>
        <w:numPr>
          <w:ilvl w:val="0"/>
          <w:numId w:val="63"/>
        </w:numPr>
        <w:spacing w:line="240" w:lineRule="auto"/>
        <w:ind w:left="630" w:hanging="630"/>
        <w:rPr>
          <w:sz w:val="24"/>
          <w:lang w:val="en-GB"/>
        </w:rPr>
      </w:pPr>
      <w:r>
        <w:rPr>
          <w:bCs/>
          <w:sz w:val="24"/>
          <w:lang w:val="en-GB"/>
        </w:rPr>
        <w:t>As</w:t>
      </w:r>
      <w:r w:rsidRPr="00D10012">
        <w:rPr>
          <w:bCs/>
          <w:sz w:val="24"/>
          <w:lang w:val="en-GB"/>
        </w:rPr>
        <w:t xml:space="preserve"> to the </w:t>
      </w:r>
      <w:proofErr w:type="spellStart"/>
      <w:r w:rsidRPr="00D10012">
        <w:rPr>
          <w:bCs/>
          <w:sz w:val="24"/>
          <w:lang w:val="en-GB"/>
        </w:rPr>
        <w:t>fulfillment</w:t>
      </w:r>
      <w:proofErr w:type="spellEnd"/>
      <w:r w:rsidRPr="00D10012">
        <w:rPr>
          <w:bCs/>
          <w:sz w:val="24"/>
          <w:lang w:val="en-GB"/>
        </w:rPr>
        <w:t xml:space="preserve"> of other admissibility criteria set out in the Constitution and the Law and elaborated above, the Court finds that the Applicant is an authorized party wh</w:t>
      </w:r>
      <w:r>
        <w:rPr>
          <w:bCs/>
          <w:sz w:val="24"/>
          <w:lang w:val="en-GB"/>
        </w:rPr>
        <w:t>ich challenges</w:t>
      </w:r>
      <w:r w:rsidRPr="00D10012">
        <w:rPr>
          <w:bCs/>
          <w:sz w:val="24"/>
          <w:lang w:val="en-GB"/>
        </w:rPr>
        <w:t xml:space="preserve"> an act of a public authority, namely the Judgment</w:t>
      </w:r>
      <w:r>
        <w:rPr>
          <w:bCs/>
          <w:sz w:val="24"/>
          <w:lang w:val="en-GB"/>
        </w:rPr>
        <w:t xml:space="preserve"> Ae</w:t>
      </w:r>
      <w:r w:rsidRPr="00D10012">
        <w:rPr>
          <w:bCs/>
          <w:sz w:val="24"/>
          <w:lang w:val="en-GB"/>
        </w:rPr>
        <w:t xml:space="preserve">. </w:t>
      </w:r>
      <w:proofErr w:type="gramStart"/>
      <w:r w:rsidRPr="00D10012">
        <w:rPr>
          <w:bCs/>
          <w:sz w:val="24"/>
          <w:lang w:val="en-GB"/>
        </w:rPr>
        <w:t>no.146/17</w:t>
      </w:r>
      <w:proofErr w:type="gramEnd"/>
      <w:r w:rsidRPr="00D10012">
        <w:rPr>
          <w:bCs/>
          <w:sz w:val="24"/>
          <w:lang w:val="en-GB"/>
        </w:rPr>
        <w:t xml:space="preserve"> of the Court of Appeals</w:t>
      </w:r>
      <w:r>
        <w:rPr>
          <w:bCs/>
          <w:sz w:val="24"/>
          <w:lang w:val="en-GB"/>
        </w:rPr>
        <w:t>,</w:t>
      </w:r>
      <w:r w:rsidRPr="00D10012">
        <w:rPr>
          <w:bCs/>
          <w:sz w:val="24"/>
          <w:lang w:val="en-GB"/>
        </w:rPr>
        <w:t xml:space="preserve"> of 26 February 2019. </w:t>
      </w:r>
      <w:r w:rsidR="00E365A9">
        <w:rPr>
          <w:bCs/>
          <w:sz w:val="24"/>
          <w:lang w:val="en-GB"/>
        </w:rPr>
        <w:t xml:space="preserve">As regards </w:t>
      </w:r>
      <w:r w:rsidRPr="00D10012">
        <w:rPr>
          <w:bCs/>
          <w:sz w:val="24"/>
          <w:lang w:val="en-GB"/>
        </w:rPr>
        <w:t>the exhaustion of legal remedies, the Court notes that the last decision, rendered in proce</w:t>
      </w:r>
      <w:r w:rsidR="00E365A9">
        <w:rPr>
          <w:bCs/>
          <w:sz w:val="24"/>
          <w:lang w:val="en-GB"/>
        </w:rPr>
        <w:t>edings</w:t>
      </w:r>
      <w:r w:rsidRPr="00D10012">
        <w:rPr>
          <w:bCs/>
          <w:sz w:val="24"/>
          <w:lang w:val="en-GB"/>
        </w:rPr>
        <w:t xml:space="preserve"> before the regular courts, is the </w:t>
      </w:r>
      <w:r w:rsidR="00E365A9">
        <w:rPr>
          <w:bCs/>
          <w:sz w:val="24"/>
          <w:lang w:val="en-GB"/>
        </w:rPr>
        <w:t>challenged</w:t>
      </w:r>
      <w:r w:rsidRPr="00D10012">
        <w:rPr>
          <w:bCs/>
          <w:sz w:val="24"/>
          <w:lang w:val="en-GB"/>
        </w:rPr>
        <w:t xml:space="preserve"> judgment of the Court of Appeals, against which due to the value of the dispute the revision was not allowed. </w:t>
      </w:r>
      <w:r w:rsidR="00E365A9">
        <w:rPr>
          <w:bCs/>
          <w:sz w:val="24"/>
          <w:lang w:val="en-GB"/>
        </w:rPr>
        <w:t>Consequently</w:t>
      </w:r>
      <w:r w:rsidRPr="00D10012">
        <w:rPr>
          <w:bCs/>
          <w:sz w:val="24"/>
          <w:lang w:val="en-GB"/>
        </w:rPr>
        <w:t xml:space="preserve">, the Court finds that the Applicant has exhausted all legal remedies provided by law. The Applicant </w:t>
      </w:r>
      <w:r w:rsidR="001D0175">
        <w:rPr>
          <w:bCs/>
          <w:sz w:val="24"/>
          <w:lang w:val="en-GB"/>
        </w:rPr>
        <w:t xml:space="preserve">has </w:t>
      </w:r>
      <w:r w:rsidRPr="00D10012">
        <w:rPr>
          <w:bCs/>
          <w:sz w:val="24"/>
          <w:lang w:val="en-GB"/>
        </w:rPr>
        <w:t>also clarified the fundamental rights and freedoms</w:t>
      </w:r>
      <w:r w:rsidR="001D0175">
        <w:rPr>
          <w:bCs/>
          <w:sz w:val="24"/>
          <w:lang w:val="en-GB"/>
        </w:rPr>
        <w:t xml:space="preserve"> for </w:t>
      </w:r>
      <w:r w:rsidR="00E365A9">
        <w:rPr>
          <w:bCs/>
          <w:sz w:val="24"/>
          <w:lang w:val="en-GB"/>
        </w:rPr>
        <w:t xml:space="preserve">which it </w:t>
      </w:r>
      <w:r w:rsidRPr="00D10012">
        <w:rPr>
          <w:bCs/>
          <w:sz w:val="24"/>
          <w:lang w:val="en-GB"/>
        </w:rPr>
        <w:t xml:space="preserve">claims to have been violated, </w:t>
      </w:r>
      <w:r w:rsidR="00E365A9">
        <w:rPr>
          <w:bCs/>
          <w:sz w:val="24"/>
          <w:lang w:val="en-GB"/>
        </w:rPr>
        <w:t>pursuant to</w:t>
      </w:r>
      <w:r w:rsidRPr="00D10012">
        <w:rPr>
          <w:bCs/>
          <w:sz w:val="24"/>
          <w:lang w:val="en-GB"/>
        </w:rPr>
        <w:t xml:space="preserve"> the requirements of Article 48 of the Law, and</w:t>
      </w:r>
      <w:r w:rsidR="00E365A9">
        <w:rPr>
          <w:bCs/>
          <w:sz w:val="24"/>
          <w:lang w:val="en-GB"/>
        </w:rPr>
        <w:t xml:space="preserve"> has</w:t>
      </w:r>
      <w:r w:rsidRPr="00D10012">
        <w:rPr>
          <w:bCs/>
          <w:sz w:val="24"/>
          <w:lang w:val="en-GB"/>
        </w:rPr>
        <w:t xml:space="preserve"> submitted the </w:t>
      </w:r>
      <w:r w:rsidR="00E365A9">
        <w:rPr>
          <w:bCs/>
          <w:sz w:val="24"/>
          <w:lang w:val="en-GB"/>
        </w:rPr>
        <w:t>Referral</w:t>
      </w:r>
      <w:r w:rsidRPr="00D10012">
        <w:rPr>
          <w:bCs/>
          <w:sz w:val="24"/>
          <w:lang w:val="en-GB"/>
        </w:rPr>
        <w:t xml:space="preserve"> in accordance with the deadlines </w:t>
      </w:r>
      <w:r w:rsidR="001D0175">
        <w:rPr>
          <w:bCs/>
          <w:sz w:val="24"/>
          <w:lang w:val="en-GB"/>
        </w:rPr>
        <w:t>stipulated</w:t>
      </w:r>
      <w:r w:rsidRPr="00D10012">
        <w:rPr>
          <w:bCs/>
          <w:sz w:val="24"/>
          <w:lang w:val="en-GB"/>
        </w:rPr>
        <w:t xml:space="preserve"> in Article 49 of the Law.</w:t>
      </w:r>
    </w:p>
    <w:p w:rsidR="00D84302" w:rsidRPr="00314A8D" w:rsidRDefault="00D84302" w:rsidP="00A06B9C">
      <w:pPr>
        <w:pStyle w:val="ListParagraph"/>
        <w:spacing w:line="240" w:lineRule="auto"/>
        <w:rPr>
          <w:sz w:val="24"/>
          <w:lang w:val="en-GB"/>
        </w:rPr>
      </w:pPr>
    </w:p>
    <w:p w:rsidR="00D84302" w:rsidRPr="00314A8D" w:rsidRDefault="00742CBF" w:rsidP="00A06B9C">
      <w:pPr>
        <w:pStyle w:val="ListParagraph"/>
        <w:numPr>
          <w:ilvl w:val="0"/>
          <w:numId w:val="63"/>
        </w:numPr>
        <w:spacing w:line="240" w:lineRule="auto"/>
        <w:ind w:left="630" w:hanging="630"/>
        <w:rPr>
          <w:sz w:val="24"/>
          <w:lang w:val="en-GB"/>
        </w:rPr>
      </w:pPr>
      <w:r>
        <w:rPr>
          <w:sz w:val="24"/>
          <w:lang w:val="en-GB"/>
        </w:rPr>
        <w:t>The Court finds that the A</w:t>
      </w:r>
      <w:r w:rsidRPr="00742CBF">
        <w:rPr>
          <w:sz w:val="24"/>
          <w:lang w:val="en-GB"/>
        </w:rPr>
        <w:t xml:space="preserve">pplicant's </w:t>
      </w:r>
      <w:r>
        <w:rPr>
          <w:sz w:val="24"/>
          <w:lang w:val="en-GB"/>
        </w:rPr>
        <w:t>Referral</w:t>
      </w:r>
      <w:r w:rsidRPr="00742CBF">
        <w:rPr>
          <w:sz w:val="24"/>
          <w:lang w:val="en-GB"/>
        </w:rPr>
        <w:t xml:space="preserve"> also meets th</w:t>
      </w:r>
      <w:r>
        <w:rPr>
          <w:sz w:val="24"/>
          <w:lang w:val="en-GB"/>
        </w:rPr>
        <w:t>e admissibility criteria provided for</w:t>
      </w:r>
      <w:r w:rsidRPr="00742CBF">
        <w:rPr>
          <w:sz w:val="24"/>
          <w:lang w:val="en-GB"/>
        </w:rPr>
        <w:t xml:space="preserve"> </w:t>
      </w:r>
      <w:r>
        <w:rPr>
          <w:sz w:val="24"/>
          <w:lang w:val="en-GB"/>
        </w:rPr>
        <w:t>by</w:t>
      </w:r>
      <w:r w:rsidRPr="00742CBF">
        <w:rPr>
          <w:sz w:val="24"/>
          <w:lang w:val="en-GB"/>
        </w:rPr>
        <w:t xml:space="preserve"> paragraph (1) of Rule 39 of the Rules of Procedure. The same cannot be declared inadmissible on the basis of the conditions </w:t>
      </w:r>
      <w:r>
        <w:rPr>
          <w:sz w:val="24"/>
          <w:lang w:val="en-GB"/>
        </w:rPr>
        <w:t xml:space="preserve">stipulated </w:t>
      </w:r>
      <w:r w:rsidRPr="00742CBF">
        <w:rPr>
          <w:sz w:val="24"/>
          <w:lang w:val="en-GB"/>
        </w:rPr>
        <w:t>in paragraph (3) of Rule 39 of the Rules of Procedure.</w:t>
      </w:r>
      <w:r w:rsidR="00FF271B" w:rsidRPr="00314A8D">
        <w:rPr>
          <w:sz w:val="24"/>
          <w:lang w:val="en-GB"/>
        </w:rPr>
        <w:t xml:space="preserve"> </w:t>
      </w:r>
    </w:p>
    <w:p w:rsidR="00D84302" w:rsidRPr="00314A8D" w:rsidRDefault="00D84302" w:rsidP="00A06B9C">
      <w:pPr>
        <w:spacing w:line="240" w:lineRule="auto"/>
        <w:rPr>
          <w:rFonts w:cs="Arial"/>
          <w:iCs/>
          <w:sz w:val="24"/>
          <w:lang w:val="en-GB"/>
        </w:rPr>
      </w:pPr>
    </w:p>
    <w:p w:rsidR="00D84302" w:rsidRPr="00314A8D" w:rsidRDefault="00E37188" w:rsidP="00A06B9C">
      <w:pPr>
        <w:pStyle w:val="ListParagraph"/>
        <w:numPr>
          <w:ilvl w:val="0"/>
          <w:numId w:val="63"/>
        </w:numPr>
        <w:spacing w:line="240" w:lineRule="auto"/>
        <w:ind w:left="630" w:hanging="630"/>
        <w:rPr>
          <w:rFonts w:cs="Arial"/>
          <w:iCs/>
          <w:sz w:val="24"/>
          <w:lang w:val="en-GB"/>
        </w:rPr>
      </w:pPr>
      <w:r>
        <w:rPr>
          <w:rFonts w:cs="Arial"/>
          <w:iCs/>
          <w:sz w:val="24"/>
          <w:lang w:val="en-GB"/>
        </w:rPr>
        <w:t>T</w:t>
      </w:r>
      <w:r w:rsidRPr="00E37188">
        <w:rPr>
          <w:rFonts w:cs="Arial"/>
          <w:iCs/>
          <w:sz w:val="24"/>
          <w:lang w:val="en-GB"/>
        </w:rPr>
        <w:t xml:space="preserve">he Court also </w:t>
      </w:r>
      <w:r w:rsidR="00DC5120">
        <w:rPr>
          <w:rFonts w:cs="Arial"/>
          <w:iCs/>
          <w:sz w:val="24"/>
          <w:lang w:val="en-GB"/>
        </w:rPr>
        <w:t>states</w:t>
      </w:r>
      <w:r w:rsidRPr="00E37188">
        <w:rPr>
          <w:rFonts w:cs="Arial"/>
          <w:iCs/>
          <w:sz w:val="24"/>
          <w:lang w:val="en-GB"/>
        </w:rPr>
        <w:t xml:space="preserve"> that the </w:t>
      </w:r>
      <w:r>
        <w:rPr>
          <w:rFonts w:cs="Arial"/>
          <w:iCs/>
          <w:sz w:val="24"/>
          <w:lang w:val="en-GB"/>
        </w:rPr>
        <w:t xml:space="preserve">Referral </w:t>
      </w:r>
      <w:r w:rsidRPr="00E37188">
        <w:rPr>
          <w:rFonts w:cs="Arial"/>
          <w:iCs/>
          <w:sz w:val="24"/>
          <w:lang w:val="en-GB"/>
        </w:rPr>
        <w:t xml:space="preserve">cannot be declared inadmissible on any other grounds. It must therefore be declared admissible and its merits must be </w:t>
      </w:r>
      <w:r>
        <w:rPr>
          <w:rFonts w:cs="Arial"/>
          <w:iCs/>
          <w:sz w:val="24"/>
          <w:lang w:val="en-GB"/>
        </w:rPr>
        <w:t>considered</w:t>
      </w:r>
      <w:r w:rsidRPr="00E37188">
        <w:rPr>
          <w:rFonts w:cs="Arial"/>
          <w:iCs/>
          <w:sz w:val="24"/>
          <w:lang w:val="en-GB"/>
        </w:rPr>
        <w:t xml:space="preserve">. (See also, in this context, the case of the </w:t>
      </w:r>
      <w:proofErr w:type="spellStart"/>
      <w:r w:rsidRPr="00E37188">
        <w:rPr>
          <w:rFonts w:cs="Arial"/>
          <w:iCs/>
          <w:sz w:val="24"/>
          <w:lang w:val="en-GB"/>
        </w:rPr>
        <w:t>ECtHR</w:t>
      </w:r>
      <w:proofErr w:type="spellEnd"/>
      <w:r w:rsidRPr="00E37188">
        <w:rPr>
          <w:rFonts w:cs="Arial"/>
          <w:iCs/>
          <w:sz w:val="24"/>
          <w:lang w:val="en-GB"/>
        </w:rPr>
        <w:t xml:space="preserve"> </w:t>
      </w:r>
      <w:proofErr w:type="spellStart"/>
      <w:r w:rsidRPr="00E37188">
        <w:rPr>
          <w:rFonts w:cs="Arial"/>
          <w:i/>
          <w:iCs/>
          <w:sz w:val="24"/>
          <w:lang w:val="en-GB"/>
        </w:rPr>
        <w:t>Alimuçaj</w:t>
      </w:r>
      <w:proofErr w:type="spellEnd"/>
      <w:r w:rsidRPr="00E37188">
        <w:rPr>
          <w:rFonts w:cs="Arial"/>
          <w:i/>
          <w:iCs/>
          <w:sz w:val="24"/>
          <w:lang w:val="en-GB"/>
        </w:rPr>
        <w:t xml:space="preserve"> v. Albania</w:t>
      </w:r>
      <w:r w:rsidRPr="00E37188">
        <w:rPr>
          <w:rFonts w:cs="Arial"/>
          <w:iCs/>
          <w:sz w:val="24"/>
          <w:lang w:val="en-GB"/>
        </w:rPr>
        <w:t>, Judgment of 9 July 2012, paragraph 144, see the cases of the</w:t>
      </w:r>
      <w:r>
        <w:rPr>
          <w:rFonts w:cs="Arial"/>
          <w:iCs/>
          <w:sz w:val="24"/>
          <w:lang w:val="en-GB"/>
        </w:rPr>
        <w:t xml:space="preserve"> Court </w:t>
      </w:r>
      <w:r w:rsidRPr="00E37188">
        <w:rPr>
          <w:rFonts w:cs="Arial"/>
          <w:iCs/>
          <w:sz w:val="24"/>
          <w:lang w:val="en-GB"/>
        </w:rPr>
        <w:t xml:space="preserve"> KI87/</w:t>
      </w:r>
      <w:r>
        <w:rPr>
          <w:rFonts w:cs="Arial"/>
          <w:iCs/>
          <w:sz w:val="24"/>
          <w:lang w:val="en-GB"/>
        </w:rPr>
        <w:t>18</w:t>
      </w:r>
      <w:r w:rsidRPr="00E37188">
        <w:rPr>
          <w:rFonts w:cs="Arial"/>
          <w:iCs/>
          <w:sz w:val="24"/>
          <w:lang w:val="en-GB"/>
        </w:rPr>
        <w:t xml:space="preserve">, </w:t>
      </w:r>
      <w:r>
        <w:rPr>
          <w:rFonts w:cs="Arial"/>
          <w:iCs/>
          <w:sz w:val="24"/>
          <w:lang w:val="en-GB"/>
        </w:rPr>
        <w:t>Applicant</w:t>
      </w:r>
      <w:r w:rsidRPr="00E37188">
        <w:rPr>
          <w:rFonts w:cs="Arial"/>
          <w:iCs/>
          <w:sz w:val="24"/>
          <w:lang w:val="en-GB"/>
        </w:rPr>
        <w:t xml:space="preserve"> </w:t>
      </w:r>
      <w:r w:rsidRPr="00E37188">
        <w:rPr>
          <w:rFonts w:cs="Arial"/>
          <w:i/>
          <w:iCs/>
          <w:sz w:val="24"/>
          <w:lang w:val="en-GB"/>
        </w:rPr>
        <w:t xml:space="preserve">“IF </w:t>
      </w:r>
      <w:proofErr w:type="spellStart"/>
      <w:r w:rsidRPr="00E37188">
        <w:rPr>
          <w:rFonts w:cs="Arial"/>
          <w:i/>
          <w:iCs/>
          <w:sz w:val="24"/>
          <w:lang w:val="en-GB"/>
        </w:rPr>
        <w:t>Skadeforsikring</w:t>
      </w:r>
      <w:proofErr w:type="spellEnd"/>
      <w:r w:rsidRPr="00E37188">
        <w:rPr>
          <w:rFonts w:cs="Arial"/>
          <w:i/>
          <w:iCs/>
          <w:sz w:val="24"/>
          <w:lang w:val="en-GB"/>
        </w:rPr>
        <w:t>”</w:t>
      </w:r>
      <w:r>
        <w:rPr>
          <w:rFonts w:cs="Arial"/>
          <w:iCs/>
          <w:sz w:val="24"/>
          <w:lang w:val="en-GB"/>
        </w:rPr>
        <w:t xml:space="preserve"> </w:t>
      </w:r>
      <w:r w:rsidRPr="00E37188">
        <w:rPr>
          <w:rFonts w:cs="Arial"/>
          <w:iCs/>
          <w:sz w:val="24"/>
          <w:lang w:val="en-GB"/>
        </w:rPr>
        <w:t>,</w:t>
      </w:r>
      <w:r>
        <w:rPr>
          <w:rFonts w:cs="Arial"/>
          <w:iCs/>
          <w:sz w:val="24"/>
          <w:lang w:val="en-GB"/>
        </w:rPr>
        <w:t xml:space="preserve"> </w:t>
      </w:r>
      <w:r w:rsidRPr="00E37188">
        <w:rPr>
          <w:rFonts w:cs="Arial"/>
          <w:iCs/>
          <w:sz w:val="24"/>
          <w:lang w:val="en-GB"/>
        </w:rPr>
        <w:t>Judgment of 27 Februa</w:t>
      </w:r>
      <w:r>
        <w:rPr>
          <w:rFonts w:cs="Arial"/>
          <w:iCs/>
          <w:sz w:val="24"/>
          <w:lang w:val="en-GB"/>
        </w:rPr>
        <w:t xml:space="preserve">ry 2019, paragraph 35, and </w:t>
      </w:r>
      <w:r>
        <w:rPr>
          <w:rFonts w:cs="Arial"/>
          <w:iCs/>
          <w:sz w:val="24"/>
          <w:lang w:val="en-GB"/>
        </w:rPr>
        <w:lastRenderedPageBreak/>
        <w:t>KI35</w:t>
      </w:r>
      <w:r w:rsidRPr="00E37188">
        <w:rPr>
          <w:rFonts w:cs="Arial"/>
          <w:iCs/>
          <w:sz w:val="24"/>
          <w:lang w:val="en-GB"/>
        </w:rPr>
        <w:t>/18</w:t>
      </w:r>
      <w:r>
        <w:rPr>
          <w:rFonts w:cs="Arial"/>
          <w:iCs/>
          <w:sz w:val="24"/>
          <w:lang w:val="en-GB"/>
        </w:rPr>
        <w:t>,</w:t>
      </w:r>
      <w:r w:rsidRPr="00E37188">
        <w:rPr>
          <w:rFonts w:cs="Arial"/>
          <w:iCs/>
          <w:sz w:val="24"/>
          <w:lang w:val="en-GB"/>
        </w:rPr>
        <w:t xml:space="preserve"> </w:t>
      </w:r>
      <w:r>
        <w:rPr>
          <w:rFonts w:cs="Arial"/>
          <w:iCs/>
          <w:sz w:val="24"/>
          <w:lang w:val="en-GB"/>
        </w:rPr>
        <w:t>A</w:t>
      </w:r>
      <w:r w:rsidRPr="00E37188">
        <w:rPr>
          <w:rFonts w:cs="Arial"/>
          <w:iCs/>
          <w:sz w:val="24"/>
          <w:lang w:val="en-GB"/>
        </w:rPr>
        <w:t xml:space="preserve">pplicant </w:t>
      </w:r>
      <w:proofErr w:type="spellStart"/>
      <w:r w:rsidRPr="00E37188">
        <w:rPr>
          <w:rFonts w:cs="Arial"/>
          <w:iCs/>
          <w:sz w:val="24"/>
          <w:lang w:val="en-GB"/>
        </w:rPr>
        <w:t>B</w:t>
      </w:r>
      <w:r w:rsidRPr="00E37188">
        <w:rPr>
          <w:rFonts w:cs="Arial"/>
          <w:i/>
          <w:iCs/>
          <w:sz w:val="24"/>
          <w:lang w:val="en-GB"/>
        </w:rPr>
        <w:t>ayerischeVersicherungsverbrand</w:t>
      </w:r>
      <w:proofErr w:type="spellEnd"/>
      <w:r w:rsidRPr="00E37188">
        <w:rPr>
          <w:rFonts w:cs="Arial"/>
          <w:iCs/>
          <w:sz w:val="24"/>
          <w:lang w:val="en-GB"/>
        </w:rPr>
        <w:t>, Judgment</w:t>
      </w:r>
      <w:r>
        <w:rPr>
          <w:rFonts w:cs="Arial"/>
          <w:iCs/>
          <w:sz w:val="24"/>
          <w:lang w:val="en-GB"/>
        </w:rPr>
        <w:t xml:space="preserve"> of</w:t>
      </w:r>
      <w:r w:rsidRPr="00E37188">
        <w:rPr>
          <w:rFonts w:cs="Arial"/>
          <w:iCs/>
          <w:sz w:val="24"/>
          <w:lang w:val="en-GB"/>
        </w:rPr>
        <w:t xml:space="preserve"> 11 December 2019, paragraph 43</w:t>
      </w:r>
      <w:r w:rsidR="00FF271B" w:rsidRPr="00314A8D">
        <w:rPr>
          <w:rFonts w:cs="Arial"/>
          <w:iCs/>
          <w:sz w:val="24"/>
          <w:lang w:val="en-GB"/>
        </w:rPr>
        <w:t>).</w:t>
      </w:r>
    </w:p>
    <w:p w:rsidR="00D84302" w:rsidRPr="00A06B9C" w:rsidRDefault="00D84302" w:rsidP="00A06B9C">
      <w:pPr>
        <w:spacing w:line="240" w:lineRule="auto"/>
        <w:jc w:val="left"/>
        <w:rPr>
          <w:rFonts w:cs="Arial"/>
          <w:b/>
          <w:sz w:val="24"/>
          <w:lang w:val="en-GB"/>
        </w:rPr>
      </w:pPr>
    </w:p>
    <w:p w:rsidR="00D84302" w:rsidRPr="00314A8D" w:rsidRDefault="00E37188" w:rsidP="00A06B9C">
      <w:pPr>
        <w:pStyle w:val="ListParagraph"/>
        <w:spacing w:line="240" w:lineRule="auto"/>
        <w:ind w:hanging="720"/>
        <w:jc w:val="left"/>
        <w:rPr>
          <w:rFonts w:cs="Arial"/>
          <w:b/>
          <w:sz w:val="24"/>
          <w:lang w:val="en-GB"/>
        </w:rPr>
      </w:pPr>
      <w:r>
        <w:rPr>
          <w:rFonts w:cs="Arial"/>
          <w:b/>
          <w:sz w:val="24"/>
          <w:lang w:val="en-GB"/>
        </w:rPr>
        <w:t>Merits of the Referral</w:t>
      </w:r>
    </w:p>
    <w:p w:rsidR="00D84302" w:rsidRPr="00314A8D" w:rsidRDefault="00D84302" w:rsidP="00A06B9C">
      <w:pPr>
        <w:spacing w:line="240" w:lineRule="auto"/>
        <w:jc w:val="left"/>
        <w:rPr>
          <w:rFonts w:cs="Arial"/>
          <w:b/>
          <w:sz w:val="24"/>
          <w:lang w:val="en-GB"/>
        </w:rPr>
      </w:pPr>
    </w:p>
    <w:p w:rsidR="00D84302" w:rsidRPr="00314A8D" w:rsidRDefault="002D4B79" w:rsidP="00A06B9C">
      <w:pPr>
        <w:pStyle w:val="ListParagraph"/>
        <w:numPr>
          <w:ilvl w:val="0"/>
          <w:numId w:val="63"/>
        </w:numPr>
        <w:spacing w:line="240" w:lineRule="auto"/>
        <w:ind w:left="630" w:hanging="630"/>
        <w:rPr>
          <w:rFonts w:eastAsia="SimSun" w:cs="TimesNewRomanPSMT"/>
          <w:sz w:val="24"/>
          <w:lang w:val="en-GB"/>
        </w:rPr>
      </w:pPr>
      <w:r>
        <w:rPr>
          <w:sz w:val="24"/>
          <w:lang w:val="en-GB"/>
        </w:rPr>
        <w:t>T</w:t>
      </w:r>
      <w:r w:rsidRPr="002D4B79">
        <w:rPr>
          <w:sz w:val="24"/>
          <w:lang w:val="en-GB"/>
        </w:rPr>
        <w:t xml:space="preserve">he Court recalls that the Applicant alleges that the </w:t>
      </w:r>
      <w:r>
        <w:rPr>
          <w:sz w:val="24"/>
          <w:lang w:val="en-GB"/>
        </w:rPr>
        <w:t>challenged</w:t>
      </w:r>
      <w:r w:rsidRPr="002D4B79">
        <w:rPr>
          <w:sz w:val="24"/>
          <w:lang w:val="en-GB"/>
        </w:rPr>
        <w:t xml:space="preserve"> Judgment of the Court of Appeals was found to be in breach of its fundamental rights and freedoms guaranteed by Article 31 [Right to Fair and Impartial Trial] of the Constitution, in </w:t>
      </w:r>
      <w:r>
        <w:rPr>
          <w:sz w:val="24"/>
          <w:lang w:val="en-GB"/>
        </w:rPr>
        <w:t>conjunction</w:t>
      </w:r>
      <w:r w:rsidRPr="002D4B79">
        <w:rPr>
          <w:sz w:val="24"/>
          <w:lang w:val="en-GB"/>
        </w:rPr>
        <w:t xml:space="preserve"> with Article 6 (Right to a </w:t>
      </w:r>
      <w:r>
        <w:rPr>
          <w:sz w:val="24"/>
          <w:lang w:val="en-GB"/>
        </w:rPr>
        <w:t>fair trial</w:t>
      </w:r>
      <w:r w:rsidRPr="002D4B79">
        <w:rPr>
          <w:sz w:val="24"/>
          <w:lang w:val="en-GB"/>
        </w:rPr>
        <w:t>) of th</w:t>
      </w:r>
      <w:r>
        <w:rPr>
          <w:sz w:val="24"/>
          <w:lang w:val="en-GB"/>
        </w:rPr>
        <w:t>e ECHR. In relation his allegation</w:t>
      </w:r>
      <w:r w:rsidRPr="002D4B79">
        <w:rPr>
          <w:sz w:val="24"/>
          <w:lang w:val="en-GB"/>
        </w:rPr>
        <w:t xml:space="preserve"> for violation of his right to fair and impartial trial, the </w:t>
      </w:r>
      <w:r>
        <w:rPr>
          <w:sz w:val="24"/>
          <w:lang w:val="en-GB"/>
        </w:rPr>
        <w:t>A</w:t>
      </w:r>
      <w:r w:rsidRPr="002D4B79">
        <w:rPr>
          <w:sz w:val="24"/>
          <w:lang w:val="en-GB"/>
        </w:rPr>
        <w:t xml:space="preserve">pplicant specifically </w:t>
      </w:r>
      <w:r>
        <w:rPr>
          <w:sz w:val="24"/>
          <w:lang w:val="en-GB"/>
        </w:rPr>
        <w:t>alleges</w:t>
      </w:r>
      <w:r w:rsidRPr="002D4B79">
        <w:rPr>
          <w:sz w:val="24"/>
          <w:lang w:val="en-GB"/>
        </w:rPr>
        <w:t xml:space="preserve"> (</w:t>
      </w:r>
      <w:proofErr w:type="spellStart"/>
      <w:r w:rsidRPr="002D4B79">
        <w:rPr>
          <w:sz w:val="24"/>
          <w:lang w:val="en-GB"/>
        </w:rPr>
        <w:t>i</w:t>
      </w:r>
      <w:proofErr w:type="spellEnd"/>
      <w:r w:rsidRPr="002D4B79">
        <w:rPr>
          <w:sz w:val="24"/>
          <w:lang w:val="en-GB"/>
        </w:rPr>
        <w:t xml:space="preserve">) a violation of the right to a reasoned court decision and (ii) a violation of the principle of </w:t>
      </w:r>
      <w:r>
        <w:rPr>
          <w:sz w:val="24"/>
          <w:lang w:val="en-GB"/>
        </w:rPr>
        <w:t>legal certainty</w:t>
      </w:r>
      <w:r w:rsidRPr="002D4B79">
        <w:rPr>
          <w:sz w:val="24"/>
          <w:lang w:val="en-GB"/>
        </w:rPr>
        <w:t xml:space="preserve"> as a result of divergence in the relevant case law of the Court of Appeals and the Supreme Court</w:t>
      </w:r>
      <w:r w:rsidR="00FF271B" w:rsidRPr="00314A8D">
        <w:rPr>
          <w:bCs/>
          <w:sz w:val="24"/>
          <w:lang w:val="en-GB"/>
        </w:rPr>
        <w:t>.</w:t>
      </w:r>
    </w:p>
    <w:p w:rsidR="00D84302" w:rsidRPr="00314A8D" w:rsidRDefault="00D84302" w:rsidP="00A06B9C">
      <w:pPr>
        <w:autoSpaceDE w:val="0"/>
        <w:autoSpaceDN w:val="0"/>
        <w:adjustRightInd w:val="0"/>
        <w:spacing w:line="240" w:lineRule="auto"/>
        <w:ind w:left="540"/>
        <w:rPr>
          <w:rFonts w:cs="TimesNewRomanPSMT"/>
          <w:sz w:val="24"/>
          <w:lang w:val="en-GB"/>
        </w:rPr>
      </w:pPr>
    </w:p>
    <w:p w:rsidR="00D84302" w:rsidRPr="00314A8D" w:rsidRDefault="002D4B79" w:rsidP="00A06B9C">
      <w:pPr>
        <w:pStyle w:val="ListParagraph"/>
        <w:numPr>
          <w:ilvl w:val="0"/>
          <w:numId w:val="63"/>
        </w:numPr>
        <w:spacing w:line="240" w:lineRule="auto"/>
        <w:ind w:left="630" w:hanging="630"/>
        <w:rPr>
          <w:rFonts w:cs="TimesNewRomanPSMT"/>
          <w:sz w:val="24"/>
          <w:lang w:val="en-GB"/>
        </w:rPr>
      </w:pPr>
      <w:r>
        <w:rPr>
          <w:sz w:val="24"/>
          <w:lang w:val="en-GB"/>
        </w:rPr>
        <w:t>As regards</w:t>
      </w:r>
      <w:r w:rsidRPr="002D4B79">
        <w:rPr>
          <w:sz w:val="24"/>
          <w:lang w:val="en-GB"/>
        </w:rPr>
        <w:t xml:space="preserve"> the allegation of non-</w:t>
      </w:r>
      <w:r>
        <w:rPr>
          <w:sz w:val="24"/>
          <w:lang w:val="en-GB"/>
        </w:rPr>
        <w:t>reasoning</w:t>
      </w:r>
      <w:r w:rsidRPr="002D4B79">
        <w:rPr>
          <w:sz w:val="24"/>
          <w:lang w:val="en-GB"/>
        </w:rPr>
        <w:t xml:space="preserve"> of the court decision, the </w:t>
      </w:r>
      <w:r>
        <w:rPr>
          <w:sz w:val="24"/>
          <w:lang w:val="en-GB"/>
        </w:rPr>
        <w:t>A</w:t>
      </w:r>
      <w:r w:rsidRPr="002D4B79">
        <w:rPr>
          <w:sz w:val="24"/>
          <w:lang w:val="en-GB"/>
        </w:rPr>
        <w:t xml:space="preserve">pplicant specifically </w:t>
      </w:r>
      <w:r>
        <w:rPr>
          <w:sz w:val="24"/>
          <w:lang w:val="en-GB"/>
        </w:rPr>
        <w:t>alleges</w:t>
      </w:r>
      <w:r w:rsidRPr="002D4B79">
        <w:rPr>
          <w:sz w:val="24"/>
          <w:lang w:val="en-GB"/>
        </w:rPr>
        <w:t xml:space="preserve"> that the Court of Appeals has not </w:t>
      </w:r>
      <w:proofErr w:type="spellStart"/>
      <w:r w:rsidRPr="002D4B79">
        <w:rPr>
          <w:sz w:val="24"/>
          <w:lang w:val="en-GB"/>
        </w:rPr>
        <w:t>analyzed</w:t>
      </w:r>
      <w:proofErr w:type="spellEnd"/>
      <w:r w:rsidRPr="002D4B79">
        <w:rPr>
          <w:sz w:val="24"/>
          <w:lang w:val="en-GB"/>
        </w:rPr>
        <w:t xml:space="preserve"> his </w:t>
      </w:r>
      <w:r>
        <w:rPr>
          <w:sz w:val="24"/>
          <w:lang w:val="en-GB"/>
        </w:rPr>
        <w:t xml:space="preserve">allegations on all </w:t>
      </w:r>
      <w:r w:rsidR="004132DF">
        <w:rPr>
          <w:sz w:val="24"/>
          <w:lang w:val="en-GB"/>
        </w:rPr>
        <w:t xml:space="preserve">issues </w:t>
      </w:r>
      <w:r w:rsidR="004132DF" w:rsidRPr="002D4B79">
        <w:rPr>
          <w:sz w:val="24"/>
          <w:lang w:val="en-GB"/>
        </w:rPr>
        <w:t>raised</w:t>
      </w:r>
      <w:r w:rsidRPr="002D4B79">
        <w:rPr>
          <w:sz w:val="24"/>
          <w:lang w:val="en-GB"/>
        </w:rPr>
        <w:t xml:space="preserve"> in his appeal, in particular in the </w:t>
      </w:r>
      <w:r>
        <w:rPr>
          <w:sz w:val="24"/>
          <w:lang w:val="en-GB"/>
        </w:rPr>
        <w:t>issue</w:t>
      </w:r>
      <w:r w:rsidRPr="002D4B79">
        <w:rPr>
          <w:sz w:val="24"/>
          <w:lang w:val="en-GB"/>
        </w:rPr>
        <w:t xml:space="preserve"> concerning the refusal to recognize his right to subrogation. Secondly, the </w:t>
      </w:r>
      <w:r w:rsidR="004132DF">
        <w:rPr>
          <w:sz w:val="24"/>
          <w:lang w:val="en-GB"/>
        </w:rPr>
        <w:t>A</w:t>
      </w:r>
      <w:r w:rsidRPr="002D4B79">
        <w:rPr>
          <w:sz w:val="24"/>
          <w:lang w:val="en-GB"/>
        </w:rPr>
        <w:t xml:space="preserve">pplicant also considers that the </w:t>
      </w:r>
      <w:r w:rsidR="004132DF">
        <w:rPr>
          <w:sz w:val="24"/>
          <w:lang w:val="en-GB"/>
        </w:rPr>
        <w:t>challenged</w:t>
      </w:r>
      <w:r w:rsidRPr="002D4B79">
        <w:rPr>
          <w:sz w:val="24"/>
          <w:lang w:val="en-GB"/>
        </w:rPr>
        <w:t xml:space="preserve"> decision violated the principle of legal certainty, as a result of divergence in the relevant case law of the Court of Appeals and the Supreme Court.</w:t>
      </w:r>
    </w:p>
    <w:p w:rsidR="00D84302" w:rsidRPr="00314A8D" w:rsidRDefault="00D84302" w:rsidP="00A06B9C">
      <w:pPr>
        <w:pStyle w:val="ListParagraph"/>
        <w:spacing w:line="240" w:lineRule="auto"/>
        <w:rPr>
          <w:rFonts w:cs="TimesNewRomanPSMT"/>
          <w:sz w:val="24"/>
          <w:lang w:val="en-GB"/>
        </w:rPr>
      </w:pPr>
    </w:p>
    <w:p w:rsidR="00D84302" w:rsidRPr="00314A8D" w:rsidRDefault="004132DF" w:rsidP="00A06B9C">
      <w:pPr>
        <w:pStyle w:val="ListParagraph"/>
        <w:numPr>
          <w:ilvl w:val="0"/>
          <w:numId w:val="63"/>
        </w:numPr>
        <w:spacing w:line="240" w:lineRule="auto"/>
        <w:ind w:left="630" w:hanging="630"/>
        <w:rPr>
          <w:sz w:val="24"/>
          <w:lang w:val="en-GB"/>
        </w:rPr>
      </w:pPr>
      <w:r>
        <w:rPr>
          <w:sz w:val="24"/>
          <w:lang w:val="en-GB"/>
        </w:rPr>
        <w:t xml:space="preserve">Therefore, the </w:t>
      </w:r>
      <w:r w:rsidRPr="004132DF">
        <w:rPr>
          <w:sz w:val="24"/>
          <w:lang w:val="en-GB"/>
        </w:rPr>
        <w:t xml:space="preserve">Court </w:t>
      </w:r>
      <w:r>
        <w:rPr>
          <w:sz w:val="24"/>
          <w:lang w:val="en-GB"/>
        </w:rPr>
        <w:t xml:space="preserve">shall </w:t>
      </w:r>
      <w:r w:rsidRPr="004132DF">
        <w:rPr>
          <w:sz w:val="24"/>
          <w:lang w:val="en-GB"/>
        </w:rPr>
        <w:t xml:space="preserve">subsequently </w:t>
      </w:r>
      <w:r>
        <w:rPr>
          <w:sz w:val="24"/>
          <w:lang w:val="en-GB"/>
        </w:rPr>
        <w:t>elaborate on</w:t>
      </w:r>
      <w:r w:rsidRPr="004132DF">
        <w:rPr>
          <w:sz w:val="24"/>
          <w:lang w:val="en-GB"/>
        </w:rPr>
        <w:t xml:space="preserve"> the </w:t>
      </w:r>
      <w:r>
        <w:rPr>
          <w:sz w:val="24"/>
          <w:lang w:val="en-GB"/>
        </w:rPr>
        <w:t>A</w:t>
      </w:r>
      <w:r w:rsidRPr="004132DF">
        <w:rPr>
          <w:sz w:val="24"/>
          <w:lang w:val="en-GB"/>
        </w:rPr>
        <w:t xml:space="preserve">pplicant's </w:t>
      </w:r>
      <w:r>
        <w:rPr>
          <w:sz w:val="24"/>
          <w:lang w:val="en-GB"/>
        </w:rPr>
        <w:t>allegations</w:t>
      </w:r>
      <w:r w:rsidRPr="004132DF">
        <w:rPr>
          <w:sz w:val="24"/>
          <w:lang w:val="en-GB"/>
        </w:rPr>
        <w:t xml:space="preserve"> concerning the right to a reasoned </w:t>
      </w:r>
      <w:r>
        <w:rPr>
          <w:sz w:val="24"/>
          <w:lang w:val="en-GB"/>
        </w:rPr>
        <w:t>court</w:t>
      </w:r>
      <w:r w:rsidRPr="004132DF">
        <w:rPr>
          <w:sz w:val="24"/>
          <w:lang w:val="en-GB"/>
        </w:rPr>
        <w:t xml:space="preserve"> decision and the principle of legal certainty as a result of divergence in the relevant case law of the Court of Appeals and the Supreme Court in the light of procedural guarantees guaranteed by Article 31 of the Constitution in </w:t>
      </w:r>
      <w:r>
        <w:rPr>
          <w:sz w:val="24"/>
          <w:lang w:val="en-GB"/>
        </w:rPr>
        <w:t>conjunction with</w:t>
      </w:r>
      <w:r w:rsidRPr="004132DF">
        <w:rPr>
          <w:sz w:val="24"/>
          <w:lang w:val="en-GB"/>
        </w:rPr>
        <w:t xml:space="preserve"> Article 6 of the ECHR, which have been interpreted in detail through the </w:t>
      </w:r>
      <w:r>
        <w:rPr>
          <w:sz w:val="24"/>
          <w:lang w:val="en-GB"/>
        </w:rPr>
        <w:t>case law</w:t>
      </w:r>
      <w:r w:rsidRPr="004132DF">
        <w:rPr>
          <w:sz w:val="24"/>
          <w:lang w:val="en-GB"/>
        </w:rPr>
        <w:t xml:space="preserve"> of the </w:t>
      </w:r>
      <w:proofErr w:type="spellStart"/>
      <w:r w:rsidRPr="004132DF">
        <w:rPr>
          <w:sz w:val="24"/>
          <w:lang w:val="en-GB"/>
        </w:rPr>
        <w:t>ECtHR</w:t>
      </w:r>
      <w:proofErr w:type="spellEnd"/>
      <w:r w:rsidRPr="004132DF">
        <w:rPr>
          <w:sz w:val="24"/>
          <w:lang w:val="en-GB"/>
        </w:rPr>
        <w:t xml:space="preserve">, in accordance with which, the Court </w:t>
      </w:r>
      <w:r w:rsidR="008078A6">
        <w:rPr>
          <w:sz w:val="24"/>
          <w:lang w:val="en-GB"/>
        </w:rPr>
        <w:t>pursuant to</w:t>
      </w:r>
      <w:r w:rsidRPr="004132DF">
        <w:rPr>
          <w:sz w:val="24"/>
          <w:lang w:val="en-GB"/>
        </w:rPr>
        <w:t xml:space="preserve"> Article 53 [Interpretation of </w:t>
      </w:r>
      <w:r w:rsidR="008078A6">
        <w:rPr>
          <w:sz w:val="24"/>
          <w:lang w:val="en-GB"/>
        </w:rPr>
        <w:t>Human Rights Provisions</w:t>
      </w:r>
      <w:r w:rsidRPr="004132DF">
        <w:rPr>
          <w:sz w:val="24"/>
          <w:lang w:val="en-GB"/>
        </w:rPr>
        <w:t>] of the Constitution, is obliged to interpret the fundamental rights and freedoms guaranteed by the Constitution</w:t>
      </w:r>
      <w:r w:rsidR="00FF271B" w:rsidRPr="00314A8D">
        <w:rPr>
          <w:sz w:val="24"/>
          <w:lang w:val="en-GB"/>
        </w:rPr>
        <w:t xml:space="preserve">. </w:t>
      </w:r>
    </w:p>
    <w:p w:rsidR="00D84302" w:rsidRPr="00314A8D" w:rsidRDefault="00D84302" w:rsidP="00A06B9C">
      <w:pPr>
        <w:spacing w:line="240" w:lineRule="auto"/>
        <w:ind w:left="567"/>
        <w:rPr>
          <w:sz w:val="24"/>
          <w:lang w:val="en-GB"/>
        </w:rPr>
      </w:pPr>
    </w:p>
    <w:p w:rsidR="00D84302" w:rsidRPr="00314A8D" w:rsidRDefault="008078A6" w:rsidP="00A06B9C">
      <w:pPr>
        <w:pStyle w:val="ListParagraph"/>
        <w:numPr>
          <w:ilvl w:val="0"/>
          <w:numId w:val="63"/>
        </w:numPr>
        <w:spacing w:line="240" w:lineRule="auto"/>
        <w:ind w:left="630" w:hanging="630"/>
        <w:rPr>
          <w:sz w:val="24"/>
          <w:lang w:val="en-GB"/>
        </w:rPr>
      </w:pPr>
      <w:r w:rsidRPr="008078A6">
        <w:rPr>
          <w:sz w:val="24"/>
          <w:lang w:val="en-GB"/>
        </w:rPr>
        <w:t>In this regard, the Court refers to Article 31 [Right to Fair and Impartial Trial] of the Constitution, which provides</w:t>
      </w:r>
      <w:r w:rsidR="00FF271B" w:rsidRPr="00314A8D">
        <w:rPr>
          <w:sz w:val="24"/>
          <w:lang w:val="en-GB"/>
        </w:rPr>
        <w:t>:</w:t>
      </w:r>
    </w:p>
    <w:p w:rsidR="00D84302" w:rsidRPr="00314A8D" w:rsidRDefault="00D84302" w:rsidP="00A06B9C">
      <w:pPr>
        <w:spacing w:line="240" w:lineRule="auto"/>
        <w:ind w:left="720"/>
        <w:rPr>
          <w:i/>
          <w:sz w:val="24"/>
          <w:lang w:val="en-GB"/>
        </w:rPr>
      </w:pPr>
    </w:p>
    <w:p w:rsidR="00D84302" w:rsidRPr="008078A6" w:rsidRDefault="00FF271B" w:rsidP="00A06B9C">
      <w:pPr>
        <w:autoSpaceDE w:val="0"/>
        <w:autoSpaceDN w:val="0"/>
        <w:adjustRightInd w:val="0"/>
        <w:spacing w:line="240" w:lineRule="auto"/>
        <w:ind w:left="990"/>
        <w:rPr>
          <w:i/>
          <w:sz w:val="24"/>
        </w:rPr>
      </w:pPr>
      <w:r w:rsidRPr="008078A6">
        <w:rPr>
          <w:i/>
          <w:sz w:val="24"/>
          <w:lang w:val="en-GB"/>
        </w:rPr>
        <w:t xml:space="preserve">“1. </w:t>
      </w:r>
      <w:proofErr w:type="spellStart"/>
      <w:r w:rsidR="008078A6" w:rsidRPr="008078A6">
        <w:rPr>
          <w:i/>
          <w:sz w:val="24"/>
        </w:rPr>
        <w:t>Everyone</w:t>
      </w:r>
      <w:proofErr w:type="spellEnd"/>
      <w:r w:rsidR="008078A6" w:rsidRPr="008078A6">
        <w:rPr>
          <w:i/>
          <w:sz w:val="24"/>
        </w:rPr>
        <w:t xml:space="preserve"> shall be </w:t>
      </w:r>
      <w:proofErr w:type="spellStart"/>
      <w:r w:rsidR="008078A6" w:rsidRPr="008078A6">
        <w:rPr>
          <w:i/>
          <w:sz w:val="24"/>
        </w:rPr>
        <w:t>guaranteed</w:t>
      </w:r>
      <w:proofErr w:type="spellEnd"/>
      <w:r w:rsidR="008078A6" w:rsidRPr="008078A6">
        <w:rPr>
          <w:i/>
          <w:sz w:val="24"/>
        </w:rPr>
        <w:t xml:space="preserve"> </w:t>
      </w:r>
      <w:proofErr w:type="spellStart"/>
      <w:r w:rsidR="008078A6" w:rsidRPr="008078A6">
        <w:rPr>
          <w:i/>
          <w:sz w:val="24"/>
        </w:rPr>
        <w:t>equal</w:t>
      </w:r>
      <w:proofErr w:type="spellEnd"/>
      <w:r w:rsidR="008078A6" w:rsidRPr="008078A6">
        <w:rPr>
          <w:i/>
          <w:sz w:val="24"/>
        </w:rPr>
        <w:t xml:space="preserve"> </w:t>
      </w:r>
      <w:proofErr w:type="spellStart"/>
      <w:r w:rsidR="008078A6" w:rsidRPr="008078A6">
        <w:rPr>
          <w:i/>
          <w:sz w:val="24"/>
        </w:rPr>
        <w:t>protection</w:t>
      </w:r>
      <w:proofErr w:type="spellEnd"/>
      <w:r w:rsidR="008078A6" w:rsidRPr="008078A6">
        <w:rPr>
          <w:i/>
          <w:sz w:val="24"/>
        </w:rPr>
        <w:t xml:space="preserve"> </w:t>
      </w:r>
      <w:proofErr w:type="spellStart"/>
      <w:r w:rsidR="008078A6" w:rsidRPr="008078A6">
        <w:rPr>
          <w:i/>
          <w:sz w:val="24"/>
        </w:rPr>
        <w:t>of</w:t>
      </w:r>
      <w:proofErr w:type="spellEnd"/>
      <w:r w:rsidR="008078A6" w:rsidRPr="008078A6">
        <w:rPr>
          <w:i/>
          <w:sz w:val="24"/>
        </w:rPr>
        <w:t xml:space="preserve"> </w:t>
      </w:r>
      <w:proofErr w:type="spellStart"/>
      <w:r w:rsidR="008078A6" w:rsidRPr="008078A6">
        <w:rPr>
          <w:i/>
          <w:sz w:val="24"/>
        </w:rPr>
        <w:t>rights</w:t>
      </w:r>
      <w:proofErr w:type="spellEnd"/>
      <w:r w:rsidR="008078A6" w:rsidRPr="008078A6">
        <w:rPr>
          <w:i/>
          <w:sz w:val="24"/>
        </w:rPr>
        <w:t xml:space="preserve"> in the </w:t>
      </w:r>
      <w:proofErr w:type="spellStart"/>
      <w:r w:rsidR="008078A6" w:rsidRPr="008078A6">
        <w:rPr>
          <w:i/>
          <w:sz w:val="24"/>
        </w:rPr>
        <w:t>proceedings</w:t>
      </w:r>
      <w:proofErr w:type="spellEnd"/>
      <w:r w:rsidR="008078A6" w:rsidRPr="008078A6">
        <w:rPr>
          <w:i/>
          <w:sz w:val="24"/>
        </w:rPr>
        <w:t xml:space="preserve"> </w:t>
      </w:r>
      <w:proofErr w:type="spellStart"/>
      <w:r w:rsidR="008078A6" w:rsidRPr="008078A6">
        <w:rPr>
          <w:i/>
          <w:sz w:val="24"/>
        </w:rPr>
        <w:t>before</w:t>
      </w:r>
      <w:proofErr w:type="spellEnd"/>
      <w:r w:rsidR="008078A6" w:rsidRPr="008078A6">
        <w:rPr>
          <w:i/>
          <w:sz w:val="24"/>
        </w:rPr>
        <w:t xml:space="preserve"> </w:t>
      </w:r>
      <w:proofErr w:type="spellStart"/>
      <w:r w:rsidR="008078A6" w:rsidRPr="008078A6">
        <w:rPr>
          <w:i/>
          <w:sz w:val="24"/>
        </w:rPr>
        <w:t>courts</w:t>
      </w:r>
      <w:proofErr w:type="spellEnd"/>
      <w:r w:rsidR="008078A6" w:rsidRPr="008078A6">
        <w:rPr>
          <w:i/>
          <w:sz w:val="24"/>
        </w:rPr>
        <w:t xml:space="preserve">, </w:t>
      </w:r>
      <w:proofErr w:type="spellStart"/>
      <w:r w:rsidR="008078A6" w:rsidRPr="008078A6">
        <w:rPr>
          <w:i/>
          <w:sz w:val="24"/>
        </w:rPr>
        <w:t>other</w:t>
      </w:r>
      <w:proofErr w:type="spellEnd"/>
      <w:r w:rsidR="008078A6" w:rsidRPr="008078A6">
        <w:rPr>
          <w:i/>
          <w:sz w:val="24"/>
        </w:rPr>
        <w:t xml:space="preserve"> </w:t>
      </w:r>
      <w:proofErr w:type="spellStart"/>
      <w:r w:rsidR="008078A6" w:rsidRPr="008078A6">
        <w:rPr>
          <w:i/>
          <w:sz w:val="24"/>
        </w:rPr>
        <w:t>state</w:t>
      </w:r>
      <w:proofErr w:type="spellEnd"/>
      <w:r w:rsidR="008078A6" w:rsidRPr="008078A6">
        <w:rPr>
          <w:i/>
          <w:sz w:val="24"/>
        </w:rPr>
        <w:t xml:space="preserve"> </w:t>
      </w:r>
      <w:proofErr w:type="spellStart"/>
      <w:r w:rsidR="008078A6" w:rsidRPr="008078A6">
        <w:rPr>
          <w:i/>
          <w:sz w:val="24"/>
        </w:rPr>
        <w:t>authorities</w:t>
      </w:r>
      <w:proofErr w:type="spellEnd"/>
      <w:r w:rsidR="008078A6" w:rsidRPr="008078A6">
        <w:rPr>
          <w:i/>
          <w:sz w:val="24"/>
        </w:rPr>
        <w:t xml:space="preserve"> </w:t>
      </w:r>
      <w:proofErr w:type="spellStart"/>
      <w:r w:rsidR="008078A6" w:rsidRPr="008078A6">
        <w:rPr>
          <w:i/>
          <w:sz w:val="24"/>
        </w:rPr>
        <w:t>and</w:t>
      </w:r>
      <w:proofErr w:type="spellEnd"/>
      <w:r w:rsidR="008078A6" w:rsidRPr="008078A6">
        <w:rPr>
          <w:i/>
          <w:sz w:val="24"/>
        </w:rPr>
        <w:t xml:space="preserve"> </w:t>
      </w:r>
      <w:proofErr w:type="spellStart"/>
      <w:r w:rsidR="008078A6" w:rsidRPr="008078A6">
        <w:rPr>
          <w:i/>
          <w:sz w:val="24"/>
        </w:rPr>
        <w:t>holders</w:t>
      </w:r>
      <w:proofErr w:type="spellEnd"/>
      <w:r w:rsidR="008078A6" w:rsidRPr="008078A6">
        <w:rPr>
          <w:i/>
          <w:sz w:val="24"/>
        </w:rPr>
        <w:t xml:space="preserve"> </w:t>
      </w:r>
      <w:proofErr w:type="spellStart"/>
      <w:r w:rsidR="008078A6" w:rsidRPr="008078A6">
        <w:rPr>
          <w:i/>
          <w:sz w:val="24"/>
        </w:rPr>
        <w:t>of</w:t>
      </w:r>
      <w:proofErr w:type="spellEnd"/>
      <w:r w:rsidR="008078A6" w:rsidRPr="008078A6">
        <w:rPr>
          <w:i/>
          <w:sz w:val="24"/>
        </w:rPr>
        <w:t xml:space="preserve"> </w:t>
      </w:r>
      <w:proofErr w:type="spellStart"/>
      <w:r w:rsidR="008078A6" w:rsidRPr="008078A6">
        <w:rPr>
          <w:i/>
          <w:sz w:val="24"/>
        </w:rPr>
        <w:t>public</w:t>
      </w:r>
      <w:proofErr w:type="spellEnd"/>
      <w:r w:rsidR="008078A6" w:rsidRPr="008078A6">
        <w:rPr>
          <w:i/>
          <w:sz w:val="24"/>
        </w:rPr>
        <w:t xml:space="preserve"> </w:t>
      </w:r>
      <w:proofErr w:type="spellStart"/>
      <w:r w:rsidR="008078A6" w:rsidRPr="008078A6">
        <w:rPr>
          <w:i/>
          <w:sz w:val="24"/>
        </w:rPr>
        <w:t>powers</w:t>
      </w:r>
      <w:proofErr w:type="spellEnd"/>
      <w:r w:rsidRPr="008078A6">
        <w:rPr>
          <w:i/>
          <w:sz w:val="24"/>
          <w:lang w:val="en-GB"/>
        </w:rPr>
        <w:t xml:space="preserve">. </w:t>
      </w:r>
    </w:p>
    <w:p w:rsidR="00D84302" w:rsidRPr="00314A8D" w:rsidRDefault="00D84302" w:rsidP="00A06B9C">
      <w:pPr>
        <w:spacing w:line="240" w:lineRule="auto"/>
        <w:ind w:left="720"/>
        <w:rPr>
          <w:i/>
          <w:sz w:val="24"/>
          <w:lang w:val="en-GB"/>
        </w:rPr>
      </w:pPr>
    </w:p>
    <w:p w:rsidR="00D84302" w:rsidRPr="008078A6" w:rsidRDefault="00FF271B" w:rsidP="00A06B9C">
      <w:pPr>
        <w:autoSpaceDE w:val="0"/>
        <w:autoSpaceDN w:val="0"/>
        <w:adjustRightInd w:val="0"/>
        <w:spacing w:line="240" w:lineRule="auto"/>
        <w:ind w:left="990"/>
        <w:rPr>
          <w:i/>
          <w:sz w:val="24"/>
        </w:rPr>
      </w:pPr>
      <w:r w:rsidRPr="008078A6">
        <w:rPr>
          <w:i/>
          <w:sz w:val="24"/>
          <w:lang w:val="en-GB"/>
        </w:rPr>
        <w:t xml:space="preserve">2. </w:t>
      </w:r>
      <w:proofErr w:type="spellStart"/>
      <w:r w:rsidR="008078A6" w:rsidRPr="008078A6">
        <w:rPr>
          <w:i/>
          <w:sz w:val="24"/>
        </w:rPr>
        <w:t>Everyone</w:t>
      </w:r>
      <w:proofErr w:type="spellEnd"/>
      <w:r w:rsidR="008078A6" w:rsidRPr="008078A6">
        <w:rPr>
          <w:i/>
          <w:sz w:val="24"/>
        </w:rPr>
        <w:t xml:space="preserve"> </w:t>
      </w:r>
      <w:proofErr w:type="spellStart"/>
      <w:r w:rsidR="008078A6" w:rsidRPr="008078A6">
        <w:rPr>
          <w:i/>
          <w:sz w:val="24"/>
        </w:rPr>
        <w:t>is</w:t>
      </w:r>
      <w:proofErr w:type="spellEnd"/>
      <w:r w:rsidR="008078A6" w:rsidRPr="008078A6">
        <w:rPr>
          <w:i/>
          <w:sz w:val="24"/>
        </w:rPr>
        <w:t xml:space="preserve"> </w:t>
      </w:r>
      <w:proofErr w:type="spellStart"/>
      <w:r w:rsidR="008078A6" w:rsidRPr="008078A6">
        <w:rPr>
          <w:i/>
          <w:sz w:val="24"/>
        </w:rPr>
        <w:t>entitled</w:t>
      </w:r>
      <w:proofErr w:type="spellEnd"/>
      <w:r w:rsidR="008078A6" w:rsidRPr="008078A6">
        <w:rPr>
          <w:i/>
          <w:sz w:val="24"/>
        </w:rPr>
        <w:t xml:space="preserve"> to a </w:t>
      </w:r>
      <w:proofErr w:type="spellStart"/>
      <w:r w:rsidR="008078A6" w:rsidRPr="008078A6">
        <w:rPr>
          <w:i/>
          <w:sz w:val="24"/>
        </w:rPr>
        <w:t>fair</w:t>
      </w:r>
      <w:proofErr w:type="spellEnd"/>
      <w:r w:rsidR="008078A6" w:rsidRPr="008078A6">
        <w:rPr>
          <w:i/>
          <w:sz w:val="24"/>
        </w:rPr>
        <w:t xml:space="preserve"> </w:t>
      </w:r>
      <w:proofErr w:type="spellStart"/>
      <w:r w:rsidR="008078A6" w:rsidRPr="008078A6">
        <w:rPr>
          <w:i/>
          <w:sz w:val="24"/>
        </w:rPr>
        <w:t>and</w:t>
      </w:r>
      <w:proofErr w:type="spellEnd"/>
      <w:r w:rsidR="008078A6" w:rsidRPr="008078A6">
        <w:rPr>
          <w:i/>
          <w:sz w:val="24"/>
        </w:rPr>
        <w:t xml:space="preserve"> </w:t>
      </w:r>
      <w:proofErr w:type="spellStart"/>
      <w:r w:rsidR="008078A6" w:rsidRPr="008078A6">
        <w:rPr>
          <w:i/>
          <w:sz w:val="24"/>
        </w:rPr>
        <w:t>impartial</w:t>
      </w:r>
      <w:proofErr w:type="spellEnd"/>
      <w:r w:rsidR="008078A6" w:rsidRPr="008078A6">
        <w:rPr>
          <w:i/>
          <w:sz w:val="24"/>
        </w:rPr>
        <w:t xml:space="preserve"> </w:t>
      </w:r>
      <w:proofErr w:type="spellStart"/>
      <w:r w:rsidR="008078A6" w:rsidRPr="008078A6">
        <w:rPr>
          <w:i/>
          <w:sz w:val="24"/>
        </w:rPr>
        <w:t>public</w:t>
      </w:r>
      <w:proofErr w:type="spellEnd"/>
      <w:r w:rsidR="008078A6" w:rsidRPr="008078A6">
        <w:rPr>
          <w:i/>
          <w:sz w:val="24"/>
        </w:rPr>
        <w:t xml:space="preserve"> </w:t>
      </w:r>
      <w:proofErr w:type="spellStart"/>
      <w:r w:rsidR="008078A6" w:rsidRPr="008078A6">
        <w:rPr>
          <w:i/>
          <w:sz w:val="24"/>
        </w:rPr>
        <w:t>hearing</w:t>
      </w:r>
      <w:proofErr w:type="spellEnd"/>
      <w:r w:rsidR="008078A6" w:rsidRPr="008078A6">
        <w:rPr>
          <w:i/>
          <w:sz w:val="24"/>
        </w:rPr>
        <w:t xml:space="preserve"> as to the </w:t>
      </w:r>
      <w:proofErr w:type="spellStart"/>
      <w:r w:rsidR="008078A6" w:rsidRPr="008078A6">
        <w:rPr>
          <w:i/>
          <w:sz w:val="24"/>
        </w:rPr>
        <w:t>determination</w:t>
      </w:r>
      <w:proofErr w:type="spellEnd"/>
      <w:r w:rsidR="008078A6" w:rsidRPr="008078A6">
        <w:rPr>
          <w:i/>
          <w:sz w:val="24"/>
        </w:rPr>
        <w:t xml:space="preserve"> </w:t>
      </w:r>
      <w:proofErr w:type="spellStart"/>
      <w:r w:rsidR="008078A6" w:rsidRPr="008078A6">
        <w:rPr>
          <w:i/>
          <w:sz w:val="24"/>
        </w:rPr>
        <w:t>of</w:t>
      </w:r>
      <w:proofErr w:type="spellEnd"/>
      <w:r w:rsidR="008078A6" w:rsidRPr="008078A6">
        <w:rPr>
          <w:i/>
          <w:sz w:val="24"/>
        </w:rPr>
        <w:t xml:space="preserve"> </w:t>
      </w:r>
      <w:proofErr w:type="spellStart"/>
      <w:r w:rsidR="008078A6" w:rsidRPr="008078A6">
        <w:rPr>
          <w:i/>
          <w:sz w:val="24"/>
        </w:rPr>
        <w:t>one’s</w:t>
      </w:r>
      <w:proofErr w:type="spellEnd"/>
      <w:r w:rsidR="008078A6" w:rsidRPr="008078A6">
        <w:rPr>
          <w:i/>
          <w:sz w:val="24"/>
        </w:rPr>
        <w:t xml:space="preserve"> </w:t>
      </w:r>
      <w:proofErr w:type="spellStart"/>
      <w:r w:rsidR="008078A6" w:rsidRPr="008078A6">
        <w:rPr>
          <w:i/>
          <w:sz w:val="24"/>
        </w:rPr>
        <w:t>rights</w:t>
      </w:r>
      <w:proofErr w:type="spellEnd"/>
      <w:r w:rsidR="008078A6" w:rsidRPr="008078A6">
        <w:rPr>
          <w:i/>
          <w:sz w:val="24"/>
        </w:rPr>
        <w:t xml:space="preserve"> </w:t>
      </w:r>
      <w:proofErr w:type="spellStart"/>
      <w:r w:rsidR="008078A6" w:rsidRPr="008078A6">
        <w:rPr>
          <w:i/>
          <w:sz w:val="24"/>
        </w:rPr>
        <w:t>and</w:t>
      </w:r>
      <w:proofErr w:type="spellEnd"/>
      <w:r w:rsidR="008078A6" w:rsidRPr="008078A6">
        <w:rPr>
          <w:i/>
          <w:sz w:val="24"/>
        </w:rPr>
        <w:t xml:space="preserve"> </w:t>
      </w:r>
      <w:proofErr w:type="spellStart"/>
      <w:r w:rsidR="008078A6" w:rsidRPr="008078A6">
        <w:rPr>
          <w:i/>
          <w:sz w:val="24"/>
        </w:rPr>
        <w:t>obligations</w:t>
      </w:r>
      <w:proofErr w:type="spellEnd"/>
      <w:r w:rsidR="008078A6" w:rsidRPr="008078A6">
        <w:rPr>
          <w:i/>
          <w:sz w:val="24"/>
        </w:rPr>
        <w:t xml:space="preserve"> or as to </w:t>
      </w:r>
      <w:proofErr w:type="spellStart"/>
      <w:r w:rsidR="008078A6" w:rsidRPr="008078A6">
        <w:rPr>
          <w:i/>
          <w:sz w:val="24"/>
        </w:rPr>
        <w:t>any</w:t>
      </w:r>
      <w:proofErr w:type="spellEnd"/>
      <w:r w:rsidR="008078A6" w:rsidRPr="008078A6">
        <w:rPr>
          <w:i/>
          <w:sz w:val="24"/>
        </w:rPr>
        <w:t xml:space="preserve"> </w:t>
      </w:r>
      <w:proofErr w:type="spellStart"/>
      <w:r w:rsidR="008078A6" w:rsidRPr="008078A6">
        <w:rPr>
          <w:i/>
          <w:sz w:val="24"/>
        </w:rPr>
        <w:t>criminal</w:t>
      </w:r>
      <w:proofErr w:type="spellEnd"/>
      <w:r w:rsidR="008078A6" w:rsidRPr="008078A6">
        <w:rPr>
          <w:i/>
          <w:sz w:val="24"/>
        </w:rPr>
        <w:t xml:space="preserve"> </w:t>
      </w:r>
      <w:proofErr w:type="spellStart"/>
      <w:r w:rsidR="008078A6" w:rsidRPr="008078A6">
        <w:rPr>
          <w:i/>
          <w:sz w:val="24"/>
        </w:rPr>
        <w:t>charges</w:t>
      </w:r>
      <w:proofErr w:type="spellEnd"/>
      <w:r w:rsidR="008078A6" w:rsidRPr="008078A6">
        <w:rPr>
          <w:i/>
          <w:sz w:val="24"/>
        </w:rPr>
        <w:t xml:space="preserve"> </w:t>
      </w:r>
      <w:proofErr w:type="spellStart"/>
      <w:r w:rsidR="008078A6" w:rsidRPr="008078A6">
        <w:rPr>
          <w:i/>
          <w:sz w:val="24"/>
        </w:rPr>
        <w:t>within</w:t>
      </w:r>
      <w:proofErr w:type="spellEnd"/>
      <w:r w:rsidR="008078A6" w:rsidRPr="008078A6">
        <w:rPr>
          <w:i/>
          <w:sz w:val="24"/>
        </w:rPr>
        <w:t xml:space="preserve"> a </w:t>
      </w:r>
      <w:proofErr w:type="spellStart"/>
      <w:r w:rsidR="008078A6" w:rsidRPr="008078A6">
        <w:rPr>
          <w:i/>
          <w:sz w:val="24"/>
        </w:rPr>
        <w:t>reasonable</w:t>
      </w:r>
      <w:proofErr w:type="spellEnd"/>
      <w:r w:rsidR="008078A6" w:rsidRPr="008078A6">
        <w:rPr>
          <w:i/>
          <w:sz w:val="24"/>
        </w:rPr>
        <w:t xml:space="preserve"> time by an </w:t>
      </w:r>
      <w:proofErr w:type="spellStart"/>
      <w:r w:rsidR="008078A6" w:rsidRPr="008078A6">
        <w:rPr>
          <w:i/>
          <w:sz w:val="24"/>
        </w:rPr>
        <w:t>independent</w:t>
      </w:r>
      <w:proofErr w:type="spellEnd"/>
      <w:r w:rsidR="008078A6" w:rsidRPr="008078A6">
        <w:rPr>
          <w:i/>
          <w:sz w:val="24"/>
        </w:rPr>
        <w:t xml:space="preserve"> </w:t>
      </w:r>
      <w:proofErr w:type="spellStart"/>
      <w:r w:rsidR="008078A6" w:rsidRPr="008078A6">
        <w:rPr>
          <w:i/>
          <w:sz w:val="24"/>
        </w:rPr>
        <w:t>and</w:t>
      </w:r>
      <w:proofErr w:type="spellEnd"/>
      <w:r w:rsidR="008078A6" w:rsidRPr="008078A6">
        <w:rPr>
          <w:i/>
          <w:sz w:val="24"/>
        </w:rPr>
        <w:t xml:space="preserve"> </w:t>
      </w:r>
      <w:proofErr w:type="spellStart"/>
      <w:r w:rsidR="008078A6" w:rsidRPr="008078A6">
        <w:rPr>
          <w:i/>
          <w:sz w:val="24"/>
        </w:rPr>
        <w:t>impartial</w:t>
      </w:r>
      <w:proofErr w:type="spellEnd"/>
      <w:r w:rsidR="008078A6" w:rsidRPr="008078A6">
        <w:rPr>
          <w:i/>
          <w:sz w:val="24"/>
        </w:rPr>
        <w:t xml:space="preserve"> </w:t>
      </w:r>
      <w:proofErr w:type="spellStart"/>
      <w:r w:rsidR="008078A6" w:rsidRPr="008078A6">
        <w:rPr>
          <w:i/>
          <w:sz w:val="24"/>
        </w:rPr>
        <w:t>tribunal</w:t>
      </w:r>
      <w:proofErr w:type="spellEnd"/>
      <w:r w:rsidR="008078A6" w:rsidRPr="008078A6">
        <w:rPr>
          <w:i/>
          <w:sz w:val="24"/>
        </w:rPr>
        <w:t xml:space="preserve"> </w:t>
      </w:r>
      <w:proofErr w:type="spellStart"/>
      <w:r w:rsidR="008078A6" w:rsidRPr="008078A6">
        <w:rPr>
          <w:i/>
          <w:sz w:val="24"/>
        </w:rPr>
        <w:t>established</w:t>
      </w:r>
      <w:proofErr w:type="spellEnd"/>
      <w:r w:rsidR="008078A6" w:rsidRPr="008078A6">
        <w:rPr>
          <w:i/>
          <w:sz w:val="24"/>
        </w:rPr>
        <w:t xml:space="preserve"> by </w:t>
      </w:r>
      <w:proofErr w:type="spellStart"/>
      <w:r w:rsidR="008078A6" w:rsidRPr="008078A6">
        <w:rPr>
          <w:i/>
          <w:sz w:val="24"/>
        </w:rPr>
        <w:t>law</w:t>
      </w:r>
      <w:proofErr w:type="spellEnd"/>
      <w:r w:rsidRPr="008078A6">
        <w:rPr>
          <w:i/>
          <w:sz w:val="24"/>
          <w:lang w:val="en-GB"/>
        </w:rPr>
        <w:t>.”</w:t>
      </w:r>
    </w:p>
    <w:p w:rsidR="00D84302" w:rsidRPr="008078A6" w:rsidRDefault="00D84302" w:rsidP="00A06B9C">
      <w:pPr>
        <w:pStyle w:val="ListParagraph"/>
        <w:spacing w:line="240" w:lineRule="auto"/>
        <w:ind w:left="540" w:hanging="540"/>
        <w:rPr>
          <w:i/>
          <w:sz w:val="24"/>
          <w:lang w:val="en-GB"/>
        </w:rPr>
      </w:pPr>
    </w:p>
    <w:p w:rsidR="00D84302" w:rsidRPr="00314A8D" w:rsidRDefault="008078A6" w:rsidP="00A06B9C">
      <w:pPr>
        <w:pStyle w:val="ListParagraph"/>
        <w:numPr>
          <w:ilvl w:val="0"/>
          <w:numId w:val="63"/>
        </w:numPr>
        <w:spacing w:line="240" w:lineRule="auto"/>
        <w:ind w:left="630" w:hanging="630"/>
        <w:rPr>
          <w:sz w:val="24"/>
          <w:lang w:val="en-GB"/>
        </w:rPr>
      </w:pPr>
      <w:r w:rsidRPr="008078A6">
        <w:rPr>
          <w:sz w:val="24"/>
          <w:lang w:val="en-GB"/>
        </w:rPr>
        <w:t xml:space="preserve">In addition, the Court refers to Article 6.1 (Right to a </w:t>
      </w:r>
      <w:r>
        <w:rPr>
          <w:sz w:val="24"/>
          <w:lang w:val="en-GB"/>
        </w:rPr>
        <w:t>fair trial</w:t>
      </w:r>
      <w:r w:rsidRPr="008078A6">
        <w:rPr>
          <w:sz w:val="24"/>
          <w:lang w:val="en-GB"/>
        </w:rPr>
        <w:t>) of the ECHR, which stipulates</w:t>
      </w:r>
      <w:r w:rsidR="00FF271B" w:rsidRPr="00314A8D">
        <w:rPr>
          <w:sz w:val="24"/>
          <w:lang w:val="en-GB"/>
        </w:rPr>
        <w:t>:</w:t>
      </w:r>
    </w:p>
    <w:p w:rsidR="00D84302" w:rsidRPr="00314A8D" w:rsidRDefault="00D84302" w:rsidP="00A06B9C">
      <w:pPr>
        <w:pStyle w:val="ListParagraph"/>
        <w:spacing w:line="240" w:lineRule="auto"/>
        <w:rPr>
          <w:i/>
          <w:sz w:val="24"/>
          <w:lang w:val="en-GB"/>
        </w:rPr>
      </w:pPr>
    </w:p>
    <w:p w:rsidR="00D84302" w:rsidRPr="008078A6" w:rsidRDefault="00FF271B" w:rsidP="00A06B9C">
      <w:pPr>
        <w:spacing w:line="240" w:lineRule="auto"/>
        <w:ind w:left="990"/>
        <w:rPr>
          <w:i/>
          <w:sz w:val="24"/>
        </w:rPr>
      </w:pPr>
      <w:r w:rsidRPr="008078A6">
        <w:rPr>
          <w:i/>
          <w:sz w:val="24"/>
          <w:lang w:val="en-GB"/>
        </w:rPr>
        <w:t>“</w:t>
      </w:r>
      <w:r w:rsidR="008078A6" w:rsidRPr="008078A6">
        <w:rPr>
          <w:rFonts w:cs="Futura Std Book"/>
          <w:i/>
          <w:color w:val="000000"/>
          <w:sz w:val="24"/>
        </w:rPr>
        <w:t xml:space="preserve">In the </w:t>
      </w:r>
      <w:proofErr w:type="spellStart"/>
      <w:r w:rsidR="008078A6" w:rsidRPr="008078A6">
        <w:rPr>
          <w:rFonts w:cs="Futura Std Book"/>
          <w:i/>
          <w:color w:val="000000"/>
          <w:sz w:val="24"/>
        </w:rPr>
        <w:t>determination</w:t>
      </w:r>
      <w:proofErr w:type="spellEnd"/>
      <w:r w:rsidR="008078A6" w:rsidRPr="008078A6">
        <w:rPr>
          <w:rFonts w:cs="Futura Std Book"/>
          <w:i/>
          <w:color w:val="000000"/>
          <w:sz w:val="24"/>
        </w:rPr>
        <w:t xml:space="preserve"> </w:t>
      </w:r>
      <w:proofErr w:type="spellStart"/>
      <w:r w:rsidR="008078A6" w:rsidRPr="008078A6">
        <w:rPr>
          <w:rFonts w:cs="Futura Std Book"/>
          <w:i/>
          <w:color w:val="000000"/>
          <w:sz w:val="24"/>
        </w:rPr>
        <w:t>of</w:t>
      </w:r>
      <w:proofErr w:type="spellEnd"/>
      <w:r w:rsidR="008078A6" w:rsidRPr="008078A6">
        <w:rPr>
          <w:rFonts w:cs="Futura Std Book"/>
          <w:i/>
          <w:color w:val="000000"/>
          <w:sz w:val="24"/>
        </w:rPr>
        <w:t xml:space="preserve"> </w:t>
      </w:r>
      <w:proofErr w:type="spellStart"/>
      <w:r w:rsidR="008078A6" w:rsidRPr="008078A6">
        <w:rPr>
          <w:rFonts w:cs="Futura Std Book"/>
          <w:i/>
          <w:color w:val="000000"/>
          <w:sz w:val="24"/>
        </w:rPr>
        <w:t>his</w:t>
      </w:r>
      <w:proofErr w:type="spellEnd"/>
      <w:r w:rsidR="008078A6" w:rsidRPr="008078A6">
        <w:rPr>
          <w:rFonts w:cs="Futura Std Book"/>
          <w:i/>
          <w:color w:val="000000"/>
          <w:sz w:val="24"/>
        </w:rPr>
        <w:t xml:space="preserve"> civil </w:t>
      </w:r>
      <w:proofErr w:type="spellStart"/>
      <w:r w:rsidR="008078A6" w:rsidRPr="008078A6">
        <w:rPr>
          <w:rFonts w:cs="Futura Std Book"/>
          <w:i/>
          <w:color w:val="000000"/>
          <w:sz w:val="24"/>
        </w:rPr>
        <w:t>rights</w:t>
      </w:r>
      <w:proofErr w:type="spellEnd"/>
      <w:r w:rsidR="008078A6" w:rsidRPr="008078A6">
        <w:rPr>
          <w:rFonts w:cs="Futura Std Book"/>
          <w:i/>
          <w:color w:val="000000"/>
          <w:sz w:val="24"/>
        </w:rPr>
        <w:t xml:space="preserve"> </w:t>
      </w:r>
      <w:proofErr w:type="spellStart"/>
      <w:r w:rsidR="008078A6" w:rsidRPr="008078A6">
        <w:rPr>
          <w:rFonts w:cs="Futura Std Book"/>
          <w:i/>
          <w:color w:val="000000"/>
          <w:sz w:val="24"/>
        </w:rPr>
        <w:t>and</w:t>
      </w:r>
      <w:proofErr w:type="spellEnd"/>
      <w:r w:rsidR="008078A6" w:rsidRPr="008078A6">
        <w:rPr>
          <w:rFonts w:cs="Futura Std Book"/>
          <w:i/>
          <w:color w:val="000000"/>
          <w:sz w:val="24"/>
        </w:rPr>
        <w:t xml:space="preserve"> </w:t>
      </w:r>
      <w:proofErr w:type="spellStart"/>
      <w:r w:rsidR="008078A6" w:rsidRPr="008078A6">
        <w:rPr>
          <w:rFonts w:cs="Futura Std Book"/>
          <w:i/>
          <w:color w:val="000000"/>
          <w:sz w:val="24"/>
        </w:rPr>
        <w:t>obligations</w:t>
      </w:r>
      <w:proofErr w:type="spellEnd"/>
      <w:r w:rsidR="008078A6" w:rsidRPr="008078A6">
        <w:rPr>
          <w:rFonts w:cs="Futura Std Book"/>
          <w:i/>
          <w:color w:val="000000"/>
          <w:sz w:val="24"/>
        </w:rPr>
        <w:t xml:space="preserve"> or </w:t>
      </w:r>
      <w:proofErr w:type="spellStart"/>
      <w:r w:rsidR="008078A6" w:rsidRPr="008078A6">
        <w:rPr>
          <w:rFonts w:cs="Futura Std Book"/>
          <w:i/>
          <w:color w:val="000000"/>
          <w:sz w:val="24"/>
        </w:rPr>
        <w:t>of</w:t>
      </w:r>
      <w:proofErr w:type="spellEnd"/>
      <w:r w:rsidR="008078A6" w:rsidRPr="008078A6">
        <w:rPr>
          <w:rFonts w:cs="Futura Std Book"/>
          <w:i/>
          <w:color w:val="000000"/>
          <w:sz w:val="24"/>
        </w:rPr>
        <w:t xml:space="preserve"> </w:t>
      </w:r>
      <w:proofErr w:type="spellStart"/>
      <w:r w:rsidR="008078A6" w:rsidRPr="008078A6">
        <w:rPr>
          <w:rFonts w:cs="Futura Std Book"/>
          <w:i/>
          <w:color w:val="000000"/>
          <w:sz w:val="24"/>
        </w:rPr>
        <w:t>any</w:t>
      </w:r>
      <w:proofErr w:type="spellEnd"/>
      <w:r w:rsidR="008078A6" w:rsidRPr="008078A6">
        <w:rPr>
          <w:rFonts w:cs="Futura Std Book"/>
          <w:i/>
          <w:color w:val="000000"/>
          <w:sz w:val="24"/>
        </w:rPr>
        <w:t xml:space="preserve"> </w:t>
      </w:r>
      <w:proofErr w:type="spellStart"/>
      <w:r w:rsidR="008078A6" w:rsidRPr="008078A6">
        <w:rPr>
          <w:rFonts w:cs="Futura Std Book"/>
          <w:i/>
          <w:color w:val="000000"/>
          <w:sz w:val="24"/>
        </w:rPr>
        <w:t>criminal</w:t>
      </w:r>
      <w:proofErr w:type="spellEnd"/>
      <w:r w:rsidR="008078A6" w:rsidRPr="008078A6">
        <w:rPr>
          <w:rFonts w:cs="Futura Std Book"/>
          <w:i/>
          <w:color w:val="000000"/>
          <w:sz w:val="24"/>
        </w:rPr>
        <w:t xml:space="preserve"> </w:t>
      </w:r>
      <w:proofErr w:type="spellStart"/>
      <w:r w:rsidR="008078A6" w:rsidRPr="008078A6">
        <w:rPr>
          <w:rFonts w:cs="Futura Std Book"/>
          <w:i/>
          <w:color w:val="000000"/>
          <w:sz w:val="24"/>
        </w:rPr>
        <w:t>charge</w:t>
      </w:r>
      <w:proofErr w:type="spellEnd"/>
      <w:r w:rsidR="008078A6" w:rsidRPr="008078A6">
        <w:rPr>
          <w:rFonts w:cs="Futura Std Book"/>
          <w:i/>
          <w:color w:val="000000"/>
          <w:sz w:val="24"/>
        </w:rPr>
        <w:t xml:space="preserve"> </w:t>
      </w:r>
      <w:proofErr w:type="spellStart"/>
      <w:r w:rsidR="008078A6" w:rsidRPr="008078A6">
        <w:rPr>
          <w:rFonts w:cs="Futura Std Book"/>
          <w:i/>
          <w:color w:val="000000"/>
          <w:sz w:val="24"/>
        </w:rPr>
        <w:t>against</w:t>
      </w:r>
      <w:proofErr w:type="spellEnd"/>
      <w:r w:rsidR="008078A6" w:rsidRPr="008078A6">
        <w:rPr>
          <w:rFonts w:cs="Futura Std Book"/>
          <w:i/>
          <w:color w:val="000000"/>
          <w:sz w:val="24"/>
        </w:rPr>
        <w:t xml:space="preserve"> </w:t>
      </w:r>
      <w:proofErr w:type="spellStart"/>
      <w:r w:rsidR="008078A6" w:rsidRPr="008078A6">
        <w:rPr>
          <w:rFonts w:cs="Futura Std Book"/>
          <w:i/>
          <w:color w:val="000000"/>
          <w:sz w:val="24"/>
        </w:rPr>
        <w:t>him</w:t>
      </w:r>
      <w:proofErr w:type="spellEnd"/>
      <w:r w:rsidR="008078A6" w:rsidRPr="008078A6">
        <w:rPr>
          <w:rFonts w:cs="Futura Std Book"/>
          <w:i/>
          <w:color w:val="000000"/>
          <w:sz w:val="24"/>
        </w:rPr>
        <w:t xml:space="preserve">, </w:t>
      </w:r>
      <w:proofErr w:type="spellStart"/>
      <w:r w:rsidR="008078A6" w:rsidRPr="008078A6">
        <w:rPr>
          <w:rFonts w:cs="Futura Std Book"/>
          <w:i/>
          <w:color w:val="000000"/>
          <w:sz w:val="24"/>
        </w:rPr>
        <w:t>everyone</w:t>
      </w:r>
      <w:proofErr w:type="spellEnd"/>
      <w:r w:rsidR="008078A6" w:rsidRPr="008078A6">
        <w:rPr>
          <w:rFonts w:cs="Futura Std Book"/>
          <w:i/>
          <w:color w:val="000000"/>
          <w:sz w:val="24"/>
        </w:rPr>
        <w:t xml:space="preserve"> </w:t>
      </w:r>
      <w:proofErr w:type="spellStart"/>
      <w:r w:rsidR="008078A6" w:rsidRPr="008078A6">
        <w:rPr>
          <w:rFonts w:cs="Futura Std Book"/>
          <w:i/>
          <w:color w:val="000000"/>
          <w:sz w:val="24"/>
        </w:rPr>
        <w:t>is</w:t>
      </w:r>
      <w:proofErr w:type="spellEnd"/>
      <w:r w:rsidR="008078A6" w:rsidRPr="008078A6">
        <w:rPr>
          <w:rFonts w:cs="Futura Std Book"/>
          <w:i/>
          <w:color w:val="000000"/>
          <w:sz w:val="24"/>
        </w:rPr>
        <w:t xml:space="preserve"> </w:t>
      </w:r>
      <w:proofErr w:type="spellStart"/>
      <w:r w:rsidR="008078A6" w:rsidRPr="008078A6">
        <w:rPr>
          <w:rFonts w:cs="Futura Std Book"/>
          <w:i/>
          <w:color w:val="000000"/>
          <w:sz w:val="24"/>
        </w:rPr>
        <w:t>entitled</w:t>
      </w:r>
      <w:proofErr w:type="spellEnd"/>
      <w:r w:rsidR="008078A6" w:rsidRPr="008078A6">
        <w:rPr>
          <w:rFonts w:cs="Futura Std Book"/>
          <w:i/>
          <w:color w:val="000000"/>
          <w:sz w:val="24"/>
        </w:rPr>
        <w:t xml:space="preserve"> to a </w:t>
      </w:r>
      <w:proofErr w:type="spellStart"/>
      <w:r w:rsidR="008078A6" w:rsidRPr="008078A6">
        <w:rPr>
          <w:rFonts w:cs="Futura Std Book"/>
          <w:i/>
          <w:color w:val="000000"/>
          <w:sz w:val="24"/>
        </w:rPr>
        <w:t>fair</w:t>
      </w:r>
      <w:proofErr w:type="spellEnd"/>
      <w:r w:rsidR="008078A6" w:rsidRPr="008078A6">
        <w:rPr>
          <w:rFonts w:cs="Futura Std Book"/>
          <w:i/>
          <w:color w:val="000000"/>
          <w:sz w:val="24"/>
        </w:rPr>
        <w:t xml:space="preserve"> </w:t>
      </w:r>
      <w:proofErr w:type="spellStart"/>
      <w:r w:rsidR="008078A6" w:rsidRPr="008078A6">
        <w:rPr>
          <w:rFonts w:cs="Futura Std Book"/>
          <w:i/>
          <w:color w:val="000000"/>
          <w:sz w:val="24"/>
        </w:rPr>
        <w:t>and</w:t>
      </w:r>
      <w:proofErr w:type="spellEnd"/>
      <w:r w:rsidR="008078A6" w:rsidRPr="008078A6">
        <w:rPr>
          <w:rFonts w:cs="Futura Std Book"/>
          <w:i/>
          <w:color w:val="000000"/>
          <w:sz w:val="24"/>
        </w:rPr>
        <w:t xml:space="preserve"> </w:t>
      </w:r>
      <w:proofErr w:type="spellStart"/>
      <w:r w:rsidR="008078A6" w:rsidRPr="008078A6">
        <w:rPr>
          <w:rFonts w:cs="Futura Std Book"/>
          <w:i/>
          <w:color w:val="000000"/>
          <w:sz w:val="24"/>
        </w:rPr>
        <w:t>public</w:t>
      </w:r>
      <w:proofErr w:type="spellEnd"/>
      <w:r w:rsidR="008078A6" w:rsidRPr="008078A6">
        <w:rPr>
          <w:rFonts w:cs="Futura Std Book"/>
          <w:i/>
          <w:color w:val="000000"/>
          <w:sz w:val="24"/>
        </w:rPr>
        <w:t xml:space="preserve"> </w:t>
      </w:r>
      <w:proofErr w:type="spellStart"/>
      <w:r w:rsidR="008078A6" w:rsidRPr="008078A6">
        <w:rPr>
          <w:rFonts w:cs="Futura Std Book"/>
          <w:i/>
          <w:color w:val="000000"/>
          <w:sz w:val="24"/>
        </w:rPr>
        <w:t>hearing</w:t>
      </w:r>
      <w:proofErr w:type="spellEnd"/>
      <w:r w:rsidR="008078A6" w:rsidRPr="008078A6">
        <w:rPr>
          <w:rFonts w:cs="Futura Std Book"/>
          <w:i/>
          <w:color w:val="000000"/>
          <w:sz w:val="24"/>
        </w:rPr>
        <w:t xml:space="preserve"> </w:t>
      </w:r>
      <w:proofErr w:type="spellStart"/>
      <w:r w:rsidR="008078A6" w:rsidRPr="008078A6">
        <w:rPr>
          <w:rFonts w:cs="Futura Std Book"/>
          <w:i/>
          <w:color w:val="000000"/>
          <w:sz w:val="24"/>
        </w:rPr>
        <w:t>within</w:t>
      </w:r>
      <w:proofErr w:type="spellEnd"/>
      <w:r w:rsidR="008078A6" w:rsidRPr="008078A6">
        <w:rPr>
          <w:rFonts w:cs="Futura Std Book"/>
          <w:i/>
          <w:color w:val="000000"/>
          <w:sz w:val="24"/>
        </w:rPr>
        <w:t xml:space="preserve"> a </w:t>
      </w:r>
      <w:proofErr w:type="spellStart"/>
      <w:r w:rsidR="008078A6" w:rsidRPr="008078A6">
        <w:rPr>
          <w:rFonts w:cs="Futura Std Book"/>
          <w:i/>
          <w:color w:val="000000"/>
          <w:sz w:val="24"/>
        </w:rPr>
        <w:t>reasonable</w:t>
      </w:r>
      <w:proofErr w:type="spellEnd"/>
      <w:r w:rsidR="008078A6" w:rsidRPr="008078A6">
        <w:rPr>
          <w:rFonts w:cs="Futura Std Book"/>
          <w:i/>
          <w:color w:val="000000"/>
          <w:sz w:val="24"/>
        </w:rPr>
        <w:t xml:space="preserve"> time by an </w:t>
      </w:r>
      <w:proofErr w:type="spellStart"/>
      <w:r w:rsidR="008078A6" w:rsidRPr="008078A6">
        <w:rPr>
          <w:rFonts w:cs="Futura Std Book"/>
          <w:i/>
          <w:color w:val="000000"/>
          <w:sz w:val="24"/>
        </w:rPr>
        <w:t>independent</w:t>
      </w:r>
      <w:proofErr w:type="spellEnd"/>
      <w:r w:rsidR="008078A6" w:rsidRPr="008078A6">
        <w:rPr>
          <w:rFonts w:cs="Futura Std Book"/>
          <w:i/>
          <w:color w:val="000000"/>
          <w:sz w:val="24"/>
        </w:rPr>
        <w:t xml:space="preserve"> </w:t>
      </w:r>
      <w:proofErr w:type="spellStart"/>
      <w:r w:rsidR="008078A6" w:rsidRPr="008078A6">
        <w:rPr>
          <w:rFonts w:cs="Futura Std Book"/>
          <w:i/>
          <w:color w:val="000000"/>
          <w:sz w:val="24"/>
        </w:rPr>
        <w:t>and</w:t>
      </w:r>
      <w:proofErr w:type="spellEnd"/>
      <w:r w:rsidR="008078A6" w:rsidRPr="008078A6">
        <w:rPr>
          <w:rFonts w:cs="Futura Std Book"/>
          <w:i/>
          <w:color w:val="000000"/>
          <w:sz w:val="24"/>
        </w:rPr>
        <w:t xml:space="preserve"> </w:t>
      </w:r>
      <w:proofErr w:type="spellStart"/>
      <w:r w:rsidR="008078A6" w:rsidRPr="008078A6">
        <w:rPr>
          <w:rFonts w:cs="Futura Std Book"/>
          <w:i/>
          <w:color w:val="000000"/>
          <w:sz w:val="24"/>
        </w:rPr>
        <w:t>impartial</w:t>
      </w:r>
      <w:proofErr w:type="spellEnd"/>
      <w:r w:rsidR="008078A6" w:rsidRPr="008078A6">
        <w:rPr>
          <w:rFonts w:cs="Futura Std Book"/>
          <w:i/>
          <w:color w:val="000000"/>
          <w:sz w:val="24"/>
        </w:rPr>
        <w:t xml:space="preserve"> </w:t>
      </w:r>
      <w:proofErr w:type="spellStart"/>
      <w:r w:rsidR="008078A6" w:rsidRPr="008078A6">
        <w:rPr>
          <w:rFonts w:cs="Futura Std Book"/>
          <w:i/>
          <w:color w:val="000000"/>
          <w:sz w:val="24"/>
        </w:rPr>
        <w:t>tribunal</w:t>
      </w:r>
      <w:proofErr w:type="spellEnd"/>
      <w:r w:rsidR="008078A6" w:rsidRPr="008078A6">
        <w:rPr>
          <w:rFonts w:cs="Futura Std Book"/>
          <w:i/>
          <w:color w:val="000000"/>
          <w:sz w:val="24"/>
        </w:rPr>
        <w:t xml:space="preserve"> </w:t>
      </w:r>
      <w:proofErr w:type="spellStart"/>
      <w:r w:rsidR="008078A6" w:rsidRPr="008078A6">
        <w:rPr>
          <w:rFonts w:cs="Futura Std Book"/>
          <w:i/>
          <w:color w:val="000000"/>
          <w:sz w:val="24"/>
        </w:rPr>
        <w:t>established</w:t>
      </w:r>
      <w:proofErr w:type="spellEnd"/>
      <w:r w:rsidR="008078A6" w:rsidRPr="008078A6">
        <w:rPr>
          <w:rFonts w:cs="Futura Std Book"/>
          <w:i/>
          <w:color w:val="000000"/>
          <w:sz w:val="24"/>
        </w:rPr>
        <w:t xml:space="preserve"> by </w:t>
      </w:r>
      <w:proofErr w:type="spellStart"/>
      <w:r w:rsidR="008078A6" w:rsidRPr="008078A6">
        <w:rPr>
          <w:rFonts w:cs="Futura Std Book"/>
          <w:i/>
          <w:color w:val="000000"/>
          <w:sz w:val="24"/>
        </w:rPr>
        <w:t>law</w:t>
      </w:r>
      <w:proofErr w:type="spellEnd"/>
      <w:r w:rsidRPr="008078A6">
        <w:rPr>
          <w:rFonts w:cs="Futura Std"/>
          <w:i/>
          <w:iCs/>
          <w:sz w:val="24"/>
          <w:lang w:val="en-GB"/>
        </w:rPr>
        <w:t>.</w:t>
      </w:r>
      <w:r w:rsidRPr="008078A6">
        <w:rPr>
          <w:i/>
          <w:iCs/>
          <w:sz w:val="24"/>
          <w:lang w:val="en-GB"/>
        </w:rPr>
        <w:t xml:space="preserve">” </w:t>
      </w:r>
    </w:p>
    <w:p w:rsidR="00D84302" w:rsidRPr="00314A8D" w:rsidRDefault="00D84302" w:rsidP="00A06B9C">
      <w:pPr>
        <w:spacing w:line="240" w:lineRule="auto"/>
        <w:ind w:left="567"/>
        <w:rPr>
          <w:i/>
          <w:iCs/>
          <w:sz w:val="24"/>
          <w:lang w:val="en-GB"/>
        </w:rPr>
      </w:pPr>
    </w:p>
    <w:p w:rsidR="00D84302" w:rsidRPr="00314A8D" w:rsidRDefault="00FF271B" w:rsidP="00A06B9C">
      <w:pPr>
        <w:pStyle w:val="ListParagraph"/>
        <w:numPr>
          <w:ilvl w:val="0"/>
          <w:numId w:val="77"/>
        </w:numPr>
        <w:spacing w:line="240" w:lineRule="auto"/>
        <w:ind w:left="0" w:firstLine="0"/>
        <w:rPr>
          <w:rFonts w:cs="Arial"/>
          <w:i/>
          <w:iCs/>
          <w:sz w:val="24"/>
          <w:lang w:val="en-GB"/>
        </w:rPr>
      </w:pPr>
      <w:r w:rsidRPr="00314A8D">
        <w:rPr>
          <w:rFonts w:cs="Arial"/>
          <w:i/>
          <w:iCs/>
          <w:sz w:val="24"/>
          <w:lang w:val="en-GB"/>
        </w:rPr>
        <w:t xml:space="preserve"> </w:t>
      </w:r>
      <w:r w:rsidR="008078A6">
        <w:rPr>
          <w:rFonts w:cs="Arial"/>
          <w:i/>
          <w:iCs/>
          <w:sz w:val="24"/>
          <w:lang w:val="en-GB"/>
        </w:rPr>
        <w:t>In relation to the right to a reasoned court decision</w:t>
      </w:r>
      <w:r w:rsidRPr="00314A8D">
        <w:rPr>
          <w:rFonts w:cs="Arial"/>
          <w:i/>
          <w:iCs/>
          <w:sz w:val="24"/>
          <w:lang w:val="en-GB"/>
        </w:rPr>
        <w:t xml:space="preserve"> </w:t>
      </w:r>
    </w:p>
    <w:p w:rsidR="00D84302" w:rsidRPr="00314A8D" w:rsidRDefault="00D84302" w:rsidP="00A06B9C">
      <w:pPr>
        <w:pStyle w:val="ListParagraph"/>
        <w:spacing w:line="240" w:lineRule="auto"/>
        <w:ind w:left="1080"/>
        <w:rPr>
          <w:rFonts w:cs="Arial"/>
          <w:i/>
          <w:iCs/>
          <w:sz w:val="24"/>
          <w:lang w:val="en-GB"/>
        </w:rPr>
      </w:pPr>
    </w:p>
    <w:p w:rsidR="00D84302" w:rsidRPr="00314A8D" w:rsidRDefault="00FF271B" w:rsidP="00A06B9C">
      <w:pPr>
        <w:spacing w:line="240" w:lineRule="auto"/>
        <w:rPr>
          <w:rFonts w:cs="Arial"/>
          <w:iCs/>
          <w:sz w:val="24"/>
          <w:lang w:val="en-GB"/>
        </w:rPr>
      </w:pPr>
      <w:r w:rsidRPr="00314A8D">
        <w:rPr>
          <w:rFonts w:cs="Arial"/>
          <w:i/>
          <w:iCs/>
          <w:sz w:val="24"/>
          <w:lang w:val="en-GB"/>
        </w:rPr>
        <w:t>(</w:t>
      </w:r>
      <w:proofErr w:type="spellStart"/>
      <w:r w:rsidRPr="00314A8D">
        <w:rPr>
          <w:rFonts w:cs="Arial"/>
          <w:i/>
          <w:iCs/>
          <w:sz w:val="24"/>
          <w:lang w:val="en-GB"/>
        </w:rPr>
        <w:t>i</w:t>
      </w:r>
      <w:proofErr w:type="spellEnd"/>
      <w:r w:rsidRPr="00314A8D">
        <w:rPr>
          <w:rFonts w:cs="Arial"/>
          <w:i/>
          <w:iCs/>
          <w:sz w:val="24"/>
          <w:lang w:val="en-GB"/>
        </w:rPr>
        <w:t xml:space="preserve">) </w:t>
      </w:r>
      <w:r w:rsidR="00C93950" w:rsidRPr="00C93950">
        <w:rPr>
          <w:rFonts w:cs="Arial"/>
          <w:i/>
          <w:iCs/>
          <w:sz w:val="24"/>
          <w:lang w:val="en-GB"/>
        </w:rPr>
        <w:t xml:space="preserve">General principles on the right to a reasoned decision as developed by the case law of the </w:t>
      </w:r>
      <w:proofErr w:type="spellStart"/>
      <w:r w:rsidR="00C93950" w:rsidRPr="00C93950">
        <w:rPr>
          <w:rFonts w:cs="Arial"/>
          <w:i/>
          <w:iCs/>
          <w:sz w:val="24"/>
          <w:lang w:val="en-GB"/>
        </w:rPr>
        <w:t>ECtHR</w:t>
      </w:r>
      <w:proofErr w:type="spellEnd"/>
      <w:r w:rsidR="00C93950" w:rsidRPr="00C93950">
        <w:rPr>
          <w:rFonts w:cs="Arial"/>
          <w:i/>
          <w:iCs/>
          <w:sz w:val="24"/>
          <w:lang w:val="en-GB"/>
        </w:rPr>
        <w:t xml:space="preserve"> and the Court</w:t>
      </w:r>
    </w:p>
    <w:p w:rsidR="00D84302" w:rsidRPr="00314A8D" w:rsidRDefault="00D84302" w:rsidP="00A06B9C">
      <w:pPr>
        <w:pStyle w:val="ListParagraph"/>
        <w:spacing w:line="240" w:lineRule="auto"/>
        <w:rPr>
          <w:sz w:val="24"/>
          <w:lang w:val="en-GB"/>
        </w:rPr>
      </w:pPr>
    </w:p>
    <w:p w:rsidR="00D84302" w:rsidRPr="00314A8D" w:rsidRDefault="00C93950" w:rsidP="00A06B9C">
      <w:pPr>
        <w:pStyle w:val="ListParagraph"/>
        <w:numPr>
          <w:ilvl w:val="0"/>
          <w:numId w:val="63"/>
        </w:numPr>
        <w:spacing w:line="240" w:lineRule="auto"/>
        <w:ind w:left="630" w:hanging="630"/>
        <w:rPr>
          <w:sz w:val="24"/>
          <w:lang w:val="en-GB"/>
        </w:rPr>
      </w:pPr>
      <w:r>
        <w:rPr>
          <w:sz w:val="24"/>
          <w:lang w:val="en-GB"/>
        </w:rPr>
        <w:t>With regard</w:t>
      </w:r>
      <w:r w:rsidRPr="00C93950">
        <w:rPr>
          <w:sz w:val="24"/>
          <w:lang w:val="en-GB"/>
        </w:rPr>
        <w:t xml:space="preserve"> to the right to a reasoned </w:t>
      </w:r>
      <w:r>
        <w:rPr>
          <w:sz w:val="24"/>
          <w:lang w:val="en-GB"/>
        </w:rPr>
        <w:t>court</w:t>
      </w:r>
      <w:r w:rsidRPr="00C93950">
        <w:rPr>
          <w:sz w:val="24"/>
          <w:lang w:val="en-GB"/>
        </w:rPr>
        <w:t xml:space="preserve"> decision guaranteed by Article 31 of the Constitution in </w:t>
      </w:r>
      <w:r>
        <w:rPr>
          <w:sz w:val="24"/>
          <w:lang w:val="en-GB"/>
        </w:rPr>
        <w:t>conjunction</w:t>
      </w:r>
      <w:r w:rsidRPr="00C93950">
        <w:rPr>
          <w:sz w:val="24"/>
          <w:lang w:val="en-GB"/>
        </w:rPr>
        <w:t xml:space="preserve"> </w:t>
      </w:r>
      <w:r>
        <w:rPr>
          <w:sz w:val="24"/>
          <w:lang w:val="en-GB"/>
        </w:rPr>
        <w:t>with</w:t>
      </w:r>
      <w:r w:rsidRPr="00C93950">
        <w:rPr>
          <w:sz w:val="24"/>
          <w:lang w:val="en-GB"/>
        </w:rPr>
        <w:t xml:space="preserve"> Article 6 of the ECHR, the Court initially states that it already has a consolidated </w:t>
      </w:r>
      <w:r>
        <w:rPr>
          <w:sz w:val="24"/>
          <w:lang w:val="en-GB"/>
        </w:rPr>
        <w:t>case law</w:t>
      </w:r>
      <w:r w:rsidRPr="00C93950">
        <w:rPr>
          <w:sz w:val="24"/>
          <w:lang w:val="en-GB"/>
        </w:rPr>
        <w:t xml:space="preserve">, which has been </w:t>
      </w:r>
      <w:r>
        <w:rPr>
          <w:sz w:val="24"/>
          <w:lang w:val="en-GB"/>
        </w:rPr>
        <w:t>developed</w:t>
      </w:r>
      <w:r w:rsidRPr="00C93950">
        <w:rPr>
          <w:sz w:val="24"/>
          <w:lang w:val="en-GB"/>
        </w:rPr>
        <w:t xml:space="preserve"> in accordance with the </w:t>
      </w:r>
      <w:r>
        <w:rPr>
          <w:sz w:val="24"/>
          <w:lang w:val="en-GB"/>
        </w:rPr>
        <w:t xml:space="preserve">basic </w:t>
      </w:r>
      <w:r w:rsidRPr="00C93950">
        <w:rPr>
          <w:sz w:val="24"/>
          <w:lang w:val="en-GB"/>
        </w:rPr>
        <w:t>principles</w:t>
      </w:r>
      <w:r>
        <w:rPr>
          <w:sz w:val="24"/>
          <w:lang w:val="en-GB"/>
        </w:rPr>
        <w:t xml:space="preserve"> established in the case law</w:t>
      </w:r>
      <w:r w:rsidRPr="00C93950">
        <w:rPr>
          <w:sz w:val="24"/>
          <w:lang w:val="en-GB"/>
        </w:rPr>
        <w:t xml:space="preserve"> of the </w:t>
      </w:r>
      <w:proofErr w:type="spellStart"/>
      <w:r w:rsidRPr="00C93950">
        <w:rPr>
          <w:sz w:val="24"/>
          <w:lang w:val="en-GB"/>
        </w:rPr>
        <w:t>ECtHR</w:t>
      </w:r>
      <w:proofErr w:type="spellEnd"/>
      <w:r w:rsidRPr="00C93950">
        <w:rPr>
          <w:sz w:val="24"/>
          <w:lang w:val="en-GB"/>
        </w:rPr>
        <w:t>. (See, inter alia, the cases of</w:t>
      </w:r>
      <w:r>
        <w:rPr>
          <w:sz w:val="24"/>
          <w:lang w:val="en-GB"/>
        </w:rPr>
        <w:t xml:space="preserve"> Court</w:t>
      </w:r>
      <w:r w:rsidRPr="00C93950">
        <w:rPr>
          <w:sz w:val="24"/>
          <w:lang w:val="en-GB"/>
        </w:rPr>
        <w:t xml:space="preserve"> KI72/12, Applicant </w:t>
      </w:r>
      <w:r w:rsidRPr="00C93950">
        <w:rPr>
          <w:i/>
          <w:sz w:val="24"/>
          <w:lang w:val="en-GB"/>
        </w:rPr>
        <w:t xml:space="preserve">Veton Berisha and </w:t>
      </w:r>
      <w:proofErr w:type="spellStart"/>
      <w:r w:rsidRPr="00C93950">
        <w:rPr>
          <w:i/>
          <w:sz w:val="24"/>
          <w:lang w:val="en-GB"/>
        </w:rPr>
        <w:t>Ilfete</w:t>
      </w:r>
      <w:proofErr w:type="spellEnd"/>
      <w:r>
        <w:rPr>
          <w:i/>
          <w:sz w:val="24"/>
          <w:lang w:val="en-GB"/>
        </w:rPr>
        <w:t xml:space="preserve"> </w:t>
      </w:r>
      <w:proofErr w:type="spellStart"/>
      <w:r w:rsidRPr="00C93950">
        <w:rPr>
          <w:i/>
          <w:sz w:val="24"/>
          <w:lang w:val="en-GB"/>
        </w:rPr>
        <w:t>Haziri</w:t>
      </w:r>
      <w:proofErr w:type="spellEnd"/>
      <w:r w:rsidRPr="00C93950">
        <w:rPr>
          <w:sz w:val="24"/>
          <w:lang w:val="en-GB"/>
        </w:rPr>
        <w:t>, Judgment</w:t>
      </w:r>
      <w:r>
        <w:rPr>
          <w:sz w:val="24"/>
          <w:lang w:val="en-GB"/>
        </w:rPr>
        <w:t xml:space="preserve"> of</w:t>
      </w:r>
      <w:r w:rsidRPr="00C93950">
        <w:rPr>
          <w:sz w:val="24"/>
          <w:lang w:val="en-GB"/>
        </w:rPr>
        <w:t xml:space="preserve"> 17 December 2012; KI22/16, Applicant </w:t>
      </w:r>
      <w:proofErr w:type="spellStart"/>
      <w:r w:rsidRPr="00C93950">
        <w:rPr>
          <w:i/>
          <w:sz w:val="24"/>
          <w:lang w:val="en-GB"/>
        </w:rPr>
        <w:t>NaserHusaj</w:t>
      </w:r>
      <w:proofErr w:type="spellEnd"/>
      <w:r>
        <w:rPr>
          <w:sz w:val="24"/>
          <w:lang w:val="en-GB"/>
        </w:rPr>
        <w:t>, Judgment of</w:t>
      </w:r>
      <w:r w:rsidRPr="00C93950">
        <w:rPr>
          <w:sz w:val="24"/>
          <w:lang w:val="en-GB"/>
        </w:rPr>
        <w:t xml:space="preserve"> 9 June 2017; KI97/16, Applicant </w:t>
      </w:r>
      <w:r w:rsidRPr="00C93950">
        <w:rPr>
          <w:i/>
          <w:sz w:val="24"/>
          <w:lang w:val="en-GB"/>
        </w:rPr>
        <w:t>“IKK Classic”</w:t>
      </w:r>
      <w:r w:rsidRPr="00C93950">
        <w:rPr>
          <w:sz w:val="24"/>
          <w:lang w:val="en-GB"/>
        </w:rPr>
        <w:t xml:space="preserve"> , Judgment</w:t>
      </w:r>
      <w:r>
        <w:rPr>
          <w:sz w:val="24"/>
          <w:lang w:val="en-GB"/>
        </w:rPr>
        <w:t xml:space="preserve"> of</w:t>
      </w:r>
      <w:r w:rsidRPr="00C93950">
        <w:rPr>
          <w:sz w:val="24"/>
          <w:lang w:val="en-GB"/>
        </w:rPr>
        <w:t xml:space="preserve"> 4 December 2017; KI143/16, Applicant </w:t>
      </w:r>
      <w:r w:rsidRPr="00C93950">
        <w:rPr>
          <w:i/>
          <w:sz w:val="24"/>
          <w:lang w:val="en-GB"/>
        </w:rPr>
        <w:t xml:space="preserve">Muharrem </w:t>
      </w:r>
      <w:proofErr w:type="spellStart"/>
      <w:r w:rsidRPr="00C93950">
        <w:rPr>
          <w:i/>
          <w:sz w:val="24"/>
          <w:lang w:val="en-GB"/>
        </w:rPr>
        <w:t>Blaku</w:t>
      </w:r>
      <w:proofErr w:type="spellEnd"/>
      <w:r w:rsidRPr="00C93950">
        <w:rPr>
          <w:i/>
          <w:sz w:val="24"/>
          <w:lang w:val="en-GB"/>
        </w:rPr>
        <w:t xml:space="preserve"> and others</w:t>
      </w:r>
      <w:r w:rsidRPr="00C93950">
        <w:rPr>
          <w:sz w:val="24"/>
          <w:lang w:val="en-GB"/>
        </w:rPr>
        <w:t xml:space="preserve">, </w:t>
      </w:r>
      <w:r w:rsidR="00B842CA">
        <w:rPr>
          <w:sz w:val="24"/>
          <w:lang w:val="en-GB"/>
        </w:rPr>
        <w:t>Resolution on</w:t>
      </w:r>
      <w:r w:rsidRPr="00C93950">
        <w:rPr>
          <w:sz w:val="24"/>
          <w:lang w:val="en-GB"/>
        </w:rPr>
        <w:t xml:space="preserve">  Inadmissibility, </w:t>
      </w:r>
      <w:r w:rsidR="00B842CA">
        <w:rPr>
          <w:sz w:val="24"/>
          <w:lang w:val="en-GB"/>
        </w:rPr>
        <w:t>of 13 June 2018; KI87</w:t>
      </w:r>
      <w:r w:rsidRPr="00C93950">
        <w:rPr>
          <w:sz w:val="24"/>
          <w:lang w:val="en-GB"/>
        </w:rPr>
        <w:t xml:space="preserve">/18, Applicant </w:t>
      </w:r>
      <w:r w:rsidRPr="00B842CA">
        <w:rPr>
          <w:i/>
          <w:sz w:val="24"/>
          <w:lang w:val="en-GB"/>
        </w:rPr>
        <w:t xml:space="preserve">IF </w:t>
      </w:r>
      <w:proofErr w:type="spellStart"/>
      <w:r w:rsidRPr="00B842CA">
        <w:rPr>
          <w:i/>
          <w:sz w:val="24"/>
          <w:lang w:val="en-GB"/>
        </w:rPr>
        <w:t>Skadiforsikring</w:t>
      </w:r>
      <w:proofErr w:type="spellEnd"/>
      <w:r w:rsidR="00B842CA">
        <w:rPr>
          <w:sz w:val="24"/>
          <w:lang w:val="en-GB"/>
        </w:rPr>
        <w:t>, Judgment of</w:t>
      </w:r>
      <w:r w:rsidRPr="00C93950">
        <w:rPr>
          <w:sz w:val="24"/>
          <w:lang w:val="en-GB"/>
        </w:rPr>
        <w:t xml:space="preserve"> 27 February 2019, and KI24/17, Applicant </w:t>
      </w:r>
      <w:proofErr w:type="spellStart"/>
      <w:r w:rsidRPr="00B842CA">
        <w:rPr>
          <w:i/>
          <w:sz w:val="24"/>
          <w:lang w:val="en-GB"/>
        </w:rPr>
        <w:t>Bedri</w:t>
      </w:r>
      <w:proofErr w:type="spellEnd"/>
      <w:r w:rsidR="00B842CA" w:rsidRPr="00B842CA">
        <w:rPr>
          <w:i/>
          <w:sz w:val="24"/>
          <w:lang w:val="en-GB"/>
        </w:rPr>
        <w:t xml:space="preserve"> </w:t>
      </w:r>
      <w:proofErr w:type="spellStart"/>
      <w:r w:rsidRPr="00B842CA">
        <w:rPr>
          <w:i/>
          <w:sz w:val="24"/>
          <w:lang w:val="en-GB"/>
        </w:rPr>
        <w:t>Salihu</w:t>
      </w:r>
      <w:proofErr w:type="spellEnd"/>
      <w:r w:rsidRPr="00C93950">
        <w:rPr>
          <w:sz w:val="24"/>
          <w:lang w:val="en-GB"/>
        </w:rPr>
        <w:t>, Judgment</w:t>
      </w:r>
      <w:r w:rsidR="00B842CA">
        <w:rPr>
          <w:sz w:val="24"/>
          <w:lang w:val="en-GB"/>
        </w:rPr>
        <w:t xml:space="preserve"> of</w:t>
      </w:r>
      <w:r w:rsidRPr="00C93950">
        <w:rPr>
          <w:sz w:val="24"/>
          <w:lang w:val="en-GB"/>
        </w:rPr>
        <w:t xml:space="preserve"> 27 May 2019</w:t>
      </w:r>
      <w:r w:rsidR="00FF271B" w:rsidRPr="00314A8D">
        <w:rPr>
          <w:sz w:val="24"/>
          <w:lang w:val="en-GB"/>
        </w:rPr>
        <w:t xml:space="preserve">). </w:t>
      </w:r>
    </w:p>
    <w:p w:rsidR="00D84302" w:rsidRPr="00314A8D" w:rsidRDefault="00D84302" w:rsidP="00A06B9C">
      <w:pPr>
        <w:pStyle w:val="ListParagraph"/>
        <w:spacing w:line="240" w:lineRule="auto"/>
        <w:ind w:left="630"/>
        <w:rPr>
          <w:rFonts w:cs="Arial"/>
          <w:iCs/>
          <w:sz w:val="24"/>
          <w:lang w:val="en-GB"/>
        </w:rPr>
      </w:pPr>
    </w:p>
    <w:p w:rsidR="00D84302" w:rsidRDefault="004D7A82" w:rsidP="00A06B9C">
      <w:pPr>
        <w:pStyle w:val="ListParagraph"/>
        <w:numPr>
          <w:ilvl w:val="0"/>
          <w:numId w:val="63"/>
        </w:numPr>
        <w:spacing w:line="240" w:lineRule="auto"/>
        <w:ind w:left="630" w:hanging="630"/>
        <w:rPr>
          <w:rFonts w:cs="Arial"/>
          <w:sz w:val="24"/>
          <w:lang w:val="en-GB"/>
        </w:rPr>
      </w:pPr>
      <w:r w:rsidRPr="00F35D72">
        <w:rPr>
          <w:rFonts w:cs="Arial"/>
          <w:sz w:val="24"/>
          <w:lang w:val="en-GB"/>
        </w:rPr>
        <w:t xml:space="preserve">The case law of the </w:t>
      </w:r>
      <w:proofErr w:type="spellStart"/>
      <w:r w:rsidRPr="00F35D72">
        <w:rPr>
          <w:rFonts w:cs="Arial"/>
          <w:sz w:val="24"/>
          <w:lang w:val="en-GB"/>
        </w:rPr>
        <w:t>ECtHR</w:t>
      </w:r>
      <w:proofErr w:type="spellEnd"/>
      <w:r w:rsidRPr="00F35D72">
        <w:rPr>
          <w:rFonts w:cs="Arial"/>
          <w:sz w:val="24"/>
          <w:lang w:val="en-GB"/>
        </w:rPr>
        <w:t xml:space="preserve"> and that of the Court initially emphasize that the right to a fair trial includes the right to a reasoned decision and that the courts must “state in a clear manner the reasons on which they have based their decision”</w:t>
      </w:r>
      <w:r w:rsidR="00F35D72">
        <w:rPr>
          <w:rFonts w:cs="Arial"/>
          <w:sz w:val="24"/>
          <w:lang w:val="en-GB"/>
        </w:rPr>
        <w:t xml:space="preserve"> </w:t>
      </w:r>
      <w:r w:rsidR="00F35D72" w:rsidRPr="00F35D72">
        <w:rPr>
          <w:rFonts w:cs="Arial"/>
          <w:sz w:val="24"/>
          <w:lang w:val="en-GB"/>
        </w:rPr>
        <w:t>(See the</w:t>
      </w:r>
      <w:r w:rsidR="00F35D72">
        <w:rPr>
          <w:rFonts w:cs="Arial"/>
          <w:sz w:val="24"/>
          <w:lang w:val="en-GB"/>
        </w:rPr>
        <w:t xml:space="preserve"> </w:t>
      </w:r>
      <w:proofErr w:type="spellStart"/>
      <w:r w:rsidR="00F35D72">
        <w:rPr>
          <w:rFonts w:cs="Arial"/>
          <w:sz w:val="24"/>
          <w:lang w:val="en-GB"/>
        </w:rPr>
        <w:t>ECtHR</w:t>
      </w:r>
      <w:proofErr w:type="spellEnd"/>
      <w:r w:rsidR="00F35D72" w:rsidRPr="00F35D72">
        <w:rPr>
          <w:rFonts w:cs="Arial"/>
          <w:sz w:val="24"/>
          <w:lang w:val="en-GB"/>
        </w:rPr>
        <w:t xml:space="preserve"> case </w:t>
      </w:r>
      <w:proofErr w:type="spellStart"/>
      <w:r w:rsidR="00F35D72">
        <w:rPr>
          <w:rFonts w:cs="Arial"/>
          <w:sz w:val="24"/>
          <w:lang w:val="en-GB"/>
        </w:rPr>
        <w:t>H</w:t>
      </w:r>
      <w:r w:rsidR="00F35D72" w:rsidRPr="00F35D72">
        <w:rPr>
          <w:rFonts w:cs="Arial"/>
          <w:sz w:val="24"/>
          <w:lang w:val="en-GB"/>
        </w:rPr>
        <w:t>adjianastassiou</w:t>
      </w:r>
      <w:proofErr w:type="spellEnd"/>
      <w:r w:rsidR="00F35D72" w:rsidRPr="00F35D72">
        <w:rPr>
          <w:rFonts w:cs="Arial"/>
          <w:sz w:val="24"/>
          <w:lang w:val="en-GB"/>
        </w:rPr>
        <w:t xml:space="preserve"> v. Greece, </w:t>
      </w:r>
      <w:r w:rsidR="00F35D72">
        <w:rPr>
          <w:rFonts w:cs="Arial"/>
          <w:sz w:val="24"/>
          <w:lang w:val="en-GB"/>
        </w:rPr>
        <w:t>Application</w:t>
      </w:r>
      <w:r w:rsidR="00F35D72" w:rsidRPr="00F35D72">
        <w:rPr>
          <w:rFonts w:cs="Arial"/>
          <w:sz w:val="24"/>
          <w:lang w:val="en-GB"/>
        </w:rPr>
        <w:t xml:space="preserve"> no. 12945/87, Judgment of 16 December 1992, see also the case of the</w:t>
      </w:r>
      <w:r w:rsidR="00F35D72">
        <w:rPr>
          <w:rFonts w:cs="Arial"/>
          <w:sz w:val="24"/>
          <w:lang w:val="en-GB"/>
        </w:rPr>
        <w:t xml:space="preserve"> Court KI87/18</w:t>
      </w:r>
      <w:r w:rsidR="00F35D72" w:rsidRPr="00F35D72">
        <w:rPr>
          <w:rFonts w:cs="Arial"/>
          <w:sz w:val="24"/>
          <w:lang w:val="en-GB"/>
        </w:rPr>
        <w:t xml:space="preserve">, </w:t>
      </w:r>
      <w:r w:rsidR="00F35D72">
        <w:rPr>
          <w:rFonts w:cs="Arial"/>
          <w:sz w:val="24"/>
          <w:lang w:val="en-GB"/>
        </w:rPr>
        <w:t>Applicant</w:t>
      </w:r>
      <w:r w:rsidR="00F35D72" w:rsidRPr="00F35D72">
        <w:rPr>
          <w:rFonts w:cs="Arial"/>
          <w:sz w:val="24"/>
          <w:lang w:val="en-GB"/>
        </w:rPr>
        <w:t xml:space="preserve"> “</w:t>
      </w:r>
      <w:r w:rsidR="00F35D72" w:rsidRPr="00F35D72">
        <w:rPr>
          <w:rFonts w:cs="Arial"/>
          <w:i/>
          <w:sz w:val="24"/>
          <w:lang w:val="en-GB"/>
        </w:rPr>
        <w:t xml:space="preserve">IF </w:t>
      </w:r>
      <w:proofErr w:type="spellStart"/>
      <w:r w:rsidR="00F35D72" w:rsidRPr="00F35D72">
        <w:rPr>
          <w:rFonts w:cs="Arial"/>
          <w:i/>
          <w:sz w:val="24"/>
          <w:lang w:val="en-GB"/>
        </w:rPr>
        <w:t>Skadeforsikring</w:t>
      </w:r>
      <w:proofErr w:type="spellEnd"/>
      <w:r w:rsidR="00F35D72" w:rsidRPr="00F35D72">
        <w:rPr>
          <w:rFonts w:cs="Arial"/>
          <w:i/>
          <w:sz w:val="24"/>
          <w:lang w:val="en-GB"/>
        </w:rPr>
        <w:t>”</w:t>
      </w:r>
      <w:r w:rsidR="00F35D72" w:rsidRPr="00F35D72">
        <w:rPr>
          <w:rFonts w:cs="Arial"/>
          <w:sz w:val="24"/>
          <w:lang w:val="en-GB"/>
        </w:rPr>
        <w:t>, cited above, paragraph 44).</w:t>
      </w:r>
    </w:p>
    <w:p w:rsidR="00F35D72" w:rsidRPr="00A06B9C" w:rsidRDefault="00F35D72" w:rsidP="00A06B9C">
      <w:pPr>
        <w:spacing w:line="240" w:lineRule="auto"/>
        <w:rPr>
          <w:rFonts w:cs="Arial"/>
          <w:sz w:val="24"/>
          <w:lang w:val="en-GB"/>
        </w:rPr>
      </w:pPr>
    </w:p>
    <w:p w:rsidR="00D84302" w:rsidRPr="00314A8D" w:rsidRDefault="00F35D72" w:rsidP="00A06B9C">
      <w:pPr>
        <w:pStyle w:val="ListParagraph"/>
        <w:numPr>
          <w:ilvl w:val="0"/>
          <w:numId w:val="63"/>
        </w:numPr>
        <w:spacing w:line="240" w:lineRule="auto"/>
        <w:ind w:left="630" w:hanging="630"/>
        <w:rPr>
          <w:rFonts w:cs="Arial"/>
          <w:iCs/>
          <w:sz w:val="24"/>
          <w:lang w:val="en-GB"/>
        </w:rPr>
      </w:pPr>
      <w:r w:rsidRPr="00F35D72">
        <w:rPr>
          <w:rFonts w:cs="Arial"/>
          <w:sz w:val="24"/>
          <w:lang w:val="en-GB"/>
        </w:rPr>
        <w:t xml:space="preserve">However, </w:t>
      </w:r>
      <w:r>
        <w:rPr>
          <w:rFonts w:cs="Arial"/>
          <w:sz w:val="24"/>
          <w:lang w:val="en-GB"/>
        </w:rPr>
        <w:t>even though</w:t>
      </w:r>
      <w:r w:rsidRPr="00F35D72">
        <w:rPr>
          <w:rFonts w:cs="Arial"/>
          <w:sz w:val="24"/>
          <w:lang w:val="en-GB"/>
        </w:rPr>
        <w:t xml:space="preserve"> the </w:t>
      </w:r>
      <w:proofErr w:type="spellStart"/>
      <w:r w:rsidRPr="00F35D72">
        <w:rPr>
          <w:rFonts w:cs="Arial"/>
          <w:sz w:val="24"/>
          <w:lang w:val="en-GB"/>
        </w:rPr>
        <w:t>ECtHR</w:t>
      </w:r>
      <w:proofErr w:type="spellEnd"/>
      <w:r w:rsidRPr="00F35D72">
        <w:rPr>
          <w:rFonts w:cs="Arial"/>
          <w:sz w:val="24"/>
          <w:lang w:val="en-GB"/>
        </w:rPr>
        <w:t xml:space="preserve"> states that Article 6 (1) of the ECHR obliges </w:t>
      </w:r>
      <w:r w:rsidR="00317951">
        <w:rPr>
          <w:rFonts w:cs="Arial"/>
          <w:sz w:val="24"/>
          <w:lang w:val="en-GB"/>
        </w:rPr>
        <w:t xml:space="preserve">the </w:t>
      </w:r>
      <w:r w:rsidRPr="00F35D72">
        <w:rPr>
          <w:rFonts w:cs="Arial"/>
          <w:sz w:val="24"/>
          <w:lang w:val="en-GB"/>
        </w:rPr>
        <w:t xml:space="preserve">courts to provide reasons for their decisions, this obligation cannot be </w:t>
      </w:r>
      <w:r w:rsidR="00317951">
        <w:rPr>
          <w:rFonts w:cs="Arial"/>
          <w:sz w:val="24"/>
          <w:lang w:val="en-GB"/>
        </w:rPr>
        <w:t>understood</w:t>
      </w:r>
      <w:r w:rsidRPr="00F35D72">
        <w:rPr>
          <w:rFonts w:cs="Arial"/>
          <w:sz w:val="24"/>
          <w:lang w:val="en-GB"/>
        </w:rPr>
        <w:t xml:space="preserve"> as </w:t>
      </w:r>
      <w:r w:rsidR="00033B2F">
        <w:rPr>
          <w:rFonts w:cs="Arial"/>
          <w:sz w:val="24"/>
          <w:lang w:val="en-GB"/>
        </w:rPr>
        <w:t>requiring</w:t>
      </w:r>
      <w:r w:rsidRPr="00F35D72">
        <w:rPr>
          <w:rFonts w:cs="Arial"/>
          <w:sz w:val="24"/>
          <w:lang w:val="en-GB"/>
        </w:rPr>
        <w:t xml:space="preserve"> a detailed </w:t>
      </w:r>
      <w:r w:rsidR="00033B2F">
        <w:rPr>
          <w:rFonts w:cs="Arial"/>
          <w:sz w:val="24"/>
          <w:lang w:val="en-GB"/>
        </w:rPr>
        <w:t>answer</w:t>
      </w:r>
      <w:r w:rsidRPr="00F35D72">
        <w:rPr>
          <w:rFonts w:cs="Arial"/>
          <w:sz w:val="24"/>
          <w:lang w:val="en-GB"/>
        </w:rPr>
        <w:t xml:space="preserve"> to each </w:t>
      </w:r>
      <w:r>
        <w:rPr>
          <w:rFonts w:cs="Arial"/>
          <w:sz w:val="24"/>
          <w:lang w:val="en-GB"/>
        </w:rPr>
        <w:t>allegation</w:t>
      </w:r>
      <w:r w:rsidRPr="00F35D72">
        <w:rPr>
          <w:rFonts w:cs="Arial"/>
          <w:sz w:val="24"/>
          <w:lang w:val="en-GB"/>
        </w:rPr>
        <w:t xml:space="preserve">. (See </w:t>
      </w:r>
      <w:proofErr w:type="spellStart"/>
      <w:r w:rsidRPr="00F35D72">
        <w:rPr>
          <w:rFonts w:cs="Arial"/>
          <w:sz w:val="24"/>
          <w:lang w:val="en-GB"/>
        </w:rPr>
        <w:t>ECtHR</w:t>
      </w:r>
      <w:proofErr w:type="spellEnd"/>
      <w:r w:rsidRPr="00F35D72">
        <w:rPr>
          <w:rFonts w:cs="Arial"/>
          <w:sz w:val="24"/>
          <w:lang w:val="en-GB"/>
        </w:rPr>
        <w:t xml:space="preserve"> cases, </w:t>
      </w:r>
      <w:r w:rsidRPr="00F35D72">
        <w:rPr>
          <w:rFonts w:cs="Arial"/>
          <w:i/>
          <w:sz w:val="24"/>
          <w:lang w:val="en-GB"/>
        </w:rPr>
        <w:t xml:space="preserve">Van de </w:t>
      </w:r>
      <w:proofErr w:type="spellStart"/>
      <w:r w:rsidRPr="00F35D72">
        <w:rPr>
          <w:rFonts w:cs="Arial"/>
          <w:i/>
          <w:sz w:val="24"/>
          <w:lang w:val="en-GB"/>
        </w:rPr>
        <w:t>Hurk</w:t>
      </w:r>
      <w:proofErr w:type="spellEnd"/>
      <w:r w:rsidRPr="00F35D72">
        <w:rPr>
          <w:rFonts w:cs="Arial"/>
          <w:i/>
          <w:sz w:val="24"/>
          <w:lang w:val="en-GB"/>
        </w:rPr>
        <w:t xml:space="preserve"> v. The Netherlands</w:t>
      </w:r>
      <w:r w:rsidRPr="00F35D72">
        <w:rPr>
          <w:rFonts w:cs="Arial"/>
          <w:sz w:val="24"/>
          <w:lang w:val="en-GB"/>
        </w:rPr>
        <w:t xml:space="preserve">, Judgment of 19 April 1994, paragraph 61; </w:t>
      </w:r>
      <w:r w:rsidRPr="00F35D72">
        <w:rPr>
          <w:rFonts w:cs="Arial"/>
          <w:i/>
          <w:sz w:val="24"/>
          <w:lang w:val="en-GB"/>
        </w:rPr>
        <w:t>Garcia Ruiz v. Spain</w:t>
      </w:r>
      <w:r w:rsidRPr="00F35D72">
        <w:rPr>
          <w:rFonts w:cs="Arial"/>
          <w:sz w:val="24"/>
          <w:lang w:val="en-GB"/>
        </w:rPr>
        <w:t xml:space="preserve">, no. 30544/96, Judgment of 21 January 1999, paragraph 26, </w:t>
      </w:r>
      <w:proofErr w:type="spellStart"/>
      <w:r w:rsidRPr="00F35D72">
        <w:rPr>
          <w:rFonts w:cs="Arial"/>
          <w:i/>
          <w:sz w:val="24"/>
          <w:lang w:val="en-GB"/>
        </w:rPr>
        <w:t>Jahne</w:t>
      </w:r>
      <w:proofErr w:type="spellEnd"/>
      <w:r w:rsidRPr="00F35D72">
        <w:rPr>
          <w:rFonts w:cs="Arial"/>
          <w:i/>
          <w:sz w:val="24"/>
          <w:lang w:val="en-GB"/>
        </w:rPr>
        <w:t xml:space="preserve"> and </w:t>
      </w:r>
      <w:proofErr w:type="spellStart"/>
      <w:r w:rsidRPr="00F35D72">
        <w:rPr>
          <w:rFonts w:cs="Arial"/>
          <w:i/>
          <w:sz w:val="24"/>
          <w:lang w:val="en-GB"/>
        </w:rPr>
        <w:t>Lenoble</w:t>
      </w:r>
      <w:proofErr w:type="spellEnd"/>
      <w:r w:rsidRPr="00F35D72">
        <w:rPr>
          <w:rFonts w:cs="Arial"/>
          <w:i/>
          <w:sz w:val="24"/>
          <w:lang w:val="en-GB"/>
        </w:rPr>
        <w:t xml:space="preserve"> v. France</w:t>
      </w:r>
      <w:r w:rsidRPr="00F35D72">
        <w:rPr>
          <w:rFonts w:cs="Arial"/>
          <w:sz w:val="24"/>
          <w:lang w:val="en-GB"/>
        </w:rPr>
        <w:t xml:space="preserve"> [DHM ], Judgment of 16 December 1992, paragraph 81, and see the case of the</w:t>
      </w:r>
      <w:r>
        <w:rPr>
          <w:rFonts w:cs="Arial"/>
          <w:sz w:val="24"/>
          <w:lang w:val="en-GB"/>
        </w:rPr>
        <w:t xml:space="preserve"> Court</w:t>
      </w:r>
      <w:r w:rsidRPr="00F35D72">
        <w:rPr>
          <w:rFonts w:cs="Arial"/>
          <w:sz w:val="24"/>
          <w:lang w:val="en-GB"/>
        </w:rPr>
        <w:t xml:space="preserve"> KI97/</w:t>
      </w:r>
      <w:r>
        <w:rPr>
          <w:rFonts w:cs="Arial"/>
          <w:sz w:val="24"/>
          <w:lang w:val="en-GB"/>
        </w:rPr>
        <w:t>16</w:t>
      </w:r>
      <w:r w:rsidRPr="00F35D72">
        <w:rPr>
          <w:rFonts w:cs="Arial"/>
          <w:sz w:val="24"/>
          <w:lang w:val="en-GB"/>
        </w:rPr>
        <w:t xml:space="preserve">, </w:t>
      </w:r>
      <w:r>
        <w:rPr>
          <w:rFonts w:cs="Arial"/>
          <w:sz w:val="24"/>
          <w:lang w:val="en-GB"/>
        </w:rPr>
        <w:t>Applicant</w:t>
      </w:r>
      <w:r w:rsidRPr="00F35D72">
        <w:rPr>
          <w:rFonts w:cs="Arial"/>
          <w:sz w:val="24"/>
          <w:lang w:val="en-GB"/>
        </w:rPr>
        <w:t xml:space="preserve"> </w:t>
      </w:r>
      <w:r w:rsidRPr="00322B8F">
        <w:rPr>
          <w:rFonts w:cs="Arial"/>
          <w:i/>
          <w:sz w:val="24"/>
          <w:lang w:val="en-GB"/>
        </w:rPr>
        <w:t>IKK Classic</w:t>
      </w:r>
      <w:r w:rsidRPr="00F35D72">
        <w:rPr>
          <w:rFonts w:cs="Arial"/>
          <w:sz w:val="24"/>
          <w:lang w:val="en-GB"/>
        </w:rPr>
        <w:t>, paragraph 47</w:t>
      </w:r>
      <w:r w:rsidR="00FF271B" w:rsidRPr="00314A8D">
        <w:rPr>
          <w:sz w:val="24"/>
          <w:lang w:val="en-GB"/>
        </w:rPr>
        <w:t xml:space="preserve">) . </w:t>
      </w:r>
    </w:p>
    <w:p w:rsidR="00D84302" w:rsidRPr="00314A8D" w:rsidRDefault="00D84302" w:rsidP="00A06B9C">
      <w:pPr>
        <w:pStyle w:val="ListParagraph"/>
        <w:spacing w:line="240" w:lineRule="auto"/>
        <w:rPr>
          <w:sz w:val="24"/>
          <w:lang w:val="en-GB"/>
        </w:rPr>
      </w:pPr>
    </w:p>
    <w:p w:rsidR="00D84302" w:rsidRPr="00314A8D" w:rsidRDefault="00322B8F" w:rsidP="00A06B9C">
      <w:pPr>
        <w:pStyle w:val="ListParagraph"/>
        <w:numPr>
          <w:ilvl w:val="0"/>
          <w:numId w:val="63"/>
        </w:numPr>
        <w:spacing w:line="240" w:lineRule="auto"/>
        <w:ind w:left="630" w:hanging="630"/>
        <w:rPr>
          <w:rFonts w:cs="Arial"/>
          <w:iCs/>
          <w:sz w:val="24"/>
          <w:lang w:val="en-GB"/>
        </w:rPr>
      </w:pPr>
      <w:r>
        <w:rPr>
          <w:sz w:val="24"/>
          <w:lang w:val="en-GB"/>
        </w:rPr>
        <w:t>T</w:t>
      </w:r>
      <w:r w:rsidRPr="00322B8F">
        <w:rPr>
          <w:sz w:val="24"/>
          <w:lang w:val="en-GB"/>
        </w:rPr>
        <w:t xml:space="preserve">he </w:t>
      </w:r>
      <w:r w:rsidR="00157EC4">
        <w:rPr>
          <w:sz w:val="24"/>
          <w:lang w:val="en-GB"/>
        </w:rPr>
        <w:t>extent</w:t>
      </w:r>
      <w:r w:rsidRPr="00322B8F">
        <w:rPr>
          <w:sz w:val="24"/>
          <w:lang w:val="en-GB"/>
        </w:rPr>
        <w:t xml:space="preserve"> to which the obligation to</w:t>
      </w:r>
      <w:r>
        <w:rPr>
          <w:sz w:val="24"/>
          <w:lang w:val="en-GB"/>
        </w:rPr>
        <w:t xml:space="preserve"> provide</w:t>
      </w:r>
      <w:r w:rsidR="00157EC4">
        <w:rPr>
          <w:sz w:val="24"/>
          <w:lang w:val="en-GB"/>
        </w:rPr>
        <w:t xml:space="preserve"> reasons</w:t>
      </w:r>
      <w:r w:rsidRPr="00322B8F">
        <w:rPr>
          <w:sz w:val="24"/>
          <w:lang w:val="en-GB"/>
        </w:rPr>
        <w:t xml:space="preserve"> </w:t>
      </w:r>
      <w:r w:rsidR="00317951">
        <w:rPr>
          <w:sz w:val="24"/>
          <w:lang w:val="en-GB"/>
        </w:rPr>
        <w:t xml:space="preserve">is applied </w:t>
      </w:r>
      <w:r w:rsidR="00317951" w:rsidRPr="00322B8F">
        <w:rPr>
          <w:sz w:val="24"/>
          <w:lang w:val="en-GB"/>
        </w:rPr>
        <w:t>may</w:t>
      </w:r>
      <w:r w:rsidRPr="00322B8F">
        <w:rPr>
          <w:sz w:val="24"/>
          <w:lang w:val="en-GB"/>
        </w:rPr>
        <w:t xml:space="preserve"> vary depending on the nature of the decision and must be determined in the light of the circumstances of the particular case. It is the essential arguments of the claimants that need to be addressed and the reasons </w:t>
      </w:r>
      <w:r w:rsidR="00317951">
        <w:rPr>
          <w:sz w:val="24"/>
          <w:lang w:val="en-GB"/>
        </w:rPr>
        <w:t>provided</w:t>
      </w:r>
      <w:r w:rsidRPr="00322B8F">
        <w:rPr>
          <w:sz w:val="24"/>
          <w:lang w:val="en-GB"/>
        </w:rPr>
        <w:t xml:space="preserve"> must be based on applicable law. (See</w:t>
      </w:r>
      <w:r w:rsidR="00317951">
        <w:rPr>
          <w:sz w:val="24"/>
          <w:lang w:val="en-GB"/>
        </w:rPr>
        <w:t xml:space="preserve"> the</w:t>
      </w:r>
      <w:r w:rsidRPr="00322B8F">
        <w:rPr>
          <w:sz w:val="24"/>
          <w:lang w:val="en-GB"/>
        </w:rPr>
        <w:t xml:space="preserve"> </w:t>
      </w:r>
      <w:proofErr w:type="spellStart"/>
      <w:r w:rsidRPr="00322B8F">
        <w:rPr>
          <w:sz w:val="24"/>
          <w:lang w:val="en-GB"/>
        </w:rPr>
        <w:t>ECtHR</w:t>
      </w:r>
      <w:proofErr w:type="spellEnd"/>
      <w:r w:rsidRPr="00322B8F">
        <w:rPr>
          <w:sz w:val="24"/>
          <w:lang w:val="en-GB"/>
        </w:rPr>
        <w:t xml:space="preserve"> cases </w:t>
      </w:r>
      <w:r w:rsidRPr="00317951">
        <w:rPr>
          <w:i/>
          <w:sz w:val="24"/>
          <w:lang w:val="en-GB"/>
        </w:rPr>
        <w:t>Garcia Ruiz v. Spain</w:t>
      </w:r>
      <w:r w:rsidRPr="00322B8F">
        <w:rPr>
          <w:sz w:val="24"/>
          <w:lang w:val="en-GB"/>
        </w:rPr>
        <w:t xml:space="preserve">, no. 30544/96, Judgment of 21 January 1999, paragraph 29; </w:t>
      </w:r>
      <w:r w:rsidRPr="00317951">
        <w:rPr>
          <w:i/>
          <w:sz w:val="24"/>
          <w:lang w:val="en-GB"/>
        </w:rPr>
        <w:t xml:space="preserve">Hiro </w:t>
      </w:r>
      <w:proofErr w:type="spellStart"/>
      <w:r w:rsidRPr="00317951">
        <w:rPr>
          <w:i/>
          <w:sz w:val="24"/>
          <w:lang w:val="en-GB"/>
        </w:rPr>
        <w:t>Balani</w:t>
      </w:r>
      <w:proofErr w:type="spellEnd"/>
      <w:r w:rsidRPr="00317951">
        <w:rPr>
          <w:i/>
          <w:sz w:val="24"/>
          <w:lang w:val="en-GB"/>
        </w:rPr>
        <w:t xml:space="preserve"> v. Spain</w:t>
      </w:r>
      <w:r w:rsidRPr="00322B8F">
        <w:rPr>
          <w:sz w:val="24"/>
          <w:lang w:val="en-GB"/>
        </w:rPr>
        <w:t xml:space="preserve">, Judgment of 9 December 1994, paragraph 27; and </w:t>
      </w:r>
      <w:r w:rsidRPr="00317951">
        <w:rPr>
          <w:i/>
          <w:sz w:val="24"/>
          <w:lang w:val="en-GB"/>
        </w:rPr>
        <w:t>Higgins and others v. France</w:t>
      </w:r>
      <w:r w:rsidRPr="00322B8F">
        <w:rPr>
          <w:sz w:val="24"/>
          <w:lang w:val="en-GB"/>
        </w:rPr>
        <w:t xml:space="preserve">, paragraph 42, see also </w:t>
      </w:r>
      <w:r w:rsidR="00317951">
        <w:rPr>
          <w:sz w:val="24"/>
          <w:lang w:val="en-GB"/>
        </w:rPr>
        <w:t>the case KI97</w:t>
      </w:r>
      <w:r w:rsidRPr="00322B8F">
        <w:rPr>
          <w:sz w:val="24"/>
          <w:lang w:val="en-GB"/>
        </w:rPr>
        <w:t xml:space="preserve">/16, </w:t>
      </w:r>
      <w:r w:rsidR="00317951">
        <w:rPr>
          <w:sz w:val="24"/>
          <w:lang w:val="en-GB"/>
        </w:rPr>
        <w:t>Applicant</w:t>
      </w:r>
      <w:r w:rsidRPr="00322B8F">
        <w:rPr>
          <w:sz w:val="24"/>
          <w:lang w:val="en-GB"/>
        </w:rPr>
        <w:t xml:space="preserve"> IKK Classic, cited above, paragraph 48; and case KI 87/18 “IF </w:t>
      </w:r>
      <w:proofErr w:type="spellStart"/>
      <w:r w:rsidRPr="00322B8F">
        <w:rPr>
          <w:sz w:val="24"/>
          <w:lang w:val="en-GB"/>
        </w:rPr>
        <w:t>Skadeforsikring</w:t>
      </w:r>
      <w:proofErr w:type="spellEnd"/>
      <w:r w:rsidRPr="00322B8F">
        <w:rPr>
          <w:sz w:val="24"/>
          <w:lang w:val="en-GB"/>
        </w:rPr>
        <w:t>”, cited above, paragraph 48</w:t>
      </w:r>
      <w:r w:rsidR="00FF271B" w:rsidRPr="00314A8D">
        <w:rPr>
          <w:sz w:val="24"/>
          <w:lang w:val="en-GB"/>
        </w:rPr>
        <w:t>).</w:t>
      </w:r>
    </w:p>
    <w:p w:rsidR="00D84302" w:rsidRPr="00314A8D" w:rsidRDefault="00D84302" w:rsidP="00A06B9C">
      <w:pPr>
        <w:pStyle w:val="ListParagraph"/>
        <w:spacing w:line="240" w:lineRule="auto"/>
        <w:rPr>
          <w:rFonts w:cs="Arial"/>
          <w:iCs/>
          <w:sz w:val="24"/>
          <w:lang w:val="en-GB"/>
        </w:rPr>
      </w:pPr>
    </w:p>
    <w:p w:rsidR="00D84302" w:rsidRPr="00314A8D" w:rsidRDefault="00B15FFB" w:rsidP="00A06B9C">
      <w:pPr>
        <w:pStyle w:val="ListParagraph"/>
        <w:numPr>
          <w:ilvl w:val="0"/>
          <w:numId w:val="63"/>
        </w:numPr>
        <w:spacing w:line="240" w:lineRule="auto"/>
        <w:ind w:left="630" w:hanging="630"/>
        <w:rPr>
          <w:rFonts w:cs="Arial"/>
          <w:iCs/>
          <w:sz w:val="24"/>
          <w:lang w:val="en-GB"/>
        </w:rPr>
      </w:pPr>
      <w:r w:rsidRPr="00B15FFB">
        <w:rPr>
          <w:sz w:val="24"/>
          <w:lang w:val="en-GB"/>
        </w:rPr>
        <w:t>Consequently, the Court reiterates that the right to</w:t>
      </w:r>
      <w:r>
        <w:rPr>
          <w:sz w:val="24"/>
          <w:lang w:val="en-GB"/>
        </w:rPr>
        <w:t xml:space="preserve"> render </w:t>
      </w:r>
      <w:r w:rsidRPr="00B15FFB">
        <w:rPr>
          <w:sz w:val="24"/>
          <w:lang w:val="en-GB"/>
        </w:rPr>
        <w:t xml:space="preserve">a </w:t>
      </w:r>
      <w:r>
        <w:rPr>
          <w:sz w:val="24"/>
          <w:lang w:val="en-GB"/>
        </w:rPr>
        <w:t>court</w:t>
      </w:r>
      <w:r w:rsidRPr="00B15FFB">
        <w:rPr>
          <w:sz w:val="24"/>
          <w:lang w:val="en-GB"/>
        </w:rPr>
        <w:t xml:space="preserve"> decision in accordance with the law includes the obligation </w:t>
      </w:r>
      <w:r>
        <w:rPr>
          <w:sz w:val="24"/>
          <w:lang w:val="en-GB"/>
        </w:rPr>
        <w:t>for</w:t>
      </w:r>
      <w:r w:rsidRPr="00B15FFB">
        <w:rPr>
          <w:sz w:val="24"/>
          <w:lang w:val="en-GB"/>
        </w:rPr>
        <w:t xml:space="preserve"> the courts to </w:t>
      </w:r>
      <w:r>
        <w:rPr>
          <w:sz w:val="24"/>
          <w:lang w:val="en-GB"/>
        </w:rPr>
        <w:t>provide reasons on</w:t>
      </w:r>
      <w:r w:rsidRPr="00B15FFB">
        <w:rPr>
          <w:sz w:val="24"/>
          <w:lang w:val="en-GB"/>
        </w:rPr>
        <w:t xml:space="preserve"> their decisions, both at the procedural and </w:t>
      </w:r>
      <w:r>
        <w:rPr>
          <w:sz w:val="24"/>
          <w:lang w:val="en-GB"/>
        </w:rPr>
        <w:t>substantive</w:t>
      </w:r>
      <w:r w:rsidRPr="00B15FFB">
        <w:rPr>
          <w:sz w:val="24"/>
          <w:lang w:val="en-GB"/>
        </w:rPr>
        <w:t xml:space="preserve"> level. (See, </w:t>
      </w:r>
      <w:proofErr w:type="spellStart"/>
      <w:r w:rsidRPr="00B15FFB">
        <w:rPr>
          <w:sz w:val="24"/>
          <w:lang w:val="en-GB"/>
        </w:rPr>
        <w:t>mutatismutandis</w:t>
      </w:r>
      <w:proofErr w:type="spellEnd"/>
      <w:r w:rsidRPr="00B15FFB">
        <w:rPr>
          <w:sz w:val="24"/>
          <w:lang w:val="en-GB"/>
        </w:rPr>
        <w:t xml:space="preserve">, case of </w:t>
      </w:r>
      <w:r>
        <w:rPr>
          <w:sz w:val="24"/>
          <w:lang w:val="en-GB"/>
        </w:rPr>
        <w:t xml:space="preserve">the Court </w:t>
      </w:r>
      <w:r w:rsidRPr="00B15FFB">
        <w:rPr>
          <w:sz w:val="24"/>
          <w:lang w:val="en-GB"/>
        </w:rPr>
        <w:t>K</w:t>
      </w:r>
      <w:r>
        <w:rPr>
          <w:sz w:val="24"/>
          <w:lang w:val="en-GB"/>
        </w:rPr>
        <w:t>I97</w:t>
      </w:r>
      <w:r w:rsidRPr="00B15FFB">
        <w:rPr>
          <w:sz w:val="24"/>
          <w:lang w:val="en-GB"/>
        </w:rPr>
        <w:t xml:space="preserve">/16t, </w:t>
      </w:r>
      <w:r>
        <w:rPr>
          <w:sz w:val="24"/>
          <w:lang w:val="en-GB"/>
        </w:rPr>
        <w:t>A</w:t>
      </w:r>
      <w:r w:rsidRPr="00B15FFB">
        <w:rPr>
          <w:sz w:val="24"/>
          <w:lang w:val="en-GB"/>
        </w:rPr>
        <w:t xml:space="preserve">pplicant IKK Classic, cited above, </w:t>
      </w:r>
      <w:proofErr w:type="gramStart"/>
      <w:r w:rsidRPr="00B15FFB">
        <w:rPr>
          <w:sz w:val="24"/>
          <w:lang w:val="en-GB"/>
        </w:rPr>
        <w:t>paragraph</w:t>
      </w:r>
      <w:proofErr w:type="gramEnd"/>
      <w:r w:rsidRPr="00B15FFB">
        <w:rPr>
          <w:sz w:val="24"/>
          <w:lang w:val="en-GB"/>
        </w:rPr>
        <w:t xml:space="preserve"> 54</w:t>
      </w:r>
      <w:r w:rsidR="00FF271B" w:rsidRPr="00314A8D">
        <w:rPr>
          <w:sz w:val="24"/>
          <w:lang w:val="en-GB"/>
        </w:rPr>
        <w:t>).</w:t>
      </w:r>
    </w:p>
    <w:p w:rsidR="00D84302" w:rsidRPr="00314A8D" w:rsidRDefault="00D84302" w:rsidP="00A06B9C">
      <w:pPr>
        <w:pStyle w:val="ListParagraph"/>
        <w:spacing w:line="240" w:lineRule="auto"/>
        <w:rPr>
          <w:rFonts w:cs="Arial"/>
          <w:iCs/>
          <w:sz w:val="24"/>
          <w:lang w:val="en-GB"/>
        </w:rPr>
      </w:pPr>
    </w:p>
    <w:p w:rsidR="00D84302" w:rsidRPr="00314A8D" w:rsidRDefault="00B15FFB" w:rsidP="00A06B9C">
      <w:pPr>
        <w:pStyle w:val="ListParagraph"/>
        <w:numPr>
          <w:ilvl w:val="0"/>
          <w:numId w:val="63"/>
        </w:numPr>
        <w:spacing w:line="240" w:lineRule="auto"/>
        <w:ind w:left="630" w:hanging="630"/>
        <w:rPr>
          <w:rFonts w:cs="Arial"/>
          <w:iCs/>
          <w:sz w:val="24"/>
          <w:lang w:val="en-GB"/>
        </w:rPr>
      </w:pPr>
      <w:r w:rsidRPr="00B15FFB">
        <w:rPr>
          <w:sz w:val="24"/>
          <w:lang w:val="en-GB"/>
        </w:rPr>
        <w:t xml:space="preserve">Finally, the Court, referring to its case law, recalls that court decisions will violate the constitutional principle of </w:t>
      </w:r>
      <w:r w:rsidR="003D2504">
        <w:rPr>
          <w:sz w:val="24"/>
          <w:lang w:val="en-GB"/>
        </w:rPr>
        <w:t xml:space="preserve">a ban </w:t>
      </w:r>
      <w:r w:rsidRPr="00B15FFB">
        <w:rPr>
          <w:sz w:val="24"/>
          <w:lang w:val="en-GB"/>
        </w:rPr>
        <w:t>o</w:t>
      </w:r>
      <w:r w:rsidR="003D2504">
        <w:rPr>
          <w:sz w:val="24"/>
          <w:lang w:val="en-GB"/>
        </w:rPr>
        <w:t>n</w:t>
      </w:r>
      <w:r w:rsidRPr="00B15FFB">
        <w:rPr>
          <w:sz w:val="24"/>
          <w:lang w:val="en-GB"/>
        </w:rPr>
        <w:t xml:space="preserve"> arbitrariness in decision-making, if the reasoning does not contain the </w:t>
      </w:r>
      <w:r w:rsidR="003D2504">
        <w:rPr>
          <w:sz w:val="24"/>
          <w:lang w:val="en-GB"/>
        </w:rPr>
        <w:t>established</w:t>
      </w:r>
      <w:r w:rsidRPr="00B15FFB">
        <w:rPr>
          <w:sz w:val="24"/>
          <w:lang w:val="en-GB"/>
        </w:rPr>
        <w:t xml:space="preserve"> facts, the relevant legal provisions and the logical relationship between them. (See, inter alia, the cases of the Court: KI72/12, applicant </w:t>
      </w:r>
      <w:r w:rsidRPr="00B15FFB">
        <w:rPr>
          <w:i/>
          <w:sz w:val="24"/>
          <w:lang w:val="en-GB"/>
        </w:rPr>
        <w:t xml:space="preserve">Veton Berisha and </w:t>
      </w:r>
      <w:proofErr w:type="spellStart"/>
      <w:r w:rsidRPr="00B15FFB">
        <w:rPr>
          <w:i/>
          <w:sz w:val="24"/>
          <w:lang w:val="en-GB"/>
        </w:rPr>
        <w:t>IlfeteHaziri</w:t>
      </w:r>
      <w:proofErr w:type="spellEnd"/>
      <w:r w:rsidRPr="00B15FFB">
        <w:rPr>
          <w:sz w:val="24"/>
          <w:lang w:val="en-GB"/>
        </w:rPr>
        <w:t xml:space="preserve">, cited above, paragraph 61; </w:t>
      </w:r>
      <w:r w:rsidRPr="00B15FFB">
        <w:rPr>
          <w:sz w:val="24"/>
          <w:lang w:val="en-GB"/>
        </w:rPr>
        <w:lastRenderedPageBreak/>
        <w:t xml:space="preserve">KI135/14, </w:t>
      </w:r>
      <w:r>
        <w:rPr>
          <w:sz w:val="24"/>
          <w:lang w:val="en-GB"/>
        </w:rPr>
        <w:t>Applicant</w:t>
      </w:r>
      <w:r w:rsidRPr="00B15FFB">
        <w:rPr>
          <w:sz w:val="24"/>
          <w:lang w:val="en-GB"/>
        </w:rPr>
        <w:t xml:space="preserve"> </w:t>
      </w:r>
      <w:r w:rsidRPr="00B15FFB">
        <w:rPr>
          <w:i/>
          <w:sz w:val="24"/>
          <w:lang w:val="en-GB"/>
        </w:rPr>
        <w:t>IKK Classic</w:t>
      </w:r>
      <w:r w:rsidRPr="00B15FFB">
        <w:rPr>
          <w:sz w:val="24"/>
          <w:lang w:val="en-GB"/>
        </w:rPr>
        <w:t xml:space="preserve">, cited above, paragraph 58; KI 96/16 </w:t>
      </w:r>
      <w:r>
        <w:rPr>
          <w:sz w:val="24"/>
          <w:lang w:val="en-GB"/>
        </w:rPr>
        <w:t xml:space="preserve">Applicant </w:t>
      </w:r>
      <w:r w:rsidRPr="00B15FFB">
        <w:rPr>
          <w:i/>
          <w:sz w:val="24"/>
          <w:lang w:val="en-GB"/>
        </w:rPr>
        <w:t xml:space="preserve">IKK </w:t>
      </w:r>
      <w:proofErr w:type="spellStart"/>
      <w:r w:rsidRPr="00B15FFB">
        <w:rPr>
          <w:i/>
          <w:sz w:val="24"/>
          <w:lang w:val="en-GB"/>
        </w:rPr>
        <w:t>Classic</w:t>
      </w:r>
      <w:r w:rsidRPr="00B15FFB">
        <w:rPr>
          <w:sz w:val="24"/>
          <w:lang w:val="en-GB"/>
        </w:rPr>
        <w:t>,cited</w:t>
      </w:r>
      <w:proofErr w:type="spellEnd"/>
      <w:r w:rsidRPr="00B15FFB">
        <w:rPr>
          <w:sz w:val="24"/>
          <w:lang w:val="en-GB"/>
        </w:rPr>
        <w:t xml:space="preserve"> above, paragraph 52; and KI87/18, </w:t>
      </w:r>
      <w:r>
        <w:rPr>
          <w:sz w:val="24"/>
          <w:lang w:val="en-GB"/>
        </w:rPr>
        <w:t>Applicant</w:t>
      </w:r>
      <w:r w:rsidRPr="00B15FFB">
        <w:rPr>
          <w:sz w:val="24"/>
          <w:lang w:val="en-GB"/>
        </w:rPr>
        <w:t xml:space="preserve"> </w:t>
      </w:r>
      <w:r w:rsidRPr="00B15FFB">
        <w:rPr>
          <w:i/>
          <w:sz w:val="24"/>
          <w:lang w:val="en-GB"/>
        </w:rPr>
        <w:t xml:space="preserve">“IF </w:t>
      </w:r>
      <w:proofErr w:type="spellStart"/>
      <w:r w:rsidRPr="00B15FFB">
        <w:rPr>
          <w:i/>
          <w:sz w:val="24"/>
          <w:lang w:val="en-GB"/>
        </w:rPr>
        <w:t>Skadeforsikring</w:t>
      </w:r>
      <w:proofErr w:type="spellEnd"/>
      <w:r w:rsidRPr="00B15FFB">
        <w:rPr>
          <w:i/>
          <w:sz w:val="24"/>
          <w:lang w:val="en-GB"/>
        </w:rPr>
        <w:t>”</w:t>
      </w:r>
      <w:r w:rsidRPr="00B15FFB">
        <w:rPr>
          <w:sz w:val="24"/>
          <w:lang w:val="en-GB"/>
        </w:rPr>
        <w:t xml:space="preserve"> cited above, paragraph 49</w:t>
      </w:r>
      <w:r w:rsidR="00FF271B" w:rsidRPr="00314A8D">
        <w:rPr>
          <w:sz w:val="24"/>
          <w:lang w:val="en-GB"/>
        </w:rPr>
        <w:t>).</w:t>
      </w:r>
    </w:p>
    <w:p w:rsidR="00D84302" w:rsidRPr="00314A8D" w:rsidRDefault="00D84302" w:rsidP="00A06B9C">
      <w:pPr>
        <w:pStyle w:val="ListParagraph"/>
        <w:spacing w:line="240" w:lineRule="auto"/>
        <w:rPr>
          <w:sz w:val="24"/>
          <w:lang w:val="en-GB"/>
        </w:rPr>
      </w:pPr>
    </w:p>
    <w:p w:rsidR="00D84302" w:rsidRPr="00314A8D" w:rsidRDefault="00FF271B" w:rsidP="00A06B9C">
      <w:pPr>
        <w:spacing w:line="240" w:lineRule="auto"/>
        <w:rPr>
          <w:rFonts w:cs="Arial"/>
          <w:i/>
          <w:iCs/>
          <w:sz w:val="24"/>
          <w:lang w:val="en-GB"/>
        </w:rPr>
      </w:pPr>
      <w:r w:rsidRPr="00314A8D">
        <w:rPr>
          <w:rFonts w:cs="Arial"/>
          <w:i/>
          <w:iCs/>
          <w:sz w:val="24"/>
          <w:lang w:val="en-GB"/>
        </w:rPr>
        <w:t xml:space="preserve">(ii) </w:t>
      </w:r>
      <w:r w:rsidR="003D2504">
        <w:rPr>
          <w:rFonts w:cs="Arial"/>
          <w:i/>
          <w:iCs/>
          <w:sz w:val="24"/>
          <w:lang w:val="en-GB"/>
        </w:rPr>
        <w:t>Application of the aforementioned principles in the Applicant’s case</w:t>
      </w:r>
      <w:r w:rsidRPr="00314A8D">
        <w:rPr>
          <w:rFonts w:cs="Arial"/>
          <w:i/>
          <w:iCs/>
          <w:sz w:val="24"/>
          <w:lang w:val="en-GB"/>
        </w:rPr>
        <w:t xml:space="preserve"> </w:t>
      </w:r>
    </w:p>
    <w:p w:rsidR="00D84302" w:rsidRPr="00314A8D" w:rsidRDefault="00D84302" w:rsidP="00A06B9C">
      <w:pPr>
        <w:spacing w:line="240" w:lineRule="auto"/>
        <w:rPr>
          <w:rFonts w:cs="Arial"/>
          <w:i/>
          <w:iCs/>
          <w:sz w:val="24"/>
          <w:lang w:val="en-GB"/>
        </w:rPr>
      </w:pPr>
    </w:p>
    <w:p w:rsidR="00D84302" w:rsidRPr="00314A8D" w:rsidRDefault="00281EE6" w:rsidP="00A06B9C">
      <w:pPr>
        <w:pStyle w:val="ListParagraph"/>
        <w:numPr>
          <w:ilvl w:val="0"/>
          <w:numId w:val="63"/>
        </w:numPr>
        <w:spacing w:line="240" w:lineRule="auto"/>
        <w:ind w:left="630" w:hanging="630"/>
        <w:rPr>
          <w:sz w:val="24"/>
          <w:lang w:val="en-GB"/>
        </w:rPr>
      </w:pPr>
      <w:r w:rsidRPr="00281EE6">
        <w:rPr>
          <w:sz w:val="24"/>
          <w:lang w:val="en-GB"/>
        </w:rPr>
        <w:t xml:space="preserve">In the present case, the </w:t>
      </w:r>
      <w:r>
        <w:rPr>
          <w:sz w:val="24"/>
          <w:lang w:val="en-GB"/>
        </w:rPr>
        <w:t>substantial allegation</w:t>
      </w:r>
      <w:r w:rsidRPr="00281EE6">
        <w:rPr>
          <w:sz w:val="24"/>
          <w:lang w:val="en-GB"/>
        </w:rPr>
        <w:t xml:space="preserve"> of the Applicant is that the Court of Appeals has considered only the </w:t>
      </w:r>
      <w:r>
        <w:rPr>
          <w:sz w:val="24"/>
          <w:lang w:val="en-GB"/>
        </w:rPr>
        <w:t>extrajudicial agreement</w:t>
      </w:r>
      <w:r w:rsidRPr="00281EE6">
        <w:rPr>
          <w:sz w:val="24"/>
          <w:lang w:val="en-GB"/>
        </w:rPr>
        <w:t xml:space="preserve"> for compensation, concluded between the </w:t>
      </w:r>
      <w:r>
        <w:rPr>
          <w:sz w:val="24"/>
          <w:lang w:val="en-GB"/>
        </w:rPr>
        <w:t>A</w:t>
      </w:r>
      <w:r w:rsidRPr="00281EE6">
        <w:rPr>
          <w:sz w:val="24"/>
          <w:lang w:val="en-GB"/>
        </w:rPr>
        <w:t>pplicant's insure</w:t>
      </w:r>
      <w:r>
        <w:rPr>
          <w:sz w:val="24"/>
          <w:lang w:val="en-GB"/>
        </w:rPr>
        <w:t>d person</w:t>
      </w:r>
      <w:r w:rsidRPr="00281EE6">
        <w:rPr>
          <w:sz w:val="24"/>
          <w:lang w:val="en-GB"/>
        </w:rPr>
        <w:t xml:space="preserve"> and the K</w:t>
      </w:r>
      <w:r>
        <w:rPr>
          <w:sz w:val="24"/>
          <w:lang w:val="en-GB"/>
        </w:rPr>
        <w:t>IB</w:t>
      </w:r>
      <w:r w:rsidRPr="00281EE6">
        <w:rPr>
          <w:sz w:val="24"/>
          <w:lang w:val="en-GB"/>
        </w:rPr>
        <w:t xml:space="preserve">, </w:t>
      </w:r>
      <w:r>
        <w:rPr>
          <w:sz w:val="24"/>
          <w:lang w:val="en-GB"/>
        </w:rPr>
        <w:t xml:space="preserve">thus </w:t>
      </w:r>
      <w:r w:rsidRPr="00281EE6">
        <w:rPr>
          <w:sz w:val="24"/>
          <w:lang w:val="en-GB"/>
        </w:rPr>
        <w:t xml:space="preserve">failing to fully address the issue of medical expenses and compensation for incapacity </w:t>
      </w:r>
      <w:r>
        <w:rPr>
          <w:sz w:val="24"/>
          <w:lang w:val="en-GB"/>
        </w:rPr>
        <w:t>to</w:t>
      </w:r>
      <w:r w:rsidRPr="00281EE6">
        <w:rPr>
          <w:sz w:val="24"/>
          <w:lang w:val="en-GB"/>
        </w:rPr>
        <w:t xml:space="preserve"> work paid by the </w:t>
      </w:r>
      <w:r>
        <w:rPr>
          <w:sz w:val="24"/>
          <w:lang w:val="en-GB"/>
        </w:rPr>
        <w:t>A</w:t>
      </w:r>
      <w:r w:rsidRPr="00281EE6">
        <w:rPr>
          <w:sz w:val="24"/>
          <w:lang w:val="en-GB"/>
        </w:rPr>
        <w:t xml:space="preserve">pplicant </w:t>
      </w:r>
      <w:r>
        <w:rPr>
          <w:sz w:val="24"/>
          <w:lang w:val="en-GB"/>
        </w:rPr>
        <w:t>to</w:t>
      </w:r>
      <w:r w:rsidRPr="00281EE6">
        <w:rPr>
          <w:sz w:val="24"/>
          <w:lang w:val="en-GB"/>
        </w:rPr>
        <w:t xml:space="preserve"> its </w:t>
      </w:r>
      <w:r>
        <w:rPr>
          <w:sz w:val="24"/>
          <w:lang w:val="en-GB"/>
        </w:rPr>
        <w:t>insured person</w:t>
      </w:r>
      <w:r w:rsidRPr="00281EE6">
        <w:rPr>
          <w:sz w:val="24"/>
          <w:lang w:val="en-GB"/>
        </w:rPr>
        <w:t xml:space="preserve"> M</w:t>
      </w:r>
      <w:r>
        <w:rPr>
          <w:sz w:val="24"/>
          <w:lang w:val="en-GB"/>
        </w:rPr>
        <w:t>.</w:t>
      </w:r>
      <w:r w:rsidRPr="00281EE6">
        <w:rPr>
          <w:sz w:val="24"/>
          <w:lang w:val="en-GB"/>
        </w:rPr>
        <w:t>B</w:t>
      </w:r>
      <w:r>
        <w:rPr>
          <w:sz w:val="24"/>
          <w:lang w:val="en-GB"/>
        </w:rPr>
        <w:t>.</w:t>
      </w:r>
    </w:p>
    <w:p w:rsidR="00D84302" w:rsidRPr="00314A8D" w:rsidRDefault="00D84302" w:rsidP="00A06B9C">
      <w:pPr>
        <w:spacing w:line="240" w:lineRule="auto"/>
        <w:rPr>
          <w:sz w:val="24"/>
          <w:lang w:val="en-GB"/>
        </w:rPr>
      </w:pPr>
    </w:p>
    <w:p w:rsidR="00D84302" w:rsidRPr="00314A8D" w:rsidRDefault="003E3597" w:rsidP="00A06B9C">
      <w:pPr>
        <w:pStyle w:val="ListParagraph"/>
        <w:numPr>
          <w:ilvl w:val="0"/>
          <w:numId w:val="63"/>
        </w:numPr>
        <w:spacing w:line="240" w:lineRule="auto"/>
        <w:ind w:left="630" w:hanging="630"/>
        <w:rPr>
          <w:rFonts w:cs="Arial"/>
          <w:iCs/>
          <w:sz w:val="24"/>
          <w:lang w:val="en-GB"/>
        </w:rPr>
      </w:pPr>
      <w:r w:rsidRPr="003E3597">
        <w:rPr>
          <w:sz w:val="24"/>
          <w:lang w:val="en-GB"/>
        </w:rPr>
        <w:t>In order to ascertain whether the reasoning given by the Court of Appeals meets the standards of a reasoned court decision, the Court first recalls the reasoning of the Court of Appeals, which states as follows:</w:t>
      </w:r>
    </w:p>
    <w:p w:rsidR="00D84302" w:rsidRPr="00314A8D" w:rsidRDefault="00D84302" w:rsidP="00A06B9C">
      <w:pPr>
        <w:pStyle w:val="ListParagraph"/>
        <w:spacing w:line="240" w:lineRule="auto"/>
        <w:rPr>
          <w:rFonts w:cs="Arial"/>
          <w:iCs/>
          <w:sz w:val="24"/>
          <w:lang w:val="en-GB"/>
        </w:rPr>
      </w:pPr>
    </w:p>
    <w:p w:rsidR="00D84302" w:rsidRPr="00314A8D" w:rsidRDefault="00FF271B" w:rsidP="00A06B9C">
      <w:pPr>
        <w:autoSpaceDE w:val="0"/>
        <w:autoSpaceDN w:val="0"/>
        <w:adjustRightInd w:val="0"/>
        <w:spacing w:line="240" w:lineRule="auto"/>
        <w:ind w:left="990"/>
        <w:rPr>
          <w:i/>
          <w:sz w:val="24"/>
          <w:lang w:val="en-GB"/>
        </w:rPr>
      </w:pPr>
      <w:r w:rsidRPr="00314A8D">
        <w:rPr>
          <w:i/>
          <w:sz w:val="24"/>
          <w:lang w:val="en-GB"/>
        </w:rPr>
        <w:t>“</w:t>
      </w:r>
      <w:r w:rsidR="00EE3F16" w:rsidRPr="00EE3F16">
        <w:rPr>
          <w:i/>
          <w:sz w:val="24"/>
          <w:lang w:val="en-GB"/>
        </w:rPr>
        <w:t xml:space="preserve">The </w:t>
      </w:r>
      <w:r w:rsidR="00EE3F16">
        <w:rPr>
          <w:i/>
          <w:sz w:val="24"/>
          <w:lang w:val="en-GB"/>
        </w:rPr>
        <w:t>trial panel of the Court of Appeals of Kosovo</w:t>
      </w:r>
      <w:r w:rsidR="00EE3F16" w:rsidRPr="00EE3F16">
        <w:rPr>
          <w:i/>
          <w:sz w:val="24"/>
          <w:lang w:val="en-GB"/>
        </w:rPr>
        <w:t xml:space="preserve">, </w:t>
      </w:r>
      <w:r w:rsidR="00EE3F16">
        <w:rPr>
          <w:i/>
          <w:sz w:val="24"/>
          <w:lang w:val="en-GB"/>
        </w:rPr>
        <w:t>having</w:t>
      </w:r>
      <w:r w:rsidR="00EE3F16" w:rsidRPr="00EE3F16">
        <w:rPr>
          <w:i/>
          <w:sz w:val="24"/>
          <w:lang w:val="en-GB"/>
        </w:rPr>
        <w:t xml:space="preserve"> carefully </w:t>
      </w:r>
      <w:proofErr w:type="spellStart"/>
      <w:r w:rsidR="00EE3F16" w:rsidRPr="00EE3F16">
        <w:rPr>
          <w:i/>
          <w:sz w:val="24"/>
          <w:lang w:val="en-GB"/>
        </w:rPr>
        <w:t>analyz</w:t>
      </w:r>
      <w:r w:rsidR="00EE3F16">
        <w:rPr>
          <w:i/>
          <w:sz w:val="24"/>
          <w:lang w:val="en-GB"/>
        </w:rPr>
        <w:t>ed</w:t>
      </w:r>
      <w:proofErr w:type="spellEnd"/>
      <w:r w:rsidR="00EE3F16" w:rsidRPr="00EE3F16">
        <w:rPr>
          <w:i/>
          <w:sz w:val="24"/>
          <w:lang w:val="en-GB"/>
        </w:rPr>
        <w:t xml:space="preserve"> and </w:t>
      </w:r>
      <w:proofErr w:type="spellStart"/>
      <w:r w:rsidR="00EE3F16" w:rsidRPr="00EE3F16">
        <w:rPr>
          <w:i/>
          <w:sz w:val="24"/>
          <w:lang w:val="en-GB"/>
        </w:rPr>
        <w:t>reviewi</w:t>
      </w:r>
      <w:r w:rsidR="00EE3F16">
        <w:rPr>
          <w:i/>
          <w:sz w:val="24"/>
          <w:lang w:val="en-GB"/>
        </w:rPr>
        <w:t>ed</w:t>
      </w:r>
      <w:proofErr w:type="spellEnd"/>
      <w:r w:rsidR="00EE3F16" w:rsidRPr="00EE3F16">
        <w:rPr>
          <w:i/>
          <w:sz w:val="24"/>
          <w:lang w:val="en-GB"/>
        </w:rPr>
        <w:t xml:space="preserve"> the evidence </w:t>
      </w:r>
      <w:r w:rsidR="00EE3F16">
        <w:rPr>
          <w:i/>
          <w:sz w:val="24"/>
          <w:lang w:val="en-GB"/>
        </w:rPr>
        <w:t>contained</w:t>
      </w:r>
      <w:r w:rsidR="00EE3F16" w:rsidRPr="00EE3F16">
        <w:rPr>
          <w:i/>
          <w:sz w:val="24"/>
          <w:lang w:val="en-GB"/>
        </w:rPr>
        <w:t xml:space="preserve"> in the case file, concluded that the [</w:t>
      </w:r>
      <w:r w:rsidR="00EE3F16">
        <w:rPr>
          <w:i/>
          <w:sz w:val="24"/>
          <w:lang w:val="en-GB"/>
        </w:rPr>
        <w:t>A</w:t>
      </w:r>
      <w:r w:rsidR="00EE3F16" w:rsidRPr="00EE3F16">
        <w:rPr>
          <w:i/>
          <w:sz w:val="24"/>
          <w:lang w:val="en-GB"/>
        </w:rPr>
        <w:t xml:space="preserve">pplicant's] appeal </w:t>
      </w:r>
      <w:r w:rsidR="00EE3F16">
        <w:rPr>
          <w:i/>
          <w:sz w:val="24"/>
          <w:lang w:val="en-GB"/>
        </w:rPr>
        <w:t>i</w:t>
      </w:r>
      <w:r w:rsidR="00EE3F16" w:rsidRPr="00EE3F16">
        <w:rPr>
          <w:i/>
          <w:sz w:val="24"/>
          <w:lang w:val="en-GB"/>
        </w:rPr>
        <w:t xml:space="preserve">s unfounded, </w:t>
      </w:r>
      <w:r w:rsidR="00EE3F16">
        <w:rPr>
          <w:i/>
          <w:sz w:val="24"/>
          <w:lang w:val="en-GB"/>
        </w:rPr>
        <w:t xml:space="preserve">for the reason </w:t>
      </w:r>
      <w:r w:rsidR="00EE3F16" w:rsidRPr="00EE3F16">
        <w:rPr>
          <w:i/>
          <w:sz w:val="24"/>
          <w:lang w:val="en-GB"/>
        </w:rPr>
        <w:t xml:space="preserve">that the Court of First Instance </w:t>
      </w:r>
      <w:r w:rsidR="00EE3F16">
        <w:rPr>
          <w:i/>
          <w:sz w:val="24"/>
          <w:lang w:val="en-GB"/>
        </w:rPr>
        <w:t>has provided</w:t>
      </w:r>
      <w:r w:rsidR="00EE3F16" w:rsidRPr="00EE3F16">
        <w:rPr>
          <w:i/>
          <w:sz w:val="24"/>
          <w:lang w:val="en-GB"/>
        </w:rPr>
        <w:t xml:space="preserve"> sufficient and convincing reasons that the respondent, the Kosovo </w:t>
      </w:r>
      <w:r w:rsidR="00C67FD2">
        <w:rPr>
          <w:i/>
          <w:sz w:val="24"/>
          <w:lang w:val="en-GB"/>
        </w:rPr>
        <w:t>Insurance</w:t>
      </w:r>
      <w:r w:rsidR="00EE3F16" w:rsidRPr="00EE3F16">
        <w:rPr>
          <w:i/>
          <w:sz w:val="24"/>
          <w:lang w:val="en-GB"/>
        </w:rPr>
        <w:t xml:space="preserve"> Bureau based in </w:t>
      </w:r>
      <w:proofErr w:type="spellStart"/>
      <w:r w:rsidR="00EE3F16" w:rsidRPr="00EE3F16">
        <w:rPr>
          <w:i/>
          <w:sz w:val="24"/>
          <w:lang w:val="en-GB"/>
        </w:rPr>
        <w:t>Prishtina</w:t>
      </w:r>
      <w:proofErr w:type="spellEnd"/>
      <w:r w:rsidR="00EE3F16" w:rsidRPr="00EE3F16">
        <w:rPr>
          <w:i/>
          <w:sz w:val="24"/>
          <w:lang w:val="en-GB"/>
        </w:rPr>
        <w:t xml:space="preserve">, in </w:t>
      </w:r>
      <w:r w:rsidR="00C67FD2">
        <w:rPr>
          <w:i/>
          <w:sz w:val="24"/>
          <w:lang w:val="en-GB"/>
        </w:rPr>
        <w:t xml:space="preserve">an extrajudicial </w:t>
      </w:r>
      <w:r w:rsidR="00EE3F16" w:rsidRPr="00EE3F16">
        <w:rPr>
          <w:i/>
          <w:sz w:val="24"/>
          <w:lang w:val="en-GB"/>
        </w:rPr>
        <w:t xml:space="preserve"> procedure</w:t>
      </w:r>
      <w:r w:rsidR="00C67FD2">
        <w:rPr>
          <w:i/>
          <w:sz w:val="24"/>
          <w:lang w:val="en-GB"/>
        </w:rPr>
        <w:t xml:space="preserve"> has</w:t>
      </w:r>
      <w:r w:rsidR="00EE3F16" w:rsidRPr="00EE3F16">
        <w:rPr>
          <w:i/>
          <w:sz w:val="24"/>
          <w:lang w:val="en-GB"/>
        </w:rPr>
        <w:t xml:space="preserve"> </w:t>
      </w:r>
      <w:r w:rsidR="00C67FD2">
        <w:rPr>
          <w:i/>
          <w:sz w:val="24"/>
          <w:lang w:val="en-GB"/>
        </w:rPr>
        <w:t xml:space="preserve">reviewed </w:t>
      </w:r>
      <w:r w:rsidR="00EE3F16" w:rsidRPr="00EE3F16">
        <w:rPr>
          <w:i/>
          <w:sz w:val="24"/>
          <w:lang w:val="en-GB"/>
        </w:rPr>
        <w:t xml:space="preserve"> the </w:t>
      </w:r>
      <w:r w:rsidR="00C67FD2">
        <w:rPr>
          <w:i/>
          <w:sz w:val="24"/>
          <w:lang w:val="en-GB"/>
        </w:rPr>
        <w:t>appeal</w:t>
      </w:r>
      <w:r w:rsidR="00EE3F16" w:rsidRPr="00EE3F16">
        <w:rPr>
          <w:i/>
          <w:sz w:val="24"/>
          <w:lang w:val="en-GB"/>
        </w:rPr>
        <w:t xml:space="preserve"> of the</w:t>
      </w:r>
      <w:r w:rsidR="00C67FD2">
        <w:rPr>
          <w:i/>
          <w:sz w:val="24"/>
          <w:lang w:val="en-GB"/>
        </w:rPr>
        <w:t xml:space="preserve"> Applicant’s insured person  and rendered</w:t>
      </w:r>
      <w:r w:rsidR="00EE3F16" w:rsidRPr="00EE3F16">
        <w:rPr>
          <w:i/>
          <w:sz w:val="24"/>
          <w:lang w:val="en-GB"/>
        </w:rPr>
        <w:t xml:space="preserve"> a decision SK-632/2012</w:t>
      </w:r>
      <w:r w:rsidR="00C67FD2">
        <w:rPr>
          <w:i/>
          <w:sz w:val="24"/>
          <w:lang w:val="en-GB"/>
        </w:rPr>
        <w:t xml:space="preserve"> of </w:t>
      </w:r>
      <w:r w:rsidR="00EE3F16" w:rsidRPr="00EE3F16">
        <w:rPr>
          <w:i/>
          <w:sz w:val="24"/>
          <w:lang w:val="en-GB"/>
        </w:rPr>
        <w:t xml:space="preserve"> 13/11 / 2012, by </w:t>
      </w:r>
      <w:r w:rsidR="00C67FD2">
        <w:rPr>
          <w:i/>
          <w:sz w:val="24"/>
          <w:lang w:val="en-GB"/>
        </w:rPr>
        <w:t>presenting</w:t>
      </w:r>
      <w:r w:rsidR="00EE3F16" w:rsidRPr="00EE3F16">
        <w:rPr>
          <w:i/>
          <w:sz w:val="24"/>
          <w:lang w:val="en-GB"/>
        </w:rPr>
        <w:t xml:space="preserve"> an offer for compensation of damage in the amount of 755.00 euros, with which the injured party [M</w:t>
      </w:r>
      <w:r w:rsidR="00C67FD2">
        <w:rPr>
          <w:i/>
          <w:sz w:val="24"/>
          <w:lang w:val="en-GB"/>
        </w:rPr>
        <w:t>.</w:t>
      </w:r>
      <w:r w:rsidR="00EE3F16" w:rsidRPr="00EE3F16">
        <w:rPr>
          <w:i/>
          <w:sz w:val="24"/>
          <w:lang w:val="en-GB"/>
        </w:rPr>
        <w:t>B</w:t>
      </w:r>
      <w:r w:rsidR="00C67FD2">
        <w:rPr>
          <w:i/>
          <w:sz w:val="24"/>
          <w:lang w:val="en-GB"/>
        </w:rPr>
        <w:t>.</w:t>
      </w:r>
      <w:r w:rsidR="00EE3F16" w:rsidRPr="00EE3F16">
        <w:rPr>
          <w:i/>
          <w:sz w:val="24"/>
          <w:lang w:val="en-GB"/>
        </w:rPr>
        <w:t>] did not agree</w:t>
      </w:r>
      <w:r w:rsidR="00C67FD2">
        <w:rPr>
          <w:i/>
          <w:sz w:val="24"/>
          <w:lang w:val="en-GB"/>
        </w:rPr>
        <w:t>,</w:t>
      </w:r>
      <w:r w:rsidR="00EE3F16" w:rsidRPr="00EE3F16">
        <w:rPr>
          <w:i/>
          <w:sz w:val="24"/>
          <w:lang w:val="en-GB"/>
        </w:rPr>
        <w:t xml:space="preserve"> </w:t>
      </w:r>
      <w:r w:rsidR="00C67FD2">
        <w:rPr>
          <w:i/>
          <w:sz w:val="24"/>
          <w:lang w:val="en-GB"/>
        </w:rPr>
        <w:t>so</w:t>
      </w:r>
      <w:r w:rsidR="00EE3F16" w:rsidRPr="00EE3F16">
        <w:rPr>
          <w:i/>
          <w:sz w:val="24"/>
          <w:lang w:val="en-GB"/>
        </w:rPr>
        <w:t xml:space="preserve"> on 06/03/2013 he filed a </w:t>
      </w:r>
      <w:r w:rsidR="00C67FD2">
        <w:rPr>
          <w:i/>
          <w:sz w:val="24"/>
          <w:lang w:val="en-GB"/>
        </w:rPr>
        <w:t xml:space="preserve">claim </w:t>
      </w:r>
      <w:r w:rsidR="00EE3F16" w:rsidRPr="00EE3F16">
        <w:rPr>
          <w:i/>
          <w:sz w:val="24"/>
          <w:lang w:val="en-GB"/>
        </w:rPr>
        <w:t xml:space="preserve"> for </w:t>
      </w:r>
      <w:r w:rsidR="00C67FD2">
        <w:rPr>
          <w:i/>
          <w:sz w:val="24"/>
          <w:lang w:val="en-GB"/>
        </w:rPr>
        <w:t xml:space="preserve">compensation of </w:t>
      </w:r>
      <w:r w:rsidR="00EE3F16" w:rsidRPr="00EE3F16">
        <w:rPr>
          <w:i/>
          <w:sz w:val="24"/>
          <w:lang w:val="en-GB"/>
        </w:rPr>
        <w:t xml:space="preserve">damages </w:t>
      </w:r>
      <w:r w:rsidR="00C67FD2">
        <w:rPr>
          <w:i/>
          <w:sz w:val="24"/>
          <w:lang w:val="en-GB"/>
        </w:rPr>
        <w:t>with</w:t>
      </w:r>
      <w:r w:rsidR="00EE3F16" w:rsidRPr="00EE3F16">
        <w:rPr>
          <w:i/>
          <w:sz w:val="24"/>
          <w:lang w:val="en-GB"/>
        </w:rPr>
        <w:t xml:space="preserve"> the Basic Court in </w:t>
      </w:r>
      <w:proofErr w:type="spellStart"/>
      <w:r w:rsidR="00EE3F16" w:rsidRPr="00EE3F16">
        <w:rPr>
          <w:i/>
          <w:sz w:val="24"/>
          <w:lang w:val="en-GB"/>
        </w:rPr>
        <w:t>Peja</w:t>
      </w:r>
      <w:proofErr w:type="spellEnd"/>
      <w:r w:rsidR="00EE3F16" w:rsidRPr="00EE3F16">
        <w:rPr>
          <w:i/>
          <w:sz w:val="24"/>
          <w:lang w:val="en-GB"/>
        </w:rPr>
        <w:t>, while on 25/02/2015, he concluded a court</w:t>
      </w:r>
      <w:r w:rsidR="00C67FD2">
        <w:rPr>
          <w:i/>
          <w:sz w:val="24"/>
          <w:lang w:val="en-GB"/>
        </w:rPr>
        <w:t xml:space="preserve"> settlement with the respondent, specifically,</w:t>
      </w:r>
      <w:r w:rsidR="00EE3F16" w:rsidRPr="00EE3F16">
        <w:rPr>
          <w:i/>
          <w:sz w:val="24"/>
          <w:lang w:val="en-GB"/>
        </w:rPr>
        <w:t xml:space="preserve"> in the presence of his lawyer [II], for all forms of </w:t>
      </w:r>
      <w:r w:rsidR="00C67FD2">
        <w:rPr>
          <w:i/>
          <w:sz w:val="24"/>
          <w:lang w:val="en-GB"/>
        </w:rPr>
        <w:t xml:space="preserve">damages </w:t>
      </w:r>
      <w:r w:rsidR="00EE3F16" w:rsidRPr="00EE3F16">
        <w:rPr>
          <w:i/>
          <w:sz w:val="24"/>
          <w:lang w:val="en-GB"/>
        </w:rPr>
        <w:t xml:space="preserve">that derive from the </w:t>
      </w:r>
      <w:r w:rsidR="00C67FD2">
        <w:rPr>
          <w:i/>
          <w:sz w:val="24"/>
          <w:lang w:val="en-GB"/>
        </w:rPr>
        <w:t xml:space="preserve">traffic </w:t>
      </w:r>
      <w:r w:rsidR="00EE3F16" w:rsidRPr="00EE3F16">
        <w:rPr>
          <w:i/>
          <w:sz w:val="24"/>
          <w:lang w:val="en-GB"/>
        </w:rPr>
        <w:t>accident dated 19/01/2012. This has been confirmed  on the</w:t>
      </w:r>
      <w:r w:rsidR="00C67FD2">
        <w:rPr>
          <w:i/>
          <w:sz w:val="24"/>
          <w:lang w:val="en-GB"/>
        </w:rPr>
        <w:t xml:space="preserve"> basis of the</w:t>
      </w:r>
      <w:r w:rsidR="00EE3F16" w:rsidRPr="00EE3F16">
        <w:rPr>
          <w:i/>
          <w:sz w:val="24"/>
          <w:lang w:val="en-GB"/>
        </w:rPr>
        <w:t xml:space="preserve"> minutes of the Basic Court in </w:t>
      </w:r>
      <w:proofErr w:type="spellStart"/>
      <w:r w:rsidR="00EE3F16" w:rsidRPr="00EE3F16">
        <w:rPr>
          <w:i/>
          <w:sz w:val="24"/>
          <w:lang w:val="en-GB"/>
        </w:rPr>
        <w:t>Peja</w:t>
      </w:r>
      <w:proofErr w:type="spellEnd"/>
      <w:r w:rsidR="00EE3F16" w:rsidRPr="00EE3F16">
        <w:rPr>
          <w:i/>
          <w:sz w:val="24"/>
          <w:lang w:val="en-GB"/>
        </w:rPr>
        <w:t xml:space="preserve"> C.n</w:t>
      </w:r>
      <w:r w:rsidR="00C67FD2">
        <w:rPr>
          <w:i/>
          <w:sz w:val="24"/>
          <w:lang w:val="en-GB"/>
        </w:rPr>
        <w:t>o</w:t>
      </w:r>
      <w:r w:rsidR="00EE3F16" w:rsidRPr="00EE3F16">
        <w:rPr>
          <w:i/>
          <w:sz w:val="24"/>
          <w:lang w:val="en-GB"/>
        </w:rPr>
        <w:t xml:space="preserve">.185 / 13 dated 25/02/2015, which </w:t>
      </w:r>
      <w:r w:rsidR="00C67FD2">
        <w:rPr>
          <w:i/>
          <w:sz w:val="24"/>
          <w:lang w:val="en-GB"/>
        </w:rPr>
        <w:t xml:space="preserve">court settlement was </w:t>
      </w:r>
      <w:r w:rsidR="00EE3F16" w:rsidRPr="00EE3F16">
        <w:rPr>
          <w:i/>
          <w:sz w:val="24"/>
          <w:lang w:val="en-GB"/>
        </w:rPr>
        <w:t>implemented</w:t>
      </w:r>
      <w:r w:rsidR="00C67FD2">
        <w:rPr>
          <w:i/>
          <w:sz w:val="24"/>
          <w:lang w:val="en-GB"/>
        </w:rPr>
        <w:t xml:space="preserve"> in full by</w:t>
      </w:r>
      <w:r w:rsidR="00EE3F16" w:rsidRPr="00EE3F16">
        <w:rPr>
          <w:i/>
          <w:sz w:val="24"/>
          <w:lang w:val="en-GB"/>
        </w:rPr>
        <w:t xml:space="preserve"> the defendant,</w:t>
      </w:r>
      <w:r w:rsidR="00C67FD2">
        <w:rPr>
          <w:i/>
          <w:sz w:val="24"/>
          <w:lang w:val="en-GB"/>
        </w:rPr>
        <w:t xml:space="preserve"> thus</w:t>
      </w:r>
      <w:r w:rsidR="00EE3F16" w:rsidRPr="00EE3F16">
        <w:rPr>
          <w:i/>
          <w:sz w:val="24"/>
          <w:lang w:val="en-GB"/>
        </w:rPr>
        <w:t xml:space="preserve"> fulfilling its financial obligation to the </w:t>
      </w:r>
      <w:r w:rsidR="00C67FD2">
        <w:rPr>
          <w:i/>
          <w:sz w:val="24"/>
          <w:lang w:val="en-GB"/>
        </w:rPr>
        <w:t xml:space="preserve">Applicant’s </w:t>
      </w:r>
      <w:r w:rsidR="00EE3F16" w:rsidRPr="00EE3F16">
        <w:rPr>
          <w:i/>
          <w:sz w:val="24"/>
          <w:lang w:val="en-GB"/>
        </w:rPr>
        <w:t xml:space="preserve">insured </w:t>
      </w:r>
      <w:r w:rsidR="00C67FD2">
        <w:rPr>
          <w:i/>
          <w:sz w:val="24"/>
          <w:lang w:val="en-GB"/>
        </w:rPr>
        <w:t>person</w:t>
      </w:r>
      <w:r w:rsidR="00EE3F16" w:rsidRPr="00EE3F16">
        <w:rPr>
          <w:i/>
          <w:sz w:val="24"/>
          <w:lang w:val="en-GB"/>
        </w:rPr>
        <w:t xml:space="preserve"> and </w:t>
      </w:r>
      <w:r w:rsidR="00C67FD2">
        <w:rPr>
          <w:i/>
          <w:sz w:val="24"/>
          <w:lang w:val="en-GB"/>
        </w:rPr>
        <w:t>thereby</w:t>
      </w:r>
      <w:r w:rsidR="00EE3F16" w:rsidRPr="00EE3F16">
        <w:rPr>
          <w:i/>
          <w:sz w:val="24"/>
          <w:lang w:val="en-GB"/>
        </w:rPr>
        <w:t xml:space="preserve"> the </w:t>
      </w:r>
      <w:r w:rsidR="00C67FD2">
        <w:rPr>
          <w:i/>
          <w:sz w:val="24"/>
          <w:lang w:val="en-GB"/>
        </w:rPr>
        <w:t>claimant</w:t>
      </w:r>
      <w:r w:rsidR="00EE3F16" w:rsidRPr="00EE3F16">
        <w:rPr>
          <w:i/>
          <w:sz w:val="24"/>
          <w:lang w:val="en-GB"/>
        </w:rPr>
        <w:t xml:space="preserve">'s insured </w:t>
      </w:r>
      <w:r w:rsidR="00C67FD2">
        <w:rPr>
          <w:i/>
          <w:sz w:val="24"/>
          <w:lang w:val="en-GB"/>
        </w:rPr>
        <w:t xml:space="preserve">person </w:t>
      </w:r>
      <w:r w:rsidR="00EE3F16" w:rsidRPr="00EE3F16">
        <w:rPr>
          <w:i/>
          <w:sz w:val="24"/>
          <w:lang w:val="en-GB"/>
        </w:rPr>
        <w:t xml:space="preserve">has </w:t>
      </w:r>
      <w:r w:rsidR="00C67FD2">
        <w:rPr>
          <w:i/>
          <w:sz w:val="24"/>
          <w:lang w:val="en-GB"/>
        </w:rPr>
        <w:t>realised</w:t>
      </w:r>
      <w:r w:rsidR="00EE3F16" w:rsidRPr="00EE3F16">
        <w:rPr>
          <w:i/>
          <w:sz w:val="24"/>
          <w:lang w:val="en-GB"/>
        </w:rPr>
        <w:t xml:space="preserve"> his subjective civil right </w:t>
      </w:r>
      <w:r w:rsidR="00C67FD2">
        <w:rPr>
          <w:i/>
          <w:sz w:val="24"/>
          <w:lang w:val="en-GB"/>
        </w:rPr>
        <w:t>pursuant to the</w:t>
      </w:r>
      <w:r w:rsidR="00EE3F16" w:rsidRPr="00EE3F16">
        <w:rPr>
          <w:i/>
          <w:sz w:val="24"/>
          <w:lang w:val="en-GB"/>
        </w:rPr>
        <w:t xml:space="preserve"> local legislation and has  had </w:t>
      </w:r>
      <w:r w:rsidR="00C67FD2">
        <w:rPr>
          <w:i/>
          <w:sz w:val="24"/>
          <w:lang w:val="en-GB"/>
        </w:rPr>
        <w:t xml:space="preserve">no </w:t>
      </w:r>
      <w:r w:rsidR="00EE3F16" w:rsidRPr="00EE3F16">
        <w:rPr>
          <w:i/>
          <w:sz w:val="24"/>
          <w:lang w:val="en-GB"/>
        </w:rPr>
        <w:t xml:space="preserve"> legal right to seek compensation from the </w:t>
      </w:r>
      <w:r w:rsidR="00C67FD2">
        <w:rPr>
          <w:i/>
          <w:sz w:val="24"/>
          <w:lang w:val="en-GB"/>
        </w:rPr>
        <w:t>respondent</w:t>
      </w:r>
      <w:r w:rsidR="00EE3F16" w:rsidRPr="00EE3F16">
        <w:rPr>
          <w:i/>
          <w:sz w:val="24"/>
          <w:lang w:val="en-GB"/>
        </w:rPr>
        <w:t>,</w:t>
      </w:r>
      <w:r w:rsidR="00C67FD2">
        <w:rPr>
          <w:i/>
          <w:sz w:val="24"/>
          <w:lang w:val="en-GB"/>
        </w:rPr>
        <w:t xml:space="preserve"> respectively on the basis of the </w:t>
      </w:r>
      <w:proofErr w:type="spellStart"/>
      <w:r w:rsidR="00C67FD2">
        <w:rPr>
          <w:i/>
          <w:sz w:val="24"/>
          <w:lang w:val="en-GB"/>
        </w:rPr>
        <w:t>cae</w:t>
      </w:r>
      <w:proofErr w:type="spellEnd"/>
      <w:r w:rsidR="00C67FD2">
        <w:rPr>
          <w:i/>
          <w:sz w:val="24"/>
          <w:lang w:val="en-GB"/>
        </w:rPr>
        <w:t xml:space="preserve"> file</w:t>
      </w:r>
      <w:r w:rsidR="00EE3F16" w:rsidRPr="00EE3F16">
        <w:rPr>
          <w:i/>
          <w:sz w:val="24"/>
          <w:lang w:val="en-GB"/>
        </w:rPr>
        <w:t xml:space="preserve"> it does not result that </w:t>
      </w:r>
      <w:r w:rsidR="00C67FD2">
        <w:rPr>
          <w:i/>
          <w:sz w:val="24"/>
          <w:lang w:val="en-GB"/>
        </w:rPr>
        <w:t>the claimant</w:t>
      </w:r>
      <w:r w:rsidR="00EE3F16" w:rsidRPr="00EE3F16">
        <w:rPr>
          <w:i/>
          <w:sz w:val="24"/>
          <w:lang w:val="en-GB"/>
        </w:rPr>
        <w:t xml:space="preserve"> has been notified by </w:t>
      </w:r>
      <w:r w:rsidR="00C67FD2">
        <w:rPr>
          <w:i/>
          <w:sz w:val="24"/>
          <w:lang w:val="en-GB"/>
        </w:rPr>
        <w:t>its</w:t>
      </w:r>
      <w:r w:rsidR="00EE3F16" w:rsidRPr="00EE3F16">
        <w:rPr>
          <w:i/>
          <w:sz w:val="24"/>
          <w:lang w:val="en-GB"/>
        </w:rPr>
        <w:t xml:space="preserve"> insured </w:t>
      </w:r>
      <w:r w:rsidR="00C67FD2">
        <w:rPr>
          <w:i/>
          <w:sz w:val="24"/>
          <w:lang w:val="en-GB"/>
        </w:rPr>
        <w:t>person</w:t>
      </w:r>
      <w:r w:rsidR="00EE3F16" w:rsidRPr="00EE3F16">
        <w:rPr>
          <w:i/>
          <w:sz w:val="24"/>
          <w:lang w:val="en-GB"/>
        </w:rPr>
        <w:t xml:space="preserve"> [</w:t>
      </w:r>
      <w:r w:rsidR="00C67FD2">
        <w:rPr>
          <w:i/>
          <w:sz w:val="24"/>
          <w:lang w:val="en-GB"/>
        </w:rPr>
        <w:t>M.B.</w:t>
      </w:r>
      <w:r w:rsidR="00EE3F16" w:rsidRPr="00EE3F16">
        <w:rPr>
          <w:i/>
          <w:sz w:val="24"/>
          <w:lang w:val="en-GB"/>
        </w:rPr>
        <w:t xml:space="preserve">], that </w:t>
      </w:r>
      <w:r w:rsidR="00C67FD2">
        <w:rPr>
          <w:i/>
          <w:sz w:val="24"/>
          <w:lang w:val="en-GB"/>
        </w:rPr>
        <w:t>he</w:t>
      </w:r>
      <w:r w:rsidR="00EE3F16" w:rsidRPr="00EE3F16">
        <w:rPr>
          <w:i/>
          <w:sz w:val="24"/>
          <w:lang w:val="en-GB"/>
        </w:rPr>
        <w:t xml:space="preserve"> has exercised</w:t>
      </w:r>
      <w:r w:rsidR="00C67FD2">
        <w:rPr>
          <w:i/>
          <w:sz w:val="24"/>
          <w:lang w:val="en-GB"/>
        </w:rPr>
        <w:t xml:space="preserve"> his</w:t>
      </w:r>
      <w:r w:rsidR="00EE3F16" w:rsidRPr="00EE3F16">
        <w:rPr>
          <w:i/>
          <w:sz w:val="24"/>
          <w:lang w:val="en-GB"/>
        </w:rPr>
        <w:t xml:space="preserve"> legal right to compensation for damage in the Republic of Kosovo</w:t>
      </w:r>
      <w:r w:rsidR="00C67FD2">
        <w:rPr>
          <w:i/>
          <w:sz w:val="24"/>
          <w:lang w:val="en-GB"/>
        </w:rPr>
        <w:t xml:space="preserve">, </w:t>
      </w:r>
      <w:r w:rsidR="00EE3F16" w:rsidRPr="00EE3F16">
        <w:rPr>
          <w:i/>
          <w:sz w:val="24"/>
          <w:lang w:val="en-GB"/>
        </w:rPr>
        <w:t xml:space="preserve"> </w:t>
      </w:r>
      <w:r w:rsidR="00C67FD2">
        <w:rPr>
          <w:i/>
          <w:sz w:val="24"/>
          <w:lang w:val="en-GB"/>
        </w:rPr>
        <w:t xml:space="preserve">specifically, </w:t>
      </w:r>
      <w:r w:rsidR="00EE3F16" w:rsidRPr="00EE3F16">
        <w:rPr>
          <w:i/>
          <w:sz w:val="24"/>
          <w:lang w:val="en-GB"/>
        </w:rPr>
        <w:t>through judicial proceedings</w:t>
      </w:r>
      <w:r w:rsidRPr="00314A8D">
        <w:rPr>
          <w:i/>
          <w:sz w:val="24"/>
          <w:lang w:val="en-GB"/>
        </w:rPr>
        <w:t>.”</w:t>
      </w:r>
    </w:p>
    <w:p w:rsidR="00D84302" w:rsidRPr="00314A8D" w:rsidRDefault="00D84302" w:rsidP="00A06B9C">
      <w:pPr>
        <w:autoSpaceDE w:val="0"/>
        <w:autoSpaceDN w:val="0"/>
        <w:adjustRightInd w:val="0"/>
        <w:spacing w:line="240" w:lineRule="auto"/>
        <w:ind w:left="540"/>
        <w:rPr>
          <w:i/>
          <w:sz w:val="24"/>
          <w:lang w:val="en-GB"/>
        </w:rPr>
      </w:pPr>
    </w:p>
    <w:p w:rsidR="00D84302" w:rsidRPr="00C305EB" w:rsidRDefault="00C305EB" w:rsidP="00A06B9C">
      <w:pPr>
        <w:pStyle w:val="ListParagraph"/>
        <w:numPr>
          <w:ilvl w:val="0"/>
          <w:numId w:val="63"/>
        </w:numPr>
        <w:autoSpaceDE w:val="0"/>
        <w:autoSpaceDN w:val="0"/>
        <w:adjustRightInd w:val="0"/>
        <w:spacing w:line="240" w:lineRule="auto"/>
        <w:ind w:left="634" w:hanging="634"/>
        <w:rPr>
          <w:rFonts w:cs="Arial"/>
          <w:i/>
          <w:sz w:val="24"/>
          <w:lang w:val="en-GB"/>
        </w:rPr>
      </w:pPr>
      <w:r w:rsidRPr="00C305EB">
        <w:rPr>
          <w:sz w:val="24"/>
          <w:lang w:val="en-GB"/>
        </w:rPr>
        <w:t xml:space="preserve">Specifically, the Court of Appeals, referring to the provisions of the LCP, found that </w:t>
      </w:r>
      <w:r>
        <w:rPr>
          <w:sz w:val="24"/>
          <w:lang w:val="en-GB"/>
        </w:rPr>
        <w:t>the court settlement</w:t>
      </w:r>
      <w:r w:rsidRPr="00C305EB">
        <w:rPr>
          <w:sz w:val="24"/>
          <w:lang w:val="en-GB"/>
        </w:rPr>
        <w:t xml:space="preserve"> has the characteristics of a final judgment and as such produces the same legal effects as the judgment, </w:t>
      </w:r>
      <w:r>
        <w:rPr>
          <w:sz w:val="24"/>
          <w:lang w:val="en-GB"/>
        </w:rPr>
        <w:t>consequently in relation to</w:t>
      </w:r>
      <w:r w:rsidRPr="00C305EB">
        <w:rPr>
          <w:sz w:val="24"/>
          <w:lang w:val="en-GB"/>
        </w:rPr>
        <w:t xml:space="preserve"> the legal </w:t>
      </w:r>
      <w:r>
        <w:rPr>
          <w:sz w:val="24"/>
          <w:lang w:val="en-GB"/>
        </w:rPr>
        <w:t>issu</w:t>
      </w:r>
      <w:r w:rsidRPr="00C305EB">
        <w:rPr>
          <w:sz w:val="24"/>
          <w:lang w:val="en-GB"/>
        </w:rPr>
        <w:t xml:space="preserve">e, for which the parties have reached a court agreement, no dispute can be </w:t>
      </w:r>
      <w:r>
        <w:rPr>
          <w:sz w:val="24"/>
          <w:lang w:val="en-GB"/>
        </w:rPr>
        <w:t>conducted</w:t>
      </w:r>
      <w:r w:rsidRPr="00C305EB">
        <w:rPr>
          <w:sz w:val="24"/>
          <w:lang w:val="en-GB"/>
        </w:rPr>
        <w:t xml:space="preserve">. In this regard, the Court of Appeals </w:t>
      </w:r>
      <w:r>
        <w:rPr>
          <w:sz w:val="24"/>
          <w:lang w:val="en-GB"/>
        </w:rPr>
        <w:t>pointed out</w:t>
      </w:r>
      <w:r w:rsidRPr="00C305EB">
        <w:rPr>
          <w:sz w:val="24"/>
          <w:lang w:val="en-GB"/>
        </w:rPr>
        <w:t xml:space="preserve"> that </w:t>
      </w:r>
      <w:r w:rsidRPr="00C305EB">
        <w:rPr>
          <w:i/>
          <w:sz w:val="24"/>
          <w:lang w:val="en-GB"/>
        </w:rPr>
        <w:t xml:space="preserve">“[...] in </w:t>
      </w:r>
      <w:proofErr w:type="spellStart"/>
      <w:r w:rsidRPr="00C305EB">
        <w:rPr>
          <w:i/>
          <w:sz w:val="24"/>
          <w:lang w:val="en-GB"/>
        </w:rPr>
        <w:t>th</w:t>
      </w:r>
      <w:proofErr w:type="spellEnd"/>
      <w:r>
        <w:rPr>
          <w:i/>
          <w:sz w:val="24"/>
          <w:lang w:val="en-GB"/>
        </w:rPr>
        <w:t xml:space="preserve"> present</w:t>
      </w:r>
      <w:r w:rsidRPr="00C305EB">
        <w:rPr>
          <w:i/>
          <w:sz w:val="24"/>
          <w:lang w:val="en-GB"/>
        </w:rPr>
        <w:t xml:space="preserve"> case the legal conditions for reimbursement of damages under Article 941 of the LOR have not been met, as the claimant’s insured person has </w:t>
      </w:r>
      <w:r>
        <w:rPr>
          <w:i/>
          <w:sz w:val="24"/>
          <w:lang w:val="en-GB"/>
        </w:rPr>
        <w:t xml:space="preserve">realised </w:t>
      </w:r>
      <w:r w:rsidRPr="00C305EB">
        <w:rPr>
          <w:i/>
          <w:sz w:val="24"/>
          <w:lang w:val="en-GB"/>
        </w:rPr>
        <w:t>his legal right at the judicial bodies of the Republic of Kosovo and the same cannot transfer a non-existent legal claim to the claimant, while on the other hand the eventual approval of the statement of claim of [the Applicant] would directly violate the legal certainty of the Republic of Kosovo by stripping the country's judicial decisions of legal effect</w:t>
      </w:r>
      <w:r w:rsidR="00FF271B" w:rsidRPr="00C305EB">
        <w:rPr>
          <w:i/>
          <w:sz w:val="24"/>
          <w:lang w:val="en-GB"/>
        </w:rPr>
        <w:t>.</w:t>
      </w:r>
      <w:r w:rsidRPr="00C305EB">
        <w:rPr>
          <w:i/>
          <w:sz w:val="24"/>
          <w:lang w:val="en-GB"/>
        </w:rPr>
        <w:t>”</w:t>
      </w:r>
    </w:p>
    <w:p w:rsidR="00D84302" w:rsidRPr="00314A8D" w:rsidRDefault="00D84302" w:rsidP="00A06B9C">
      <w:pPr>
        <w:pStyle w:val="ListParagraph"/>
        <w:spacing w:line="240" w:lineRule="auto"/>
        <w:ind w:left="540"/>
        <w:rPr>
          <w:rFonts w:cs="Arial"/>
          <w:iCs/>
          <w:sz w:val="24"/>
          <w:lang w:val="en-GB"/>
        </w:rPr>
      </w:pPr>
    </w:p>
    <w:p w:rsidR="00D84302" w:rsidRPr="00314A8D" w:rsidRDefault="00CE199C" w:rsidP="00A06B9C">
      <w:pPr>
        <w:pStyle w:val="ListParagraph"/>
        <w:numPr>
          <w:ilvl w:val="0"/>
          <w:numId w:val="63"/>
        </w:numPr>
        <w:autoSpaceDE w:val="0"/>
        <w:autoSpaceDN w:val="0"/>
        <w:adjustRightInd w:val="0"/>
        <w:spacing w:line="240" w:lineRule="auto"/>
        <w:ind w:left="634" w:hanging="634"/>
        <w:rPr>
          <w:sz w:val="24"/>
          <w:lang w:val="en-GB"/>
        </w:rPr>
      </w:pPr>
      <w:r w:rsidRPr="00CE199C">
        <w:rPr>
          <w:sz w:val="24"/>
          <w:lang w:val="en-GB"/>
        </w:rPr>
        <w:t>Based on the above reasoning of the Court of Appeals, the Court notes that the Court of Appeals did not adequately address the issue</w:t>
      </w:r>
      <w:r w:rsidR="007C780C">
        <w:rPr>
          <w:sz w:val="24"/>
          <w:lang w:val="en-GB"/>
        </w:rPr>
        <w:t xml:space="preserve"> of compensation of the Applicant</w:t>
      </w:r>
      <w:r w:rsidRPr="00CE199C">
        <w:rPr>
          <w:sz w:val="24"/>
          <w:lang w:val="en-GB"/>
        </w:rPr>
        <w:t xml:space="preserve">, which was a substantial claim raised in the </w:t>
      </w:r>
      <w:r w:rsidR="007C780C">
        <w:rPr>
          <w:sz w:val="24"/>
          <w:lang w:val="en-GB"/>
        </w:rPr>
        <w:t xml:space="preserve">statement of </w:t>
      </w:r>
      <w:r w:rsidRPr="00CE199C">
        <w:rPr>
          <w:sz w:val="24"/>
          <w:lang w:val="en-GB"/>
        </w:rPr>
        <w:t xml:space="preserve">claim before the Basic Court. In </w:t>
      </w:r>
      <w:r w:rsidR="007C780C">
        <w:rPr>
          <w:sz w:val="24"/>
          <w:lang w:val="en-GB"/>
        </w:rPr>
        <w:t>its claim</w:t>
      </w:r>
      <w:r w:rsidRPr="00CE199C">
        <w:rPr>
          <w:sz w:val="24"/>
          <w:lang w:val="en-GB"/>
        </w:rPr>
        <w:t xml:space="preserve"> filed </w:t>
      </w:r>
      <w:r w:rsidR="007C780C">
        <w:rPr>
          <w:sz w:val="24"/>
          <w:lang w:val="en-GB"/>
        </w:rPr>
        <w:t xml:space="preserve">with </w:t>
      </w:r>
      <w:r w:rsidRPr="00CE199C">
        <w:rPr>
          <w:sz w:val="24"/>
          <w:lang w:val="en-GB"/>
        </w:rPr>
        <w:t xml:space="preserve">the Basic Court, as well as in </w:t>
      </w:r>
      <w:r w:rsidR="007C780C">
        <w:rPr>
          <w:sz w:val="24"/>
          <w:lang w:val="en-GB"/>
        </w:rPr>
        <w:t>its</w:t>
      </w:r>
      <w:r w:rsidRPr="00CE199C">
        <w:rPr>
          <w:sz w:val="24"/>
          <w:lang w:val="en-GB"/>
        </w:rPr>
        <w:t xml:space="preserve"> appeal filed in the Court of Appeals, the </w:t>
      </w:r>
      <w:r w:rsidR="007C780C">
        <w:rPr>
          <w:sz w:val="24"/>
          <w:lang w:val="en-GB"/>
        </w:rPr>
        <w:t>A</w:t>
      </w:r>
      <w:r w:rsidRPr="00CE199C">
        <w:rPr>
          <w:sz w:val="24"/>
          <w:lang w:val="en-GB"/>
        </w:rPr>
        <w:t>pplicant had reasoned his claim for compensation under the right to subrogation by referring to the relevant provisions of the L</w:t>
      </w:r>
      <w:r w:rsidR="007C780C">
        <w:rPr>
          <w:sz w:val="24"/>
          <w:lang w:val="en-GB"/>
        </w:rPr>
        <w:t>OR</w:t>
      </w:r>
      <w:r w:rsidRPr="00CE199C">
        <w:rPr>
          <w:sz w:val="24"/>
          <w:lang w:val="en-GB"/>
        </w:rPr>
        <w:t xml:space="preserve">, respectively Articles 300 and 939. However, the Court of Appeals bases its reasoning </w:t>
      </w:r>
      <w:r w:rsidR="007C780C">
        <w:rPr>
          <w:sz w:val="24"/>
          <w:lang w:val="en-GB"/>
        </w:rPr>
        <w:t xml:space="preserve">on </w:t>
      </w:r>
      <w:r w:rsidRPr="00CE199C">
        <w:rPr>
          <w:sz w:val="24"/>
          <w:lang w:val="en-GB"/>
        </w:rPr>
        <w:t>the</w:t>
      </w:r>
      <w:r w:rsidR="007C780C">
        <w:rPr>
          <w:sz w:val="24"/>
          <w:lang w:val="en-GB"/>
        </w:rPr>
        <w:t xml:space="preserve"> refusal of</w:t>
      </w:r>
      <w:r w:rsidRPr="00CE199C">
        <w:rPr>
          <w:sz w:val="24"/>
          <w:lang w:val="en-GB"/>
        </w:rPr>
        <w:t xml:space="preserve"> </w:t>
      </w:r>
      <w:r w:rsidR="007C780C">
        <w:rPr>
          <w:sz w:val="24"/>
          <w:lang w:val="en-GB"/>
        </w:rPr>
        <w:t>A</w:t>
      </w:r>
      <w:r w:rsidRPr="00CE199C">
        <w:rPr>
          <w:sz w:val="24"/>
          <w:lang w:val="en-GB"/>
        </w:rPr>
        <w:t xml:space="preserve">pplicant's claim compensation on the basis </w:t>
      </w:r>
      <w:r w:rsidR="007C780C">
        <w:rPr>
          <w:sz w:val="24"/>
          <w:lang w:val="en-GB"/>
        </w:rPr>
        <w:t>of the right to subrogation solely</w:t>
      </w:r>
      <w:r w:rsidRPr="00CE199C">
        <w:rPr>
          <w:sz w:val="24"/>
          <w:lang w:val="en-GB"/>
        </w:rPr>
        <w:t xml:space="preserve"> </w:t>
      </w:r>
      <w:r w:rsidR="007C780C">
        <w:rPr>
          <w:sz w:val="24"/>
          <w:lang w:val="en-GB"/>
        </w:rPr>
        <w:t>on the extrajudicial agreement</w:t>
      </w:r>
      <w:r w:rsidRPr="00CE199C">
        <w:rPr>
          <w:sz w:val="24"/>
          <w:lang w:val="en-GB"/>
        </w:rPr>
        <w:t xml:space="preserve">, without providing relevant justification and interpretation </w:t>
      </w:r>
      <w:r w:rsidR="007C780C">
        <w:rPr>
          <w:sz w:val="24"/>
          <w:lang w:val="en-GB"/>
        </w:rPr>
        <w:t xml:space="preserve">also in respect </w:t>
      </w:r>
      <w:r w:rsidRPr="00CE199C">
        <w:rPr>
          <w:sz w:val="24"/>
          <w:lang w:val="en-GB"/>
        </w:rPr>
        <w:t xml:space="preserve">of the </w:t>
      </w:r>
      <w:r w:rsidR="007C780C">
        <w:rPr>
          <w:sz w:val="24"/>
          <w:lang w:val="en-GB"/>
        </w:rPr>
        <w:t>A</w:t>
      </w:r>
      <w:r w:rsidRPr="00CE199C">
        <w:rPr>
          <w:sz w:val="24"/>
          <w:lang w:val="en-GB"/>
        </w:rPr>
        <w:t>pplicant's right to subrogation , as specified in his</w:t>
      </w:r>
      <w:r w:rsidR="007C780C">
        <w:rPr>
          <w:sz w:val="24"/>
          <w:lang w:val="en-GB"/>
        </w:rPr>
        <w:t xml:space="preserve"> statement of</w:t>
      </w:r>
      <w:r w:rsidRPr="00CE199C">
        <w:rPr>
          <w:sz w:val="24"/>
          <w:lang w:val="en-GB"/>
        </w:rPr>
        <w:t xml:space="preserve"> claim and appeal </w:t>
      </w:r>
      <w:r w:rsidR="007C780C">
        <w:rPr>
          <w:sz w:val="24"/>
          <w:lang w:val="en-GB"/>
        </w:rPr>
        <w:t>filed with</w:t>
      </w:r>
      <w:r w:rsidRPr="00CE199C">
        <w:rPr>
          <w:sz w:val="24"/>
          <w:lang w:val="en-GB"/>
        </w:rPr>
        <w:t xml:space="preserve"> the Court of Appeals</w:t>
      </w:r>
      <w:r w:rsidR="00FF271B" w:rsidRPr="00314A8D">
        <w:rPr>
          <w:sz w:val="24"/>
          <w:lang w:val="en-GB"/>
        </w:rPr>
        <w:t xml:space="preserve">. </w:t>
      </w:r>
    </w:p>
    <w:p w:rsidR="00D84302" w:rsidRPr="00314A8D" w:rsidRDefault="00D84302" w:rsidP="00A06B9C">
      <w:pPr>
        <w:spacing w:line="240" w:lineRule="auto"/>
        <w:ind w:left="540" w:hanging="540"/>
        <w:rPr>
          <w:rFonts w:eastAsiaTheme="minorHAnsi" w:cstheme="minorBidi"/>
          <w:sz w:val="24"/>
          <w:lang w:val="en-GB"/>
        </w:rPr>
      </w:pPr>
    </w:p>
    <w:p w:rsidR="00D84302" w:rsidRPr="00314A8D" w:rsidRDefault="004268A7" w:rsidP="00A06B9C">
      <w:pPr>
        <w:pStyle w:val="ListParagraph"/>
        <w:numPr>
          <w:ilvl w:val="0"/>
          <w:numId w:val="63"/>
        </w:numPr>
        <w:autoSpaceDE w:val="0"/>
        <w:autoSpaceDN w:val="0"/>
        <w:adjustRightInd w:val="0"/>
        <w:spacing w:line="240" w:lineRule="auto"/>
        <w:ind w:left="634" w:hanging="634"/>
        <w:rPr>
          <w:sz w:val="24"/>
          <w:lang w:val="en-GB"/>
        </w:rPr>
      </w:pPr>
      <w:r w:rsidRPr="004268A7">
        <w:rPr>
          <w:sz w:val="24"/>
          <w:lang w:val="en-GB"/>
        </w:rPr>
        <w:t>The Court also no</w:t>
      </w:r>
      <w:r>
        <w:rPr>
          <w:sz w:val="24"/>
          <w:lang w:val="en-GB"/>
        </w:rPr>
        <w:t>tes</w:t>
      </w:r>
      <w:r w:rsidRPr="004268A7">
        <w:rPr>
          <w:sz w:val="24"/>
          <w:lang w:val="en-GB"/>
        </w:rPr>
        <w:t xml:space="preserve"> that </w:t>
      </w:r>
      <w:r>
        <w:rPr>
          <w:sz w:val="24"/>
          <w:lang w:val="en-GB"/>
        </w:rPr>
        <w:t xml:space="preserve">in </w:t>
      </w:r>
      <w:r w:rsidRPr="004268A7">
        <w:rPr>
          <w:sz w:val="24"/>
          <w:lang w:val="en-GB"/>
        </w:rPr>
        <w:t xml:space="preserve">the above-mentioned position of the Court of Appeals it is established that the </w:t>
      </w:r>
      <w:r>
        <w:rPr>
          <w:sz w:val="24"/>
          <w:lang w:val="en-GB"/>
        </w:rPr>
        <w:t>extrajudicial agreement</w:t>
      </w:r>
      <w:r w:rsidRPr="004268A7">
        <w:rPr>
          <w:sz w:val="24"/>
          <w:lang w:val="en-GB"/>
        </w:rPr>
        <w:t xml:space="preserve"> annuls the issue of compensation of the </w:t>
      </w:r>
      <w:r>
        <w:rPr>
          <w:sz w:val="24"/>
          <w:lang w:val="en-GB"/>
        </w:rPr>
        <w:t>Applicant</w:t>
      </w:r>
      <w:r w:rsidRPr="004268A7">
        <w:rPr>
          <w:sz w:val="24"/>
          <w:lang w:val="en-GB"/>
        </w:rPr>
        <w:t>, without specifying: (</w:t>
      </w:r>
      <w:proofErr w:type="spellStart"/>
      <w:r w:rsidRPr="004268A7">
        <w:rPr>
          <w:sz w:val="24"/>
          <w:lang w:val="en-GB"/>
        </w:rPr>
        <w:t>i</w:t>
      </w:r>
      <w:proofErr w:type="spellEnd"/>
      <w:r w:rsidRPr="004268A7">
        <w:rPr>
          <w:sz w:val="24"/>
          <w:lang w:val="en-GB"/>
        </w:rPr>
        <w:t xml:space="preserve">) how the compensation paid by </w:t>
      </w:r>
      <w:r>
        <w:rPr>
          <w:sz w:val="24"/>
          <w:lang w:val="en-GB"/>
        </w:rPr>
        <w:t>KIB</w:t>
      </w:r>
      <w:r w:rsidRPr="004268A7">
        <w:rPr>
          <w:sz w:val="24"/>
          <w:lang w:val="en-GB"/>
        </w:rPr>
        <w:t xml:space="preserve"> to the insured</w:t>
      </w:r>
      <w:r>
        <w:rPr>
          <w:sz w:val="24"/>
          <w:lang w:val="en-GB"/>
        </w:rPr>
        <w:t xml:space="preserve"> person</w:t>
      </w:r>
      <w:r w:rsidRPr="004268A7">
        <w:rPr>
          <w:sz w:val="24"/>
          <w:lang w:val="en-GB"/>
        </w:rPr>
        <w:t xml:space="preserve"> released </w:t>
      </w:r>
      <w:r w:rsidR="0088648A">
        <w:rPr>
          <w:sz w:val="24"/>
          <w:lang w:val="en-GB"/>
        </w:rPr>
        <w:t>the latter</w:t>
      </w:r>
      <w:r>
        <w:rPr>
          <w:sz w:val="24"/>
          <w:lang w:val="en-GB"/>
        </w:rPr>
        <w:t xml:space="preserve"> from the</w:t>
      </w:r>
      <w:r w:rsidRPr="004268A7">
        <w:rPr>
          <w:sz w:val="24"/>
          <w:lang w:val="en-GB"/>
        </w:rPr>
        <w:t xml:space="preserve"> pay</w:t>
      </w:r>
      <w:r>
        <w:rPr>
          <w:sz w:val="24"/>
          <w:lang w:val="en-GB"/>
        </w:rPr>
        <w:t>ment of</w:t>
      </w:r>
      <w:r w:rsidRPr="004268A7">
        <w:rPr>
          <w:sz w:val="24"/>
          <w:lang w:val="en-GB"/>
        </w:rPr>
        <w:t xml:space="preserve"> compensation to the </w:t>
      </w:r>
      <w:r>
        <w:rPr>
          <w:sz w:val="24"/>
          <w:lang w:val="en-GB"/>
        </w:rPr>
        <w:t xml:space="preserve">Applicant, based on </w:t>
      </w:r>
      <w:r w:rsidRPr="004268A7">
        <w:rPr>
          <w:sz w:val="24"/>
          <w:lang w:val="en-GB"/>
        </w:rPr>
        <w:t xml:space="preserve">the fact that this </w:t>
      </w:r>
      <w:r>
        <w:rPr>
          <w:sz w:val="24"/>
          <w:lang w:val="en-GB"/>
        </w:rPr>
        <w:t>extrajudicial agreement</w:t>
      </w:r>
      <w:r w:rsidRPr="004268A7">
        <w:rPr>
          <w:sz w:val="24"/>
          <w:lang w:val="en-GB"/>
        </w:rPr>
        <w:t xml:space="preserve"> was certified by the Basic Court in </w:t>
      </w:r>
      <w:proofErr w:type="spellStart"/>
      <w:r w:rsidRPr="004268A7">
        <w:rPr>
          <w:sz w:val="24"/>
          <w:lang w:val="en-GB"/>
        </w:rPr>
        <w:t>Peja</w:t>
      </w:r>
      <w:proofErr w:type="spellEnd"/>
      <w:r w:rsidRPr="004268A7">
        <w:rPr>
          <w:sz w:val="24"/>
          <w:lang w:val="en-GB"/>
        </w:rPr>
        <w:t>, upon the request of the</w:t>
      </w:r>
      <w:r>
        <w:rPr>
          <w:sz w:val="24"/>
          <w:lang w:val="en-GB"/>
        </w:rPr>
        <w:t xml:space="preserve"> Applicant’s </w:t>
      </w:r>
      <w:r w:rsidRPr="004268A7">
        <w:rPr>
          <w:sz w:val="24"/>
          <w:lang w:val="en-GB"/>
        </w:rPr>
        <w:t xml:space="preserve">insured </w:t>
      </w:r>
      <w:r>
        <w:rPr>
          <w:sz w:val="24"/>
          <w:lang w:val="en-GB"/>
        </w:rPr>
        <w:t xml:space="preserve">person </w:t>
      </w:r>
      <w:r w:rsidRPr="004268A7">
        <w:rPr>
          <w:sz w:val="24"/>
          <w:lang w:val="en-GB"/>
        </w:rPr>
        <w:t xml:space="preserve">for compensation of medical treatment and incapacity </w:t>
      </w:r>
      <w:r>
        <w:rPr>
          <w:sz w:val="24"/>
          <w:lang w:val="en-GB"/>
        </w:rPr>
        <w:t>to</w:t>
      </w:r>
      <w:r w:rsidRPr="004268A7">
        <w:rPr>
          <w:sz w:val="24"/>
          <w:lang w:val="en-GB"/>
        </w:rPr>
        <w:t xml:space="preserve"> work, reali</w:t>
      </w:r>
      <w:r>
        <w:rPr>
          <w:sz w:val="24"/>
          <w:lang w:val="en-GB"/>
        </w:rPr>
        <w:t>s</w:t>
      </w:r>
      <w:r w:rsidRPr="004268A7">
        <w:rPr>
          <w:sz w:val="24"/>
          <w:lang w:val="en-GB"/>
        </w:rPr>
        <w:t xml:space="preserve">ed in 2013; as well as (ii) how the extrajudicial agreement between the </w:t>
      </w:r>
      <w:r>
        <w:rPr>
          <w:sz w:val="24"/>
          <w:lang w:val="en-GB"/>
        </w:rPr>
        <w:t>A</w:t>
      </w:r>
      <w:r w:rsidRPr="004268A7">
        <w:rPr>
          <w:sz w:val="24"/>
          <w:lang w:val="en-GB"/>
        </w:rPr>
        <w:t>pplicant's insure</w:t>
      </w:r>
      <w:r>
        <w:rPr>
          <w:sz w:val="24"/>
          <w:lang w:val="en-GB"/>
        </w:rPr>
        <w:t>d person</w:t>
      </w:r>
      <w:r w:rsidRPr="004268A7">
        <w:rPr>
          <w:sz w:val="24"/>
          <w:lang w:val="en-GB"/>
        </w:rPr>
        <w:t xml:space="preserve"> and the </w:t>
      </w:r>
      <w:r>
        <w:rPr>
          <w:sz w:val="24"/>
          <w:lang w:val="en-GB"/>
        </w:rPr>
        <w:t>KIB</w:t>
      </w:r>
      <w:r w:rsidRPr="004268A7">
        <w:rPr>
          <w:sz w:val="24"/>
          <w:lang w:val="en-GB"/>
        </w:rPr>
        <w:t xml:space="preserve"> has affected the </w:t>
      </w:r>
      <w:r>
        <w:rPr>
          <w:sz w:val="24"/>
          <w:lang w:val="en-GB"/>
        </w:rPr>
        <w:t>A</w:t>
      </w:r>
      <w:r w:rsidRPr="004268A7">
        <w:rPr>
          <w:sz w:val="24"/>
          <w:lang w:val="en-GB"/>
        </w:rPr>
        <w:t>pplicant's rights, whe</w:t>
      </w:r>
      <w:r>
        <w:rPr>
          <w:sz w:val="24"/>
          <w:lang w:val="en-GB"/>
        </w:rPr>
        <w:t>n</w:t>
      </w:r>
      <w:r w:rsidRPr="004268A7">
        <w:rPr>
          <w:sz w:val="24"/>
          <w:lang w:val="en-GB"/>
        </w:rPr>
        <w:t xml:space="preserve"> it is clear that the latter was not a party to this agreement</w:t>
      </w:r>
      <w:r w:rsidR="00FF271B" w:rsidRPr="00314A8D">
        <w:rPr>
          <w:sz w:val="24"/>
          <w:lang w:val="en-GB"/>
        </w:rPr>
        <w:t xml:space="preserve">. </w:t>
      </w:r>
    </w:p>
    <w:p w:rsidR="00314A8D" w:rsidRPr="00314A8D" w:rsidRDefault="00314A8D" w:rsidP="00A06B9C">
      <w:pPr>
        <w:pStyle w:val="ListParagraph"/>
        <w:spacing w:line="240" w:lineRule="auto"/>
        <w:rPr>
          <w:sz w:val="24"/>
          <w:lang w:val="en-GB"/>
        </w:rPr>
      </w:pPr>
    </w:p>
    <w:p w:rsidR="00314A8D" w:rsidRPr="0088648A" w:rsidRDefault="00455734" w:rsidP="00A06B9C">
      <w:pPr>
        <w:pStyle w:val="ListParagraph"/>
        <w:numPr>
          <w:ilvl w:val="0"/>
          <w:numId w:val="63"/>
        </w:numPr>
        <w:autoSpaceDE w:val="0"/>
        <w:autoSpaceDN w:val="0"/>
        <w:adjustRightInd w:val="0"/>
        <w:spacing w:line="240" w:lineRule="auto"/>
        <w:ind w:left="634" w:hanging="634"/>
        <w:rPr>
          <w:i/>
          <w:sz w:val="24"/>
          <w:lang w:val="en-GB"/>
        </w:rPr>
      </w:pPr>
      <w:r w:rsidRPr="00455734">
        <w:rPr>
          <w:sz w:val="24"/>
          <w:lang w:val="en-GB"/>
        </w:rPr>
        <w:t>The Court recalls that it had found violation</w:t>
      </w:r>
      <w:r>
        <w:rPr>
          <w:sz w:val="24"/>
          <w:lang w:val="en-GB"/>
        </w:rPr>
        <w:t>s</w:t>
      </w:r>
      <w:r w:rsidRPr="00455734">
        <w:rPr>
          <w:sz w:val="24"/>
          <w:lang w:val="en-GB"/>
        </w:rPr>
        <w:t xml:space="preserve"> of </w:t>
      </w:r>
      <w:r>
        <w:rPr>
          <w:sz w:val="24"/>
          <w:lang w:val="en-GB"/>
        </w:rPr>
        <w:t>the right to a</w:t>
      </w:r>
      <w:r w:rsidRPr="00455734">
        <w:rPr>
          <w:sz w:val="24"/>
          <w:lang w:val="en-GB"/>
        </w:rPr>
        <w:t xml:space="preserve"> reasoned court decision, in a similar case, namely the case KI135/14, </w:t>
      </w:r>
      <w:r w:rsidR="0070675B">
        <w:rPr>
          <w:sz w:val="24"/>
          <w:lang w:val="en-GB"/>
        </w:rPr>
        <w:t>Applicant</w:t>
      </w:r>
      <w:r w:rsidRPr="00455734">
        <w:rPr>
          <w:sz w:val="24"/>
          <w:lang w:val="en-GB"/>
        </w:rPr>
        <w:t xml:space="preserve"> IKK Classic, cited above, and through which it assessed the constitutionality of the Judgment [E. Rev. no. 21/2014] </w:t>
      </w:r>
      <w:r>
        <w:rPr>
          <w:sz w:val="24"/>
          <w:lang w:val="en-GB"/>
        </w:rPr>
        <w:t xml:space="preserve">of the Supreme Court, </w:t>
      </w:r>
      <w:r w:rsidRPr="00455734">
        <w:rPr>
          <w:sz w:val="24"/>
          <w:lang w:val="en-GB"/>
        </w:rPr>
        <w:t>of 8 April 2014 (hereinafter:</w:t>
      </w:r>
      <w:r>
        <w:rPr>
          <w:sz w:val="24"/>
          <w:lang w:val="en-GB"/>
        </w:rPr>
        <w:t xml:space="preserve"> the</w:t>
      </w:r>
      <w:r w:rsidRPr="00455734">
        <w:rPr>
          <w:sz w:val="24"/>
          <w:lang w:val="en-GB"/>
        </w:rPr>
        <w:t xml:space="preserve"> </w:t>
      </w:r>
      <w:r>
        <w:rPr>
          <w:sz w:val="24"/>
          <w:lang w:val="en-GB"/>
        </w:rPr>
        <w:t>c</w:t>
      </w:r>
      <w:r w:rsidRPr="00455734">
        <w:rPr>
          <w:sz w:val="24"/>
          <w:lang w:val="en-GB"/>
        </w:rPr>
        <w:t>ase KI134/15). In this case</w:t>
      </w:r>
      <w:r w:rsidR="0070675B">
        <w:rPr>
          <w:sz w:val="24"/>
          <w:lang w:val="en-GB"/>
        </w:rPr>
        <w:t>, the Supreme Court had accepted</w:t>
      </w:r>
      <w:r w:rsidRPr="00455734">
        <w:rPr>
          <w:sz w:val="24"/>
          <w:lang w:val="en-GB"/>
        </w:rPr>
        <w:t xml:space="preserve"> the revision of the respondent, SIGMA Insurance Company, whose insure</w:t>
      </w:r>
      <w:r w:rsidR="0070675B">
        <w:rPr>
          <w:sz w:val="24"/>
          <w:lang w:val="en-GB"/>
        </w:rPr>
        <w:t>d person</w:t>
      </w:r>
      <w:r w:rsidRPr="00455734">
        <w:rPr>
          <w:sz w:val="24"/>
          <w:lang w:val="en-GB"/>
        </w:rPr>
        <w:t xml:space="preserve"> had caused the traffic accident </w:t>
      </w:r>
      <w:r w:rsidR="0070675B" w:rsidRPr="00455734">
        <w:rPr>
          <w:sz w:val="24"/>
          <w:lang w:val="en-GB"/>
        </w:rPr>
        <w:t xml:space="preserve">in the Republic of Kosovo </w:t>
      </w:r>
      <w:r w:rsidRPr="00455734">
        <w:rPr>
          <w:sz w:val="24"/>
          <w:lang w:val="en-GB"/>
        </w:rPr>
        <w:t>in which the</w:t>
      </w:r>
      <w:r w:rsidR="0070675B">
        <w:rPr>
          <w:sz w:val="24"/>
          <w:lang w:val="en-GB"/>
        </w:rPr>
        <w:t xml:space="preserve"> claimant’s insured person, respectively of the Insurance</w:t>
      </w:r>
      <w:r w:rsidRPr="00455734">
        <w:rPr>
          <w:sz w:val="24"/>
          <w:lang w:val="en-GB"/>
        </w:rPr>
        <w:t xml:space="preserve"> </w:t>
      </w:r>
      <w:r w:rsidR="0070675B">
        <w:rPr>
          <w:sz w:val="24"/>
          <w:lang w:val="en-GB"/>
        </w:rPr>
        <w:t xml:space="preserve">Company in the Federal Republic of Germany (IKK Classic) </w:t>
      </w:r>
      <w:r w:rsidRPr="00455734">
        <w:rPr>
          <w:sz w:val="24"/>
          <w:lang w:val="en-GB"/>
        </w:rPr>
        <w:t>had suffered bodily injuries. Through the same judgme</w:t>
      </w:r>
      <w:r w:rsidR="0070675B">
        <w:rPr>
          <w:sz w:val="24"/>
          <w:lang w:val="en-GB"/>
        </w:rPr>
        <w:t>nt, the Supreme Court had annulled</w:t>
      </w:r>
      <w:r w:rsidRPr="00455734">
        <w:rPr>
          <w:sz w:val="24"/>
          <w:lang w:val="en-GB"/>
        </w:rPr>
        <w:t xml:space="preserve"> the judgments of the Court of Appeals and the former District Court of Economics in Pristina, </w:t>
      </w:r>
      <w:r w:rsidR="0070675B">
        <w:rPr>
          <w:sz w:val="24"/>
          <w:lang w:val="en-GB"/>
        </w:rPr>
        <w:t xml:space="preserve">with the reasoning </w:t>
      </w:r>
      <w:r w:rsidRPr="00455734">
        <w:rPr>
          <w:sz w:val="24"/>
          <w:lang w:val="en-GB"/>
        </w:rPr>
        <w:t>that the lower</w:t>
      </w:r>
      <w:r w:rsidR="0070675B">
        <w:rPr>
          <w:sz w:val="24"/>
          <w:lang w:val="en-GB"/>
        </w:rPr>
        <w:t xml:space="preserve"> instance courts “have </w:t>
      </w:r>
      <w:r w:rsidRPr="00455734">
        <w:rPr>
          <w:sz w:val="24"/>
          <w:lang w:val="en-GB"/>
        </w:rPr>
        <w:t xml:space="preserve">erroneously </w:t>
      </w:r>
      <w:r w:rsidR="0070675B">
        <w:rPr>
          <w:sz w:val="24"/>
          <w:lang w:val="en-GB"/>
        </w:rPr>
        <w:t>approved as founded</w:t>
      </w:r>
      <w:r w:rsidRPr="00455734">
        <w:rPr>
          <w:sz w:val="24"/>
          <w:lang w:val="en-GB"/>
        </w:rPr>
        <w:t xml:space="preserve"> the </w:t>
      </w:r>
      <w:r w:rsidR="0070675B">
        <w:rPr>
          <w:sz w:val="24"/>
          <w:lang w:val="en-GB"/>
        </w:rPr>
        <w:t xml:space="preserve">statement of </w:t>
      </w:r>
      <w:r w:rsidRPr="00455734">
        <w:rPr>
          <w:sz w:val="24"/>
          <w:lang w:val="en-GB"/>
        </w:rPr>
        <w:t>claim</w:t>
      </w:r>
      <w:r w:rsidR="0070675B">
        <w:rPr>
          <w:sz w:val="24"/>
          <w:lang w:val="en-GB"/>
        </w:rPr>
        <w:t>”</w:t>
      </w:r>
      <w:r w:rsidRPr="00455734">
        <w:rPr>
          <w:sz w:val="24"/>
          <w:lang w:val="en-GB"/>
        </w:rPr>
        <w:t xml:space="preserve"> of the </w:t>
      </w:r>
      <w:r w:rsidR="0070675B">
        <w:rPr>
          <w:sz w:val="24"/>
          <w:lang w:val="en-GB"/>
        </w:rPr>
        <w:t>claimant</w:t>
      </w:r>
      <w:r w:rsidRPr="00455734">
        <w:rPr>
          <w:sz w:val="24"/>
          <w:lang w:val="en-GB"/>
        </w:rPr>
        <w:t xml:space="preserve"> IKK Classic, filed in on the basis of the right to </w:t>
      </w:r>
      <w:r w:rsidR="0070675B">
        <w:rPr>
          <w:sz w:val="24"/>
          <w:lang w:val="en-GB"/>
        </w:rPr>
        <w:t>subrogation</w:t>
      </w:r>
      <w:r w:rsidRPr="00455734">
        <w:rPr>
          <w:sz w:val="24"/>
          <w:lang w:val="en-GB"/>
        </w:rPr>
        <w:t xml:space="preserve"> because, according to the Supreme Court, </w:t>
      </w:r>
      <w:r w:rsidR="0070675B">
        <w:rPr>
          <w:sz w:val="24"/>
          <w:lang w:val="en-GB"/>
        </w:rPr>
        <w:t>its</w:t>
      </w:r>
      <w:r w:rsidRPr="00455734">
        <w:rPr>
          <w:sz w:val="24"/>
          <w:lang w:val="en-GB"/>
        </w:rPr>
        <w:t xml:space="preserve"> insured</w:t>
      </w:r>
      <w:r w:rsidR="0070675B">
        <w:rPr>
          <w:sz w:val="24"/>
          <w:lang w:val="en-GB"/>
        </w:rPr>
        <w:t xml:space="preserve"> person</w:t>
      </w:r>
      <w:r w:rsidRPr="00455734">
        <w:rPr>
          <w:sz w:val="24"/>
          <w:lang w:val="en-GB"/>
        </w:rPr>
        <w:t xml:space="preserve"> through the </w:t>
      </w:r>
      <w:r w:rsidR="0070675B">
        <w:rPr>
          <w:sz w:val="24"/>
          <w:lang w:val="en-GB"/>
        </w:rPr>
        <w:t>extrajudicial</w:t>
      </w:r>
      <w:r w:rsidRPr="00455734">
        <w:rPr>
          <w:sz w:val="24"/>
          <w:lang w:val="en-GB"/>
        </w:rPr>
        <w:t xml:space="preserve"> of 3 February 2009 concluded between him and SIGMA had received </w:t>
      </w:r>
      <w:r w:rsidR="0070675B">
        <w:rPr>
          <w:sz w:val="24"/>
          <w:lang w:val="en-GB"/>
        </w:rPr>
        <w:t>indemnity</w:t>
      </w:r>
      <w:r w:rsidRPr="00455734">
        <w:rPr>
          <w:sz w:val="24"/>
          <w:lang w:val="en-GB"/>
        </w:rPr>
        <w:t xml:space="preserve"> in the amount of 2,729</w:t>
      </w:r>
      <w:r w:rsidR="0070675B">
        <w:rPr>
          <w:sz w:val="24"/>
          <w:lang w:val="en-GB"/>
        </w:rPr>
        <w:t xml:space="preserve"> Euros</w:t>
      </w:r>
      <w:r w:rsidRPr="00455734">
        <w:rPr>
          <w:sz w:val="24"/>
          <w:lang w:val="en-GB"/>
        </w:rPr>
        <w:t xml:space="preserve">. The Court found that </w:t>
      </w:r>
      <w:r w:rsidRPr="0088648A">
        <w:rPr>
          <w:i/>
          <w:sz w:val="24"/>
          <w:lang w:val="en-GB"/>
        </w:rPr>
        <w:t xml:space="preserve">“the failure of the Supreme Court to </w:t>
      </w:r>
      <w:r w:rsidR="0088648A" w:rsidRPr="0088648A">
        <w:rPr>
          <w:i/>
          <w:sz w:val="24"/>
          <w:lang w:val="en-GB"/>
        </w:rPr>
        <w:t>provide clear</w:t>
      </w:r>
      <w:r w:rsidRPr="0088648A">
        <w:rPr>
          <w:i/>
          <w:sz w:val="24"/>
          <w:lang w:val="en-GB"/>
        </w:rPr>
        <w:t xml:space="preserve"> and complete answers to the main question concerning the right of the </w:t>
      </w:r>
      <w:r w:rsidR="0088648A">
        <w:rPr>
          <w:i/>
          <w:sz w:val="24"/>
          <w:lang w:val="en-GB"/>
        </w:rPr>
        <w:t>A</w:t>
      </w:r>
      <w:r w:rsidRPr="0088648A">
        <w:rPr>
          <w:i/>
          <w:sz w:val="24"/>
          <w:lang w:val="en-GB"/>
        </w:rPr>
        <w:t xml:space="preserve">pplicant [IKK Classic] </w:t>
      </w:r>
      <w:r w:rsidR="0088648A" w:rsidRPr="0088648A">
        <w:rPr>
          <w:i/>
          <w:sz w:val="24"/>
          <w:lang w:val="en-GB"/>
        </w:rPr>
        <w:t>to</w:t>
      </w:r>
      <w:r w:rsidRPr="0088648A">
        <w:rPr>
          <w:i/>
          <w:sz w:val="24"/>
          <w:lang w:val="en-GB"/>
        </w:rPr>
        <w:t xml:space="preserve"> compensation, </w:t>
      </w:r>
      <w:r w:rsidR="0088648A" w:rsidRPr="0088648A">
        <w:rPr>
          <w:i/>
          <w:sz w:val="24"/>
          <w:lang w:val="en-GB"/>
        </w:rPr>
        <w:t>established</w:t>
      </w:r>
      <w:r w:rsidRPr="0088648A">
        <w:rPr>
          <w:i/>
          <w:sz w:val="24"/>
          <w:lang w:val="en-GB"/>
        </w:rPr>
        <w:t xml:space="preserve"> by the courts of lower instance, is a violation of the </w:t>
      </w:r>
      <w:r w:rsidR="0088648A" w:rsidRPr="0088648A">
        <w:rPr>
          <w:i/>
          <w:sz w:val="24"/>
          <w:lang w:val="en-GB"/>
        </w:rPr>
        <w:t>A</w:t>
      </w:r>
      <w:r w:rsidRPr="0088648A">
        <w:rPr>
          <w:i/>
          <w:sz w:val="24"/>
          <w:lang w:val="en-GB"/>
        </w:rPr>
        <w:t xml:space="preserve">pplicant's right to </w:t>
      </w:r>
      <w:r w:rsidR="0088648A" w:rsidRPr="0088648A">
        <w:rPr>
          <w:i/>
          <w:sz w:val="24"/>
          <w:lang w:val="en-GB"/>
        </w:rPr>
        <w:t>b</w:t>
      </w:r>
      <w:r w:rsidRPr="0088648A">
        <w:rPr>
          <w:i/>
          <w:sz w:val="24"/>
          <w:lang w:val="en-GB"/>
        </w:rPr>
        <w:t>e heard and the right to a reasoned decision, as an integral part of the right to a fair and impartial trial</w:t>
      </w:r>
      <w:r w:rsidR="00FF271B" w:rsidRPr="0088648A">
        <w:rPr>
          <w:i/>
          <w:sz w:val="24"/>
          <w:lang w:val="en-GB"/>
        </w:rPr>
        <w:t>.”</w:t>
      </w:r>
    </w:p>
    <w:p w:rsidR="00314A8D" w:rsidRPr="0088648A" w:rsidRDefault="00314A8D" w:rsidP="00A06B9C">
      <w:pPr>
        <w:pStyle w:val="ListParagraph"/>
        <w:spacing w:line="240" w:lineRule="auto"/>
        <w:ind w:left="540"/>
        <w:rPr>
          <w:i/>
          <w:lang w:val="en-GB"/>
        </w:rPr>
      </w:pPr>
    </w:p>
    <w:p w:rsidR="00314A8D" w:rsidRPr="00CB3F43" w:rsidRDefault="0088648A" w:rsidP="00A06B9C">
      <w:pPr>
        <w:pStyle w:val="ListParagraph"/>
        <w:numPr>
          <w:ilvl w:val="0"/>
          <w:numId w:val="63"/>
        </w:numPr>
        <w:autoSpaceDE w:val="0"/>
        <w:autoSpaceDN w:val="0"/>
        <w:adjustRightInd w:val="0"/>
        <w:spacing w:line="240" w:lineRule="auto"/>
        <w:ind w:left="634" w:hanging="634"/>
        <w:rPr>
          <w:i/>
          <w:sz w:val="24"/>
          <w:lang w:val="en-GB"/>
        </w:rPr>
      </w:pPr>
      <w:r w:rsidRPr="0088648A">
        <w:rPr>
          <w:iCs/>
          <w:sz w:val="24"/>
          <w:lang w:val="en-GB"/>
        </w:rPr>
        <w:t xml:space="preserve">On 16 March 2016, following the Judgment of the Constitutional Court in the </w:t>
      </w:r>
      <w:r>
        <w:rPr>
          <w:iCs/>
          <w:sz w:val="24"/>
          <w:lang w:val="en-GB"/>
        </w:rPr>
        <w:t xml:space="preserve">case </w:t>
      </w:r>
      <w:r w:rsidRPr="0088648A">
        <w:rPr>
          <w:iCs/>
          <w:sz w:val="24"/>
          <w:lang w:val="en-GB"/>
        </w:rPr>
        <w:t>KI135/</w:t>
      </w:r>
      <w:r>
        <w:rPr>
          <w:iCs/>
          <w:sz w:val="24"/>
          <w:lang w:val="en-GB"/>
        </w:rPr>
        <w:t>14</w:t>
      </w:r>
      <w:r w:rsidRPr="0088648A">
        <w:rPr>
          <w:iCs/>
          <w:sz w:val="24"/>
          <w:lang w:val="en-GB"/>
        </w:rPr>
        <w:t xml:space="preserve">, the Supreme Court issued a new, respectively second judgment in the case, Judgment E. Rev. no. 15/2016 </w:t>
      </w:r>
      <w:r>
        <w:rPr>
          <w:iCs/>
          <w:sz w:val="24"/>
          <w:lang w:val="en-GB"/>
        </w:rPr>
        <w:t>whereby it repeated</w:t>
      </w:r>
      <w:r w:rsidRPr="0088648A">
        <w:rPr>
          <w:iCs/>
          <w:sz w:val="24"/>
          <w:lang w:val="en-GB"/>
        </w:rPr>
        <w:t xml:space="preserve"> the findings of the first Judgment [E. Rev. no. 21/2014] of 8 April 2014, deciding that the request for</w:t>
      </w:r>
      <w:r>
        <w:rPr>
          <w:iCs/>
          <w:sz w:val="24"/>
          <w:lang w:val="en-GB"/>
        </w:rPr>
        <w:t xml:space="preserve"> revision of </w:t>
      </w:r>
      <w:r w:rsidRPr="0088648A">
        <w:rPr>
          <w:iCs/>
          <w:sz w:val="24"/>
          <w:lang w:val="en-GB"/>
        </w:rPr>
        <w:t xml:space="preserve">SIGMA is </w:t>
      </w:r>
      <w:r>
        <w:rPr>
          <w:iCs/>
          <w:sz w:val="24"/>
          <w:lang w:val="en-GB"/>
        </w:rPr>
        <w:t>grounded</w:t>
      </w:r>
      <w:r w:rsidRPr="0088648A">
        <w:rPr>
          <w:iCs/>
          <w:sz w:val="24"/>
          <w:lang w:val="en-GB"/>
        </w:rPr>
        <w:t xml:space="preserve">. Following this Judgment, </w:t>
      </w:r>
      <w:r w:rsidRPr="0088648A">
        <w:rPr>
          <w:i/>
          <w:iCs/>
          <w:sz w:val="24"/>
          <w:lang w:val="en-GB"/>
        </w:rPr>
        <w:t>IKK Classic</w:t>
      </w:r>
      <w:r>
        <w:rPr>
          <w:iCs/>
          <w:sz w:val="24"/>
          <w:lang w:val="en-GB"/>
        </w:rPr>
        <w:t xml:space="preserve"> again </w:t>
      </w:r>
      <w:r>
        <w:rPr>
          <w:iCs/>
          <w:sz w:val="24"/>
          <w:lang w:val="en-GB"/>
        </w:rPr>
        <w:lastRenderedPageBreak/>
        <w:t>submitted a referral</w:t>
      </w:r>
      <w:r w:rsidRPr="0088648A">
        <w:rPr>
          <w:iCs/>
          <w:sz w:val="24"/>
          <w:lang w:val="en-GB"/>
        </w:rPr>
        <w:t xml:space="preserve"> to the Constitutional Court, in which case the Constitutional Court </w:t>
      </w:r>
      <w:r>
        <w:rPr>
          <w:iCs/>
          <w:sz w:val="24"/>
          <w:lang w:val="en-GB"/>
        </w:rPr>
        <w:t>by</w:t>
      </w:r>
      <w:r w:rsidRPr="0088648A">
        <w:rPr>
          <w:iCs/>
          <w:sz w:val="24"/>
          <w:lang w:val="en-GB"/>
        </w:rPr>
        <w:t xml:space="preserve"> Judgment KI97 / 16, of 14 December 2017 (hereinafter: the case KI97/ 16) found that the Supreme Court </w:t>
      </w:r>
      <w:r w:rsidRPr="00CB3F43">
        <w:rPr>
          <w:i/>
          <w:iCs/>
          <w:sz w:val="24"/>
          <w:lang w:val="en-GB"/>
        </w:rPr>
        <w:t xml:space="preserve">“[...] by not taking into account and not justifying the alleged right of the Applicant to compensation, moreover by failing to address the findings of the Judgment of the Court in case no. KI135/14, the </w:t>
      </w:r>
      <w:r w:rsidR="00CB3F43" w:rsidRPr="00CB3F43">
        <w:rPr>
          <w:i/>
          <w:iCs/>
          <w:sz w:val="24"/>
          <w:lang w:val="en-GB"/>
        </w:rPr>
        <w:t>s</w:t>
      </w:r>
      <w:r w:rsidRPr="00CB3F43">
        <w:rPr>
          <w:i/>
          <w:iCs/>
          <w:sz w:val="24"/>
          <w:lang w:val="en-GB"/>
        </w:rPr>
        <w:t xml:space="preserve">econd </w:t>
      </w:r>
      <w:r w:rsidR="00CB3F43" w:rsidRPr="00CB3F43">
        <w:rPr>
          <w:i/>
          <w:iCs/>
          <w:sz w:val="24"/>
          <w:lang w:val="en-GB"/>
        </w:rPr>
        <w:t>j</w:t>
      </w:r>
      <w:r w:rsidRPr="00CB3F43">
        <w:rPr>
          <w:i/>
          <w:iCs/>
          <w:sz w:val="24"/>
          <w:lang w:val="en-GB"/>
        </w:rPr>
        <w:t xml:space="preserve">udgment of the Supreme Court [E. Rev. no. 15/2016] of 16 March 2016, </w:t>
      </w:r>
      <w:r w:rsidR="00CB3F43" w:rsidRPr="00CB3F43">
        <w:rPr>
          <w:i/>
          <w:iCs/>
          <w:sz w:val="24"/>
          <w:lang w:val="en-GB"/>
        </w:rPr>
        <w:t xml:space="preserve">violated </w:t>
      </w:r>
      <w:r w:rsidRPr="00CB3F43">
        <w:rPr>
          <w:i/>
          <w:iCs/>
          <w:sz w:val="24"/>
          <w:lang w:val="en-GB"/>
        </w:rPr>
        <w:t xml:space="preserve">the </w:t>
      </w:r>
      <w:r w:rsidR="00CB3F43" w:rsidRPr="00CB3F43">
        <w:rPr>
          <w:i/>
          <w:iCs/>
          <w:sz w:val="24"/>
          <w:lang w:val="en-GB"/>
        </w:rPr>
        <w:t xml:space="preserve">Applicant’s right </w:t>
      </w:r>
      <w:r w:rsidRPr="00CB3F43">
        <w:rPr>
          <w:i/>
          <w:iCs/>
          <w:sz w:val="24"/>
          <w:lang w:val="en-GB"/>
        </w:rPr>
        <w:t xml:space="preserve">to a fair and impartial trial </w:t>
      </w:r>
      <w:r w:rsidR="00CB3F43" w:rsidRPr="00CB3F43">
        <w:rPr>
          <w:i/>
          <w:iCs/>
          <w:sz w:val="24"/>
          <w:lang w:val="en-GB"/>
        </w:rPr>
        <w:t>as</w:t>
      </w:r>
      <w:r w:rsidRPr="00CB3F43">
        <w:rPr>
          <w:i/>
          <w:iCs/>
          <w:sz w:val="24"/>
          <w:lang w:val="en-GB"/>
        </w:rPr>
        <w:t xml:space="preserve"> guaranteed by Article 31 of the Constitution in conjunction with Article 6, paragraph 1 of the ECHR. As a result of this violation, the </w:t>
      </w:r>
      <w:r w:rsidR="00CB3F43" w:rsidRPr="00CB3F43">
        <w:rPr>
          <w:i/>
          <w:iCs/>
          <w:sz w:val="24"/>
          <w:lang w:val="en-GB"/>
        </w:rPr>
        <w:t>A</w:t>
      </w:r>
      <w:r w:rsidRPr="00CB3F43">
        <w:rPr>
          <w:i/>
          <w:iCs/>
          <w:sz w:val="24"/>
          <w:lang w:val="en-GB"/>
        </w:rPr>
        <w:t>pplicant was deprived of his right to a reasoned decision.</w:t>
      </w:r>
      <w:r w:rsidR="00FF271B" w:rsidRPr="00CB3F43">
        <w:rPr>
          <w:i/>
          <w:sz w:val="24"/>
          <w:lang w:val="en-GB"/>
        </w:rPr>
        <w:t>”</w:t>
      </w:r>
    </w:p>
    <w:p w:rsidR="00314A8D" w:rsidRPr="00CB3F43" w:rsidRDefault="00314A8D" w:rsidP="00A06B9C">
      <w:pPr>
        <w:pStyle w:val="ListParagraph"/>
        <w:tabs>
          <w:tab w:val="left" w:pos="720"/>
        </w:tabs>
        <w:spacing w:line="240" w:lineRule="auto"/>
        <w:ind w:hanging="720"/>
        <w:rPr>
          <w:i/>
          <w:lang w:val="en-GB"/>
        </w:rPr>
      </w:pPr>
    </w:p>
    <w:p w:rsidR="00D84302" w:rsidRPr="00314A8D" w:rsidRDefault="000118B8" w:rsidP="00A06B9C">
      <w:pPr>
        <w:pStyle w:val="ListParagraph"/>
        <w:numPr>
          <w:ilvl w:val="0"/>
          <w:numId w:val="63"/>
        </w:numPr>
        <w:autoSpaceDE w:val="0"/>
        <w:autoSpaceDN w:val="0"/>
        <w:adjustRightInd w:val="0"/>
        <w:spacing w:line="240" w:lineRule="auto"/>
        <w:ind w:left="634" w:hanging="634"/>
        <w:rPr>
          <w:sz w:val="24"/>
          <w:lang w:val="en-GB"/>
        </w:rPr>
      </w:pPr>
      <w:r w:rsidRPr="000118B8">
        <w:rPr>
          <w:sz w:val="24"/>
          <w:lang w:val="en-GB"/>
        </w:rPr>
        <w:t xml:space="preserve">Therefore, in </w:t>
      </w:r>
      <w:r>
        <w:rPr>
          <w:sz w:val="24"/>
          <w:lang w:val="en-GB"/>
        </w:rPr>
        <w:t xml:space="preserve">the </w:t>
      </w:r>
      <w:r w:rsidRPr="000118B8">
        <w:rPr>
          <w:sz w:val="24"/>
          <w:lang w:val="en-GB"/>
        </w:rPr>
        <w:t xml:space="preserve">light of the above reasoning and </w:t>
      </w:r>
      <w:r>
        <w:rPr>
          <w:sz w:val="24"/>
          <w:lang w:val="en-GB"/>
        </w:rPr>
        <w:t xml:space="preserve">on the basis of </w:t>
      </w:r>
      <w:r w:rsidRPr="000118B8">
        <w:rPr>
          <w:sz w:val="24"/>
          <w:lang w:val="en-GB"/>
        </w:rPr>
        <w:t xml:space="preserve">its case law in similar cases, the Court considers that the </w:t>
      </w:r>
      <w:r>
        <w:rPr>
          <w:sz w:val="24"/>
          <w:lang w:val="en-GB"/>
        </w:rPr>
        <w:t>challenged</w:t>
      </w:r>
      <w:r w:rsidRPr="000118B8">
        <w:rPr>
          <w:sz w:val="24"/>
          <w:lang w:val="en-GB"/>
        </w:rPr>
        <w:t xml:space="preserve"> Judgment of the Court of Appeals has not fully and clearly addressed the issues of compensation for medical expenses paid by the </w:t>
      </w:r>
      <w:r>
        <w:rPr>
          <w:sz w:val="24"/>
          <w:lang w:val="en-GB"/>
        </w:rPr>
        <w:t>Applicant</w:t>
      </w:r>
      <w:r w:rsidRPr="000118B8">
        <w:rPr>
          <w:sz w:val="24"/>
          <w:lang w:val="en-GB"/>
        </w:rPr>
        <w:t>, which he had specified in his</w:t>
      </w:r>
      <w:r>
        <w:rPr>
          <w:sz w:val="24"/>
          <w:lang w:val="en-GB"/>
        </w:rPr>
        <w:t xml:space="preserve"> statement of</w:t>
      </w:r>
      <w:r w:rsidRPr="000118B8">
        <w:rPr>
          <w:sz w:val="24"/>
          <w:lang w:val="en-GB"/>
        </w:rPr>
        <w:t xml:space="preserve"> claim (See </w:t>
      </w:r>
      <w:r w:rsidRPr="000118B8">
        <w:rPr>
          <w:i/>
          <w:sz w:val="24"/>
          <w:lang w:val="en-GB"/>
        </w:rPr>
        <w:t>mutatis</w:t>
      </w:r>
      <w:r>
        <w:rPr>
          <w:i/>
          <w:sz w:val="24"/>
          <w:lang w:val="en-GB"/>
        </w:rPr>
        <w:t xml:space="preserve"> </w:t>
      </w:r>
      <w:r w:rsidRPr="000118B8">
        <w:rPr>
          <w:i/>
          <w:sz w:val="24"/>
          <w:lang w:val="en-GB"/>
        </w:rPr>
        <w:t>mutandis</w:t>
      </w:r>
      <w:r w:rsidRPr="000118B8">
        <w:rPr>
          <w:sz w:val="24"/>
          <w:lang w:val="en-GB"/>
        </w:rPr>
        <w:t>, case</w:t>
      </w:r>
      <w:r>
        <w:rPr>
          <w:sz w:val="24"/>
          <w:lang w:val="en-GB"/>
        </w:rPr>
        <w:t xml:space="preserve"> </w:t>
      </w:r>
      <w:r w:rsidRPr="000118B8">
        <w:rPr>
          <w:sz w:val="24"/>
          <w:lang w:val="en-GB"/>
        </w:rPr>
        <w:t>KI135/14, paragraph 52</w:t>
      </w:r>
      <w:r w:rsidR="00FF271B" w:rsidRPr="00314A8D">
        <w:rPr>
          <w:sz w:val="24"/>
          <w:lang w:val="en-GB"/>
        </w:rPr>
        <w:t>).</w:t>
      </w:r>
    </w:p>
    <w:p w:rsidR="00D84302" w:rsidRPr="00314A8D" w:rsidRDefault="00D84302" w:rsidP="00A06B9C">
      <w:pPr>
        <w:pStyle w:val="ListParagraph"/>
        <w:spacing w:line="240" w:lineRule="auto"/>
        <w:ind w:left="540"/>
        <w:rPr>
          <w:sz w:val="24"/>
          <w:lang w:val="en-GB"/>
        </w:rPr>
      </w:pPr>
    </w:p>
    <w:p w:rsidR="00D84302" w:rsidRPr="00314A8D" w:rsidRDefault="000118B8" w:rsidP="00A06B9C">
      <w:pPr>
        <w:pStyle w:val="ListParagraph"/>
        <w:numPr>
          <w:ilvl w:val="0"/>
          <w:numId w:val="63"/>
        </w:numPr>
        <w:autoSpaceDE w:val="0"/>
        <w:autoSpaceDN w:val="0"/>
        <w:adjustRightInd w:val="0"/>
        <w:spacing w:line="240" w:lineRule="auto"/>
        <w:ind w:left="634" w:hanging="634"/>
        <w:rPr>
          <w:sz w:val="24"/>
          <w:lang w:val="en-GB"/>
        </w:rPr>
      </w:pPr>
      <w:r w:rsidRPr="000118B8">
        <w:rPr>
          <w:sz w:val="24"/>
          <w:lang w:val="en-GB"/>
        </w:rPr>
        <w:t xml:space="preserve">Furthermore, the </w:t>
      </w:r>
      <w:r>
        <w:rPr>
          <w:sz w:val="24"/>
          <w:lang w:val="en-GB"/>
        </w:rPr>
        <w:t>Applicant’s substantive claim</w:t>
      </w:r>
      <w:r w:rsidRPr="000118B8">
        <w:rPr>
          <w:sz w:val="24"/>
          <w:lang w:val="en-GB"/>
        </w:rPr>
        <w:t xml:space="preserve">, which was </w:t>
      </w:r>
      <w:r>
        <w:rPr>
          <w:sz w:val="24"/>
          <w:lang w:val="en-GB"/>
        </w:rPr>
        <w:t>submitted</w:t>
      </w:r>
      <w:r w:rsidRPr="000118B8">
        <w:rPr>
          <w:sz w:val="24"/>
          <w:lang w:val="en-GB"/>
        </w:rPr>
        <w:t xml:space="preserve"> on the basis of the right to subrogation, was not reasoned by the Basic Court either.</w:t>
      </w:r>
    </w:p>
    <w:p w:rsidR="00D84302" w:rsidRPr="00314A8D" w:rsidRDefault="00D84302" w:rsidP="00A06B9C">
      <w:pPr>
        <w:pStyle w:val="ListParagraph"/>
        <w:spacing w:line="240" w:lineRule="auto"/>
        <w:rPr>
          <w:sz w:val="24"/>
          <w:lang w:val="en-GB"/>
        </w:rPr>
      </w:pPr>
    </w:p>
    <w:p w:rsidR="00D84302" w:rsidRPr="00314A8D" w:rsidRDefault="000118B8" w:rsidP="00A06B9C">
      <w:pPr>
        <w:pStyle w:val="ListParagraph"/>
        <w:numPr>
          <w:ilvl w:val="0"/>
          <w:numId w:val="63"/>
        </w:numPr>
        <w:autoSpaceDE w:val="0"/>
        <w:autoSpaceDN w:val="0"/>
        <w:adjustRightInd w:val="0"/>
        <w:spacing w:line="240" w:lineRule="auto"/>
        <w:ind w:left="634" w:hanging="634"/>
        <w:rPr>
          <w:sz w:val="24"/>
          <w:lang w:val="en-GB"/>
        </w:rPr>
      </w:pPr>
      <w:r>
        <w:rPr>
          <w:sz w:val="24"/>
          <w:lang w:val="en-GB"/>
        </w:rPr>
        <w:t>I</w:t>
      </w:r>
      <w:r w:rsidRPr="000118B8">
        <w:rPr>
          <w:sz w:val="24"/>
          <w:lang w:val="en-GB"/>
        </w:rPr>
        <w:t xml:space="preserve">n this regard, the Basic Court </w:t>
      </w:r>
      <w:r>
        <w:rPr>
          <w:sz w:val="24"/>
          <w:lang w:val="en-GB"/>
        </w:rPr>
        <w:t xml:space="preserve">had </w:t>
      </w:r>
      <w:r w:rsidRPr="000118B8">
        <w:rPr>
          <w:sz w:val="24"/>
          <w:lang w:val="en-GB"/>
        </w:rPr>
        <w:t xml:space="preserve">found that after </w:t>
      </w:r>
      <w:r>
        <w:rPr>
          <w:sz w:val="24"/>
          <w:lang w:val="en-GB"/>
        </w:rPr>
        <w:t>the conclusion of the extrajudicial agreement</w:t>
      </w:r>
      <w:r w:rsidRPr="000118B8">
        <w:rPr>
          <w:sz w:val="24"/>
          <w:lang w:val="en-GB"/>
        </w:rPr>
        <w:t>, the</w:t>
      </w:r>
      <w:r>
        <w:rPr>
          <w:sz w:val="24"/>
          <w:lang w:val="en-GB"/>
        </w:rPr>
        <w:t xml:space="preserve"> Applicant’s insured person</w:t>
      </w:r>
      <w:r w:rsidRPr="000118B8">
        <w:rPr>
          <w:sz w:val="24"/>
          <w:lang w:val="en-GB"/>
        </w:rPr>
        <w:t xml:space="preserve"> had </w:t>
      </w:r>
      <w:r>
        <w:rPr>
          <w:sz w:val="24"/>
          <w:lang w:val="en-GB"/>
        </w:rPr>
        <w:t>consumed</w:t>
      </w:r>
      <w:r w:rsidRPr="000118B8">
        <w:rPr>
          <w:sz w:val="24"/>
          <w:lang w:val="en-GB"/>
        </w:rPr>
        <w:t xml:space="preserve"> his right to claim</w:t>
      </w:r>
      <w:r w:rsidR="00C874EB">
        <w:rPr>
          <w:sz w:val="24"/>
          <w:lang w:val="en-GB"/>
        </w:rPr>
        <w:t xml:space="preserve"> compensation of</w:t>
      </w:r>
      <w:r w:rsidRPr="000118B8">
        <w:rPr>
          <w:sz w:val="24"/>
          <w:lang w:val="en-GB"/>
        </w:rPr>
        <w:t xml:space="preserve"> damages, concluding that no one could transfer to another</w:t>
      </w:r>
      <w:r w:rsidR="00C874EB">
        <w:rPr>
          <w:sz w:val="24"/>
          <w:lang w:val="en-GB"/>
        </w:rPr>
        <w:t xml:space="preserve"> person/entity</w:t>
      </w:r>
      <w:r w:rsidRPr="000118B8">
        <w:rPr>
          <w:sz w:val="24"/>
          <w:lang w:val="en-GB"/>
        </w:rPr>
        <w:t xml:space="preserve"> a right which he had previously </w:t>
      </w:r>
      <w:r w:rsidR="00C874EB">
        <w:rPr>
          <w:sz w:val="24"/>
          <w:lang w:val="en-GB"/>
        </w:rPr>
        <w:t>realised</w:t>
      </w:r>
      <w:r w:rsidRPr="000118B8">
        <w:rPr>
          <w:sz w:val="24"/>
          <w:lang w:val="en-GB"/>
        </w:rPr>
        <w:t xml:space="preserve">, and consequently this right </w:t>
      </w:r>
      <w:proofErr w:type="spellStart"/>
      <w:r w:rsidR="00C874EB">
        <w:rPr>
          <w:sz w:val="24"/>
          <w:lang w:val="en-GB"/>
        </w:rPr>
        <w:t>accordgint</w:t>
      </w:r>
      <w:proofErr w:type="spellEnd"/>
      <w:r w:rsidR="00C874EB">
        <w:rPr>
          <w:sz w:val="24"/>
          <w:lang w:val="en-GB"/>
        </w:rPr>
        <w:t xml:space="preserve"> to</w:t>
      </w:r>
      <w:r w:rsidRPr="000118B8">
        <w:rPr>
          <w:sz w:val="24"/>
          <w:lang w:val="en-GB"/>
        </w:rPr>
        <w:t xml:space="preserve"> the Basic Court had </w:t>
      </w:r>
      <w:r w:rsidR="00C874EB">
        <w:rPr>
          <w:sz w:val="24"/>
          <w:lang w:val="en-GB"/>
        </w:rPr>
        <w:t>ceased to exist</w:t>
      </w:r>
      <w:r w:rsidRPr="000118B8">
        <w:rPr>
          <w:sz w:val="24"/>
          <w:lang w:val="en-GB"/>
        </w:rPr>
        <w:t>. The Court of Appeals in its judgment had only confirmed the finding of the Basic Court, adding t</w:t>
      </w:r>
      <w:r w:rsidR="00C874EB">
        <w:rPr>
          <w:sz w:val="24"/>
          <w:lang w:val="en-GB"/>
        </w:rPr>
        <w:t>hat pursuant to Article 391, item</w:t>
      </w:r>
      <w:r w:rsidRPr="000118B8">
        <w:rPr>
          <w:sz w:val="24"/>
          <w:lang w:val="en-GB"/>
        </w:rPr>
        <w:t xml:space="preserve"> e) of the LCP, </w:t>
      </w:r>
      <w:r w:rsidR="00C874EB">
        <w:rPr>
          <w:sz w:val="24"/>
          <w:lang w:val="en-GB"/>
        </w:rPr>
        <w:t>court settlement</w:t>
      </w:r>
      <w:r w:rsidRPr="000118B8">
        <w:rPr>
          <w:sz w:val="24"/>
          <w:lang w:val="en-GB"/>
        </w:rPr>
        <w:t xml:space="preserve"> has the characteristics of a final and final judgment and as such </w:t>
      </w:r>
      <w:r w:rsidR="00C874EB">
        <w:rPr>
          <w:sz w:val="24"/>
          <w:lang w:val="en-GB"/>
        </w:rPr>
        <w:t xml:space="preserve">it </w:t>
      </w:r>
      <w:r w:rsidRPr="000118B8">
        <w:rPr>
          <w:sz w:val="24"/>
          <w:lang w:val="en-GB"/>
        </w:rPr>
        <w:t xml:space="preserve">produces the same </w:t>
      </w:r>
      <w:r w:rsidR="00C874EB">
        <w:rPr>
          <w:sz w:val="24"/>
          <w:lang w:val="en-GB"/>
        </w:rPr>
        <w:t xml:space="preserve">legal </w:t>
      </w:r>
      <w:r w:rsidRPr="000118B8">
        <w:rPr>
          <w:sz w:val="24"/>
          <w:lang w:val="en-GB"/>
        </w:rPr>
        <w:t>effects as a judgment, and consequently in relation to the legal issue, for which the parties have reached a court agreement,</w:t>
      </w:r>
      <w:r w:rsidR="00C874EB">
        <w:rPr>
          <w:sz w:val="24"/>
          <w:lang w:val="en-GB"/>
        </w:rPr>
        <w:t xml:space="preserve"> no dispute can be conducted</w:t>
      </w:r>
      <w:r w:rsidRPr="000118B8">
        <w:rPr>
          <w:sz w:val="24"/>
          <w:lang w:val="en-GB"/>
        </w:rPr>
        <w:t>.</w:t>
      </w:r>
      <w:r w:rsidR="00FF271B" w:rsidRPr="00314A8D">
        <w:rPr>
          <w:sz w:val="24"/>
          <w:lang w:val="en-GB"/>
        </w:rPr>
        <w:t xml:space="preserve"> </w:t>
      </w:r>
    </w:p>
    <w:p w:rsidR="00314A8D" w:rsidRPr="00314A8D" w:rsidRDefault="00314A8D" w:rsidP="00A06B9C">
      <w:pPr>
        <w:pStyle w:val="ListParagraph"/>
        <w:spacing w:line="240" w:lineRule="auto"/>
        <w:rPr>
          <w:sz w:val="24"/>
          <w:lang w:val="en-GB"/>
        </w:rPr>
      </w:pPr>
    </w:p>
    <w:p w:rsidR="00D84302" w:rsidRPr="00314A8D" w:rsidRDefault="0073774F" w:rsidP="00A06B9C">
      <w:pPr>
        <w:pStyle w:val="ListParagraph"/>
        <w:numPr>
          <w:ilvl w:val="0"/>
          <w:numId w:val="63"/>
        </w:numPr>
        <w:autoSpaceDE w:val="0"/>
        <w:autoSpaceDN w:val="0"/>
        <w:adjustRightInd w:val="0"/>
        <w:spacing w:line="240" w:lineRule="auto"/>
        <w:ind w:left="634" w:hanging="634"/>
        <w:rPr>
          <w:sz w:val="24"/>
          <w:lang w:val="en-GB"/>
        </w:rPr>
      </w:pPr>
      <w:r>
        <w:rPr>
          <w:sz w:val="24"/>
          <w:lang w:val="en-GB"/>
        </w:rPr>
        <w:t>C</w:t>
      </w:r>
      <w:r w:rsidRPr="0073774F">
        <w:rPr>
          <w:sz w:val="24"/>
          <w:lang w:val="en-GB"/>
        </w:rPr>
        <w:t>onsequently, the Court considers that the c</w:t>
      </w:r>
      <w:r>
        <w:rPr>
          <w:sz w:val="24"/>
          <w:lang w:val="en-GB"/>
        </w:rPr>
        <w:t>hallenged</w:t>
      </w:r>
      <w:r w:rsidRPr="0073774F">
        <w:rPr>
          <w:sz w:val="24"/>
          <w:lang w:val="en-GB"/>
        </w:rPr>
        <w:t xml:space="preserve"> Judgment of the Court of Appeal, Ae. </w:t>
      </w:r>
      <w:proofErr w:type="gramStart"/>
      <w:r w:rsidRPr="0073774F">
        <w:rPr>
          <w:sz w:val="24"/>
          <w:lang w:val="en-GB"/>
        </w:rPr>
        <w:t>no</w:t>
      </w:r>
      <w:proofErr w:type="gramEnd"/>
      <w:r w:rsidRPr="0073774F">
        <w:rPr>
          <w:sz w:val="24"/>
          <w:lang w:val="en-GB"/>
        </w:rPr>
        <w:t>. 146/17, of 26 February 2019, does not meet the standards required for a rea</w:t>
      </w:r>
      <w:r>
        <w:rPr>
          <w:sz w:val="24"/>
          <w:lang w:val="en-GB"/>
        </w:rPr>
        <w:t>soned decision, and thus</w:t>
      </w:r>
      <w:r w:rsidRPr="0073774F">
        <w:rPr>
          <w:sz w:val="24"/>
          <w:lang w:val="en-GB"/>
        </w:rPr>
        <w:t xml:space="preserve"> violates the right of the </w:t>
      </w:r>
      <w:r>
        <w:rPr>
          <w:sz w:val="24"/>
          <w:lang w:val="en-GB"/>
        </w:rPr>
        <w:t>A</w:t>
      </w:r>
      <w:r w:rsidRPr="0073774F">
        <w:rPr>
          <w:sz w:val="24"/>
          <w:lang w:val="en-GB"/>
        </w:rPr>
        <w:t xml:space="preserve">pplicant, guaranteed by Article 31 of the Constitution, in </w:t>
      </w:r>
      <w:r>
        <w:rPr>
          <w:sz w:val="24"/>
          <w:lang w:val="en-GB"/>
        </w:rPr>
        <w:t>conjunction with</w:t>
      </w:r>
      <w:r w:rsidRPr="0073774F">
        <w:rPr>
          <w:sz w:val="24"/>
          <w:lang w:val="en-GB"/>
        </w:rPr>
        <w:t xml:space="preserve"> Article 6 of the ECHR.</w:t>
      </w:r>
      <w:r w:rsidR="00FF271B" w:rsidRPr="00314A8D">
        <w:rPr>
          <w:sz w:val="24"/>
          <w:lang w:val="en-GB"/>
        </w:rPr>
        <w:t xml:space="preserve"> </w:t>
      </w:r>
    </w:p>
    <w:p w:rsidR="00D84302" w:rsidRPr="00314A8D" w:rsidRDefault="00D84302" w:rsidP="00A06B9C">
      <w:pPr>
        <w:pStyle w:val="ListParagraph"/>
        <w:spacing w:line="240" w:lineRule="auto"/>
        <w:ind w:left="540" w:hanging="540"/>
        <w:rPr>
          <w:sz w:val="24"/>
          <w:lang w:val="en-GB"/>
        </w:rPr>
      </w:pPr>
    </w:p>
    <w:p w:rsidR="00D84302" w:rsidRPr="00314A8D" w:rsidRDefault="00C71B5B" w:rsidP="00A06B9C">
      <w:pPr>
        <w:pStyle w:val="ListParagraph"/>
        <w:numPr>
          <w:ilvl w:val="0"/>
          <w:numId w:val="63"/>
        </w:numPr>
        <w:autoSpaceDE w:val="0"/>
        <w:autoSpaceDN w:val="0"/>
        <w:adjustRightInd w:val="0"/>
        <w:spacing w:line="240" w:lineRule="auto"/>
        <w:ind w:left="634" w:hanging="634"/>
        <w:rPr>
          <w:sz w:val="24"/>
          <w:lang w:val="en-GB"/>
        </w:rPr>
      </w:pPr>
      <w:r w:rsidRPr="00C71B5B">
        <w:rPr>
          <w:sz w:val="24"/>
          <w:lang w:val="en-GB"/>
        </w:rPr>
        <w:t>Following the finding that the c</w:t>
      </w:r>
      <w:r>
        <w:rPr>
          <w:sz w:val="24"/>
          <w:lang w:val="en-GB"/>
        </w:rPr>
        <w:t>hallenged</w:t>
      </w:r>
      <w:r w:rsidRPr="00C71B5B">
        <w:rPr>
          <w:sz w:val="24"/>
          <w:lang w:val="en-GB"/>
        </w:rPr>
        <w:t xml:space="preserve"> Judgment of the Court of Appeals was found to be contrary to Article 31 of the Constitution, in </w:t>
      </w:r>
      <w:r>
        <w:rPr>
          <w:sz w:val="24"/>
          <w:lang w:val="en-GB"/>
        </w:rPr>
        <w:t>conjunction with</w:t>
      </w:r>
      <w:r w:rsidRPr="00C71B5B">
        <w:rPr>
          <w:sz w:val="24"/>
          <w:lang w:val="en-GB"/>
        </w:rPr>
        <w:t xml:space="preserve"> Article 6 of the ECHR due to</w:t>
      </w:r>
      <w:r>
        <w:rPr>
          <w:sz w:val="24"/>
          <w:lang w:val="en-GB"/>
        </w:rPr>
        <w:t xml:space="preserve"> the</w:t>
      </w:r>
      <w:r w:rsidRPr="00C71B5B">
        <w:rPr>
          <w:sz w:val="24"/>
          <w:lang w:val="en-GB"/>
        </w:rPr>
        <w:t xml:space="preserve"> lack of</w:t>
      </w:r>
      <w:r>
        <w:rPr>
          <w:sz w:val="24"/>
          <w:lang w:val="en-GB"/>
        </w:rPr>
        <w:t xml:space="preserve"> a</w:t>
      </w:r>
      <w:r w:rsidRPr="00C71B5B">
        <w:rPr>
          <w:sz w:val="24"/>
          <w:lang w:val="en-GB"/>
        </w:rPr>
        <w:t xml:space="preserve"> reasoned </w:t>
      </w:r>
      <w:r>
        <w:rPr>
          <w:sz w:val="24"/>
          <w:lang w:val="en-GB"/>
        </w:rPr>
        <w:t>court</w:t>
      </w:r>
      <w:r w:rsidRPr="00C71B5B">
        <w:rPr>
          <w:sz w:val="24"/>
          <w:lang w:val="en-GB"/>
        </w:rPr>
        <w:t xml:space="preserve"> decision, </w:t>
      </w:r>
      <w:r>
        <w:rPr>
          <w:sz w:val="24"/>
          <w:lang w:val="en-GB"/>
        </w:rPr>
        <w:t xml:space="preserve">in </w:t>
      </w:r>
      <w:r w:rsidRPr="00C71B5B">
        <w:rPr>
          <w:sz w:val="24"/>
          <w:lang w:val="en-GB"/>
        </w:rPr>
        <w:t>the following</w:t>
      </w:r>
      <w:r>
        <w:rPr>
          <w:sz w:val="24"/>
          <w:lang w:val="en-GB"/>
        </w:rPr>
        <w:t xml:space="preserve"> the</w:t>
      </w:r>
      <w:r w:rsidRPr="00C71B5B">
        <w:rPr>
          <w:sz w:val="24"/>
          <w:lang w:val="en-GB"/>
        </w:rPr>
        <w:t xml:space="preserve"> Court will examine the </w:t>
      </w:r>
      <w:r>
        <w:rPr>
          <w:sz w:val="24"/>
          <w:lang w:val="en-GB"/>
        </w:rPr>
        <w:t>A</w:t>
      </w:r>
      <w:r w:rsidRPr="00C71B5B">
        <w:rPr>
          <w:sz w:val="24"/>
          <w:lang w:val="en-GB"/>
        </w:rPr>
        <w:t>pplicant's allegations</w:t>
      </w:r>
      <w:r>
        <w:rPr>
          <w:sz w:val="24"/>
          <w:lang w:val="en-GB"/>
        </w:rPr>
        <w:t xml:space="preserve"> </w:t>
      </w:r>
      <w:r w:rsidRPr="00C71B5B">
        <w:rPr>
          <w:sz w:val="24"/>
          <w:lang w:val="en-GB"/>
        </w:rPr>
        <w:t>re</w:t>
      </w:r>
      <w:r>
        <w:rPr>
          <w:sz w:val="24"/>
          <w:lang w:val="en-GB"/>
        </w:rPr>
        <w:t>lating to</w:t>
      </w:r>
      <w:r w:rsidRPr="00C71B5B">
        <w:rPr>
          <w:sz w:val="24"/>
          <w:lang w:val="en-GB"/>
        </w:rPr>
        <w:t xml:space="preserve"> the violation of the principle of legal certainty due to the lack of consistency in the case law of the Court of Appeals and the Supreme Court</w:t>
      </w:r>
      <w:r w:rsidR="00FF271B" w:rsidRPr="00314A8D">
        <w:rPr>
          <w:sz w:val="24"/>
          <w:lang w:val="en-GB"/>
        </w:rPr>
        <w:t xml:space="preserve">. </w:t>
      </w:r>
    </w:p>
    <w:p w:rsidR="00D84302" w:rsidRPr="00314A8D" w:rsidRDefault="00D84302" w:rsidP="00A06B9C">
      <w:pPr>
        <w:pStyle w:val="ListParagraph"/>
        <w:spacing w:line="240" w:lineRule="auto"/>
        <w:ind w:left="0"/>
        <w:rPr>
          <w:sz w:val="24"/>
          <w:lang w:val="en-GB"/>
        </w:rPr>
      </w:pPr>
    </w:p>
    <w:p w:rsidR="00D84302" w:rsidRPr="00314A8D" w:rsidRDefault="00C71B5B" w:rsidP="00A06B9C">
      <w:pPr>
        <w:pStyle w:val="ListParagraph"/>
        <w:numPr>
          <w:ilvl w:val="0"/>
          <w:numId w:val="77"/>
        </w:numPr>
        <w:spacing w:line="240" w:lineRule="auto"/>
        <w:ind w:left="0" w:firstLine="0"/>
        <w:rPr>
          <w:rFonts w:cs="Arial"/>
          <w:i/>
          <w:iCs/>
          <w:sz w:val="24"/>
          <w:lang w:val="en-GB"/>
        </w:rPr>
      </w:pPr>
      <w:r>
        <w:rPr>
          <w:rFonts w:cs="Arial"/>
          <w:i/>
          <w:iCs/>
          <w:sz w:val="24"/>
          <w:lang w:val="en-GB"/>
        </w:rPr>
        <w:t>In relation to the allegations which concern the principle of legal certainty, as a result of contradictory decisions</w:t>
      </w:r>
    </w:p>
    <w:p w:rsidR="00D84302" w:rsidRPr="00314A8D" w:rsidRDefault="00D84302" w:rsidP="00A06B9C">
      <w:pPr>
        <w:spacing w:line="240" w:lineRule="auto"/>
        <w:rPr>
          <w:rFonts w:cs="Arial"/>
          <w:i/>
          <w:iCs/>
          <w:sz w:val="24"/>
          <w:lang w:val="en-GB"/>
        </w:rPr>
      </w:pPr>
    </w:p>
    <w:p w:rsidR="00D84302" w:rsidRPr="00314A8D" w:rsidRDefault="00C71B5B" w:rsidP="00A06B9C">
      <w:pPr>
        <w:pStyle w:val="ListParagraph"/>
        <w:numPr>
          <w:ilvl w:val="0"/>
          <w:numId w:val="82"/>
        </w:numPr>
        <w:spacing w:line="240" w:lineRule="auto"/>
        <w:rPr>
          <w:rFonts w:cs="Arial"/>
          <w:iCs/>
          <w:sz w:val="24"/>
          <w:lang w:val="en-GB"/>
        </w:rPr>
      </w:pPr>
      <w:r w:rsidRPr="00C71B5B">
        <w:rPr>
          <w:rFonts w:cs="Arial"/>
          <w:i/>
          <w:iCs/>
          <w:sz w:val="24"/>
          <w:lang w:val="en-GB"/>
        </w:rPr>
        <w:t xml:space="preserve">General principles as developed by the </w:t>
      </w:r>
      <w:r>
        <w:rPr>
          <w:rFonts w:cs="Arial"/>
          <w:i/>
          <w:iCs/>
          <w:sz w:val="24"/>
          <w:lang w:val="en-GB"/>
        </w:rPr>
        <w:t xml:space="preserve">case law </w:t>
      </w:r>
      <w:r w:rsidRPr="00C71B5B">
        <w:rPr>
          <w:rFonts w:cs="Arial"/>
          <w:i/>
          <w:iCs/>
          <w:sz w:val="24"/>
          <w:lang w:val="en-GB"/>
        </w:rPr>
        <w:t xml:space="preserve"> of the </w:t>
      </w:r>
      <w:proofErr w:type="spellStart"/>
      <w:r w:rsidRPr="00C71B5B">
        <w:rPr>
          <w:rFonts w:cs="Arial"/>
          <w:i/>
          <w:iCs/>
          <w:sz w:val="24"/>
          <w:lang w:val="en-GB"/>
        </w:rPr>
        <w:t>ECtHR</w:t>
      </w:r>
      <w:proofErr w:type="spellEnd"/>
      <w:r w:rsidRPr="00C71B5B">
        <w:rPr>
          <w:rFonts w:cs="Arial"/>
          <w:i/>
          <w:iCs/>
          <w:sz w:val="24"/>
          <w:lang w:val="en-GB"/>
        </w:rPr>
        <w:t xml:space="preserve"> and the Court</w:t>
      </w:r>
    </w:p>
    <w:p w:rsidR="00D84302" w:rsidRPr="00314A8D" w:rsidRDefault="00D84302" w:rsidP="00A06B9C">
      <w:pPr>
        <w:pStyle w:val="ListParagraph"/>
        <w:spacing w:line="240" w:lineRule="auto"/>
        <w:ind w:left="450"/>
        <w:rPr>
          <w:i/>
          <w:sz w:val="24"/>
          <w:lang w:val="en-GB"/>
        </w:rPr>
      </w:pPr>
    </w:p>
    <w:p w:rsidR="00D84302" w:rsidRPr="00314A8D" w:rsidRDefault="00C71B5B" w:rsidP="00A06B9C">
      <w:pPr>
        <w:pStyle w:val="ListParagraph"/>
        <w:numPr>
          <w:ilvl w:val="0"/>
          <w:numId w:val="63"/>
        </w:numPr>
        <w:autoSpaceDE w:val="0"/>
        <w:autoSpaceDN w:val="0"/>
        <w:adjustRightInd w:val="0"/>
        <w:spacing w:line="240" w:lineRule="auto"/>
        <w:ind w:left="634" w:hanging="634"/>
        <w:rPr>
          <w:rFonts w:cs="Helvetica"/>
          <w:sz w:val="24"/>
          <w:lang w:val="en-GB"/>
        </w:rPr>
      </w:pPr>
      <w:r w:rsidRPr="00C71B5B">
        <w:rPr>
          <w:sz w:val="24"/>
          <w:lang w:val="en-GB"/>
        </w:rPr>
        <w:t>With regard to the principle of legal certainty as a result of the lack of consistency in</w:t>
      </w:r>
      <w:r>
        <w:rPr>
          <w:sz w:val="24"/>
          <w:lang w:val="en-GB"/>
        </w:rPr>
        <w:t xml:space="preserve"> the case law</w:t>
      </w:r>
      <w:r w:rsidRPr="00C71B5B">
        <w:rPr>
          <w:sz w:val="24"/>
          <w:lang w:val="en-GB"/>
        </w:rPr>
        <w:t xml:space="preserve">, the </w:t>
      </w:r>
      <w:proofErr w:type="spellStart"/>
      <w:r w:rsidRPr="00C71B5B">
        <w:rPr>
          <w:sz w:val="24"/>
          <w:lang w:val="en-GB"/>
        </w:rPr>
        <w:t>ECtHR</w:t>
      </w:r>
      <w:proofErr w:type="spellEnd"/>
      <w:r w:rsidRPr="00C71B5B">
        <w:rPr>
          <w:sz w:val="24"/>
          <w:lang w:val="en-GB"/>
        </w:rPr>
        <w:t xml:space="preserve"> in its </w:t>
      </w:r>
      <w:r>
        <w:rPr>
          <w:sz w:val="24"/>
          <w:lang w:val="en-GB"/>
        </w:rPr>
        <w:t>case law</w:t>
      </w:r>
      <w:r w:rsidRPr="00C71B5B">
        <w:rPr>
          <w:sz w:val="24"/>
          <w:lang w:val="en-GB"/>
        </w:rPr>
        <w:t xml:space="preserve"> has developed fundamental principles and set the criteria whether a</w:t>
      </w:r>
      <w:r w:rsidR="00E644AE">
        <w:rPr>
          <w:sz w:val="24"/>
          <w:lang w:val="en-GB"/>
        </w:rPr>
        <w:t>n</w:t>
      </w:r>
      <w:r w:rsidRPr="00C71B5B">
        <w:rPr>
          <w:sz w:val="24"/>
          <w:lang w:val="en-GB"/>
        </w:rPr>
        <w:t xml:space="preserve"> alleged divergence of </w:t>
      </w:r>
      <w:r w:rsidR="00E644AE">
        <w:rPr>
          <w:sz w:val="24"/>
          <w:lang w:val="en-GB"/>
        </w:rPr>
        <w:t>court</w:t>
      </w:r>
      <w:r w:rsidRPr="00C71B5B">
        <w:rPr>
          <w:sz w:val="24"/>
          <w:lang w:val="en-GB"/>
        </w:rPr>
        <w:t xml:space="preserve"> decisions constitutes a </w:t>
      </w:r>
      <w:r w:rsidRPr="00C71B5B">
        <w:rPr>
          <w:sz w:val="24"/>
          <w:lang w:val="en-GB"/>
        </w:rPr>
        <w:lastRenderedPageBreak/>
        <w:t xml:space="preserve">violation of Article 6 of the ECHR. </w:t>
      </w:r>
      <w:r w:rsidR="00E644AE">
        <w:rPr>
          <w:sz w:val="24"/>
          <w:lang w:val="en-GB"/>
        </w:rPr>
        <w:t>D</w:t>
      </w:r>
      <w:r w:rsidRPr="00C71B5B">
        <w:rPr>
          <w:sz w:val="24"/>
          <w:lang w:val="en-GB"/>
        </w:rPr>
        <w:t xml:space="preserve">uring the review of </w:t>
      </w:r>
      <w:r w:rsidR="00982D26">
        <w:rPr>
          <w:sz w:val="24"/>
          <w:lang w:val="en-GB"/>
        </w:rPr>
        <w:t>A</w:t>
      </w:r>
      <w:r w:rsidR="00E644AE" w:rsidRPr="00C71B5B">
        <w:rPr>
          <w:sz w:val="24"/>
          <w:lang w:val="en-GB"/>
        </w:rPr>
        <w:t>pplicants’</w:t>
      </w:r>
      <w:r w:rsidR="00E644AE">
        <w:rPr>
          <w:sz w:val="24"/>
          <w:lang w:val="en-GB"/>
        </w:rPr>
        <w:t xml:space="preserve"> allegations</w:t>
      </w:r>
      <w:r w:rsidRPr="00C71B5B">
        <w:rPr>
          <w:sz w:val="24"/>
          <w:lang w:val="en-GB"/>
        </w:rPr>
        <w:t xml:space="preserve"> for the violation of the principle of legal certainty, as a re</w:t>
      </w:r>
      <w:r w:rsidR="00E644AE">
        <w:rPr>
          <w:sz w:val="24"/>
          <w:lang w:val="en-GB"/>
        </w:rPr>
        <w:t xml:space="preserve">sult of contradictory decisions, the Court </w:t>
      </w:r>
      <w:r w:rsidRPr="00C71B5B">
        <w:rPr>
          <w:sz w:val="24"/>
          <w:lang w:val="en-GB"/>
        </w:rPr>
        <w:t>has applied</w:t>
      </w:r>
      <w:r w:rsidR="00E644AE">
        <w:rPr>
          <w:sz w:val="24"/>
          <w:lang w:val="en-GB"/>
        </w:rPr>
        <w:t xml:space="preserve"> </w:t>
      </w:r>
      <w:r w:rsidR="00E644AE" w:rsidRPr="00C71B5B">
        <w:rPr>
          <w:sz w:val="24"/>
          <w:lang w:val="en-GB"/>
        </w:rPr>
        <w:t>in its case law</w:t>
      </w:r>
      <w:r w:rsidR="00E644AE">
        <w:rPr>
          <w:sz w:val="24"/>
          <w:lang w:val="en-GB"/>
        </w:rPr>
        <w:t xml:space="preserve"> also the criteria set by the </w:t>
      </w:r>
      <w:proofErr w:type="spellStart"/>
      <w:r w:rsidR="00E644AE">
        <w:rPr>
          <w:sz w:val="24"/>
          <w:lang w:val="en-GB"/>
        </w:rPr>
        <w:t>ECtHR</w:t>
      </w:r>
      <w:proofErr w:type="spellEnd"/>
      <w:r w:rsidRPr="00C71B5B">
        <w:rPr>
          <w:sz w:val="24"/>
          <w:lang w:val="en-GB"/>
        </w:rPr>
        <w:t>. (See, inter alia, the aforementioned cases of the</w:t>
      </w:r>
      <w:r w:rsidR="00E644AE">
        <w:rPr>
          <w:sz w:val="24"/>
          <w:lang w:val="en-GB"/>
        </w:rPr>
        <w:t xml:space="preserve"> Court </w:t>
      </w:r>
      <w:r w:rsidRPr="00C71B5B">
        <w:rPr>
          <w:sz w:val="24"/>
          <w:lang w:val="en-GB"/>
        </w:rPr>
        <w:t>KI35/</w:t>
      </w:r>
      <w:r w:rsidR="00E644AE">
        <w:rPr>
          <w:sz w:val="24"/>
          <w:lang w:val="en-GB"/>
        </w:rPr>
        <w:t>18 and KI87</w:t>
      </w:r>
      <w:r w:rsidRPr="00C71B5B">
        <w:rPr>
          <w:sz w:val="24"/>
          <w:lang w:val="en-GB"/>
        </w:rPr>
        <w:t>/</w:t>
      </w:r>
      <w:r w:rsidR="00E644AE">
        <w:rPr>
          <w:sz w:val="24"/>
          <w:lang w:val="en-GB"/>
        </w:rPr>
        <w:t>18</w:t>
      </w:r>
      <w:r w:rsidRPr="00C71B5B">
        <w:rPr>
          <w:sz w:val="24"/>
          <w:lang w:val="en-GB"/>
        </w:rPr>
        <w:t xml:space="preserve">, where the Court found a violation of Article 31 of the Constitution, in </w:t>
      </w:r>
      <w:r w:rsidR="00E644AE">
        <w:rPr>
          <w:sz w:val="24"/>
          <w:lang w:val="en-GB"/>
        </w:rPr>
        <w:t>conjunction with</w:t>
      </w:r>
      <w:r w:rsidRPr="00C71B5B">
        <w:rPr>
          <w:sz w:val="24"/>
          <w:lang w:val="en-GB"/>
        </w:rPr>
        <w:t xml:space="preserve"> Article 6 of the ECHR as a result of divergence in the </w:t>
      </w:r>
      <w:r w:rsidR="00E644AE">
        <w:rPr>
          <w:sz w:val="24"/>
          <w:lang w:val="en-GB"/>
        </w:rPr>
        <w:t>case law</w:t>
      </w:r>
      <w:r w:rsidRPr="00C71B5B">
        <w:rPr>
          <w:sz w:val="24"/>
          <w:lang w:val="en-GB"/>
        </w:rPr>
        <w:t xml:space="preserve"> of the </w:t>
      </w:r>
      <w:proofErr w:type="spellStart"/>
      <w:r w:rsidRPr="00C71B5B">
        <w:rPr>
          <w:sz w:val="24"/>
          <w:lang w:val="en-GB"/>
        </w:rPr>
        <w:t>EC</w:t>
      </w:r>
      <w:r w:rsidR="00E644AE">
        <w:rPr>
          <w:sz w:val="24"/>
          <w:lang w:val="en-GB"/>
        </w:rPr>
        <w:t>t</w:t>
      </w:r>
      <w:r w:rsidRPr="00C71B5B">
        <w:rPr>
          <w:sz w:val="24"/>
          <w:lang w:val="en-GB"/>
        </w:rPr>
        <w:t>HR</w:t>
      </w:r>
      <w:proofErr w:type="spellEnd"/>
      <w:r w:rsidR="00FF271B" w:rsidRPr="00314A8D">
        <w:rPr>
          <w:sz w:val="24"/>
          <w:lang w:val="en-GB"/>
        </w:rPr>
        <w:t xml:space="preserve">). </w:t>
      </w:r>
    </w:p>
    <w:p w:rsidR="00D84302" w:rsidRPr="00314A8D" w:rsidRDefault="00D84302" w:rsidP="00A06B9C">
      <w:pPr>
        <w:pStyle w:val="ListParagraph"/>
        <w:spacing w:line="240" w:lineRule="auto"/>
        <w:ind w:left="540"/>
        <w:rPr>
          <w:rFonts w:cs="Helvetica"/>
          <w:sz w:val="24"/>
          <w:lang w:val="en-GB"/>
        </w:rPr>
      </w:pPr>
    </w:p>
    <w:p w:rsidR="00D84302" w:rsidRPr="00314A8D" w:rsidRDefault="00E644AE" w:rsidP="00A06B9C">
      <w:pPr>
        <w:pStyle w:val="ListParagraph"/>
        <w:numPr>
          <w:ilvl w:val="0"/>
          <w:numId w:val="63"/>
        </w:numPr>
        <w:autoSpaceDE w:val="0"/>
        <w:autoSpaceDN w:val="0"/>
        <w:adjustRightInd w:val="0"/>
        <w:spacing w:line="240" w:lineRule="auto"/>
        <w:ind w:left="634" w:hanging="634"/>
        <w:rPr>
          <w:rFonts w:cs="Helvetica"/>
          <w:sz w:val="24"/>
          <w:lang w:val="en-GB"/>
        </w:rPr>
      </w:pPr>
      <w:r w:rsidRPr="00A06B9C">
        <w:rPr>
          <w:sz w:val="24"/>
          <w:lang w:val="en-GB"/>
        </w:rPr>
        <w:t>Regarding</w:t>
      </w:r>
      <w:r w:rsidRPr="00E644AE">
        <w:rPr>
          <w:rFonts w:cs="Helvetica"/>
          <w:sz w:val="24"/>
          <w:lang w:val="en-GB"/>
        </w:rPr>
        <w:t xml:space="preserve"> the first principle, the </w:t>
      </w:r>
      <w:proofErr w:type="spellStart"/>
      <w:r w:rsidRPr="00E644AE">
        <w:rPr>
          <w:rFonts w:cs="Helvetica"/>
          <w:sz w:val="24"/>
          <w:lang w:val="en-GB"/>
        </w:rPr>
        <w:t>ECtHR</w:t>
      </w:r>
      <w:proofErr w:type="spellEnd"/>
      <w:r w:rsidRPr="00E644AE">
        <w:rPr>
          <w:rFonts w:cs="Helvetica"/>
          <w:sz w:val="24"/>
          <w:lang w:val="en-GB"/>
        </w:rPr>
        <w:t xml:space="preserve"> has consistently stated that one of the essential components of the rule of law is legal certainty, which, among other things, guarantees a</w:t>
      </w:r>
      <w:r w:rsidR="008477A8">
        <w:rPr>
          <w:rFonts w:cs="Helvetica"/>
          <w:sz w:val="24"/>
          <w:lang w:val="en-GB"/>
        </w:rPr>
        <w:t>n unquestionable</w:t>
      </w:r>
      <w:r w:rsidRPr="00E644AE">
        <w:rPr>
          <w:rFonts w:cs="Helvetica"/>
          <w:sz w:val="24"/>
          <w:lang w:val="en-GB"/>
        </w:rPr>
        <w:t xml:space="preserve"> certainty in legal situations and contributes to public confidence in the courts. (See, </w:t>
      </w:r>
      <w:r w:rsidRPr="00E644AE">
        <w:rPr>
          <w:rFonts w:cs="Helvetica"/>
          <w:i/>
          <w:sz w:val="24"/>
          <w:lang w:val="en-GB"/>
        </w:rPr>
        <w:t>mutatis</w:t>
      </w:r>
      <w:r>
        <w:rPr>
          <w:rFonts w:cs="Helvetica"/>
          <w:i/>
          <w:sz w:val="24"/>
          <w:lang w:val="en-GB"/>
        </w:rPr>
        <w:t xml:space="preserve"> </w:t>
      </w:r>
      <w:r w:rsidRPr="00E644AE">
        <w:rPr>
          <w:rFonts w:cs="Helvetica"/>
          <w:i/>
          <w:sz w:val="24"/>
          <w:lang w:val="en-GB"/>
        </w:rPr>
        <w:t>mutandis</w:t>
      </w:r>
      <w:r w:rsidRPr="00E644AE">
        <w:rPr>
          <w:rFonts w:cs="Helvetica"/>
          <w:sz w:val="24"/>
          <w:lang w:val="en-GB"/>
        </w:rPr>
        <w:t xml:space="preserve">, </w:t>
      </w:r>
      <w:proofErr w:type="spellStart"/>
      <w:r>
        <w:rPr>
          <w:rFonts w:cs="Helvetica"/>
          <w:sz w:val="24"/>
          <w:lang w:val="en-GB"/>
        </w:rPr>
        <w:t>S</w:t>
      </w:r>
      <w:r w:rsidRPr="00E644AE">
        <w:rPr>
          <w:rFonts w:cs="Helvetica"/>
          <w:sz w:val="24"/>
          <w:lang w:val="en-GB"/>
        </w:rPr>
        <w:t>tefănică</w:t>
      </w:r>
      <w:proofErr w:type="spellEnd"/>
      <w:r w:rsidRPr="00E644AE">
        <w:rPr>
          <w:rFonts w:cs="Helvetica"/>
          <w:sz w:val="24"/>
          <w:lang w:val="en-GB"/>
        </w:rPr>
        <w:t xml:space="preserve"> </w:t>
      </w:r>
      <w:r>
        <w:rPr>
          <w:rFonts w:cs="Helvetica"/>
          <w:sz w:val="24"/>
          <w:lang w:val="en-GB"/>
        </w:rPr>
        <w:t>and others</w:t>
      </w:r>
      <w:r w:rsidRPr="00E644AE">
        <w:rPr>
          <w:rFonts w:cs="Helvetica"/>
          <w:sz w:val="24"/>
          <w:lang w:val="en-GB"/>
        </w:rPr>
        <w:t xml:space="preserve"> </w:t>
      </w:r>
      <w:r>
        <w:rPr>
          <w:rFonts w:cs="Helvetica"/>
          <w:sz w:val="24"/>
          <w:lang w:val="en-GB"/>
        </w:rPr>
        <w:t>v</w:t>
      </w:r>
      <w:r w:rsidRPr="00E644AE">
        <w:rPr>
          <w:rFonts w:cs="Helvetica"/>
          <w:sz w:val="24"/>
          <w:lang w:val="en-GB"/>
        </w:rPr>
        <w:t xml:space="preserve">. Romania, </w:t>
      </w:r>
      <w:r>
        <w:rPr>
          <w:rFonts w:cs="Helvetica"/>
          <w:sz w:val="24"/>
          <w:lang w:val="en-GB"/>
        </w:rPr>
        <w:t>Application</w:t>
      </w:r>
      <w:r w:rsidRPr="00E644AE">
        <w:rPr>
          <w:rFonts w:cs="Helvetica"/>
          <w:sz w:val="24"/>
          <w:lang w:val="en-GB"/>
        </w:rPr>
        <w:t xml:space="preserve"> no. 38155/02, Judgment of 2 November 2010, paragraph 38, </w:t>
      </w:r>
      <w:proofErr w:type="spellStart"/>
      <w:r w:rsidRPr="00E644AE">
        <w:rPr>
          <w:rFonts w:cs="Helvetica"/>
          <w:i/>
          <w:sz w:val="24"/>
          <w:lang w:val="en-GB"/>
        </w:rPr>
        <w:t>Nejdet</w:t>
      </w:r>
      <w:proofErr w:type="spellEnd"/>
      <w:r w:rsidRPr="00E644AE">
        <w:rPr>
          <w:rFonts w:cs="Helvetica"/>
          <w:i/>
          <w:sz w:val="24"/>
          <w:lang w:val="en-GB"/>
        </w:rPr>
        <w:t xml:space="preserve"> </w:t>
      </w:r>
      <w:proofErr w:type="spellStart"/>
      <w:r w:rsidRPr="00E644AE">
        <w:rPr>
          <w:rFonts w:cs="Helvetica"/>
          <w:i/>
          <w:sz w:val="24"/>
          <w:lang w:val="en-GB"/>
        </w:rPr>
        <w:t>Şahin</w:t>
      </w:r>
      <w:proofErr w:type="spellEnd"/>
      <w:r w:rsidRPr="00E644AE">
        <w:rPr>
          <w:rFonts w:cs="Helvetica"/>
          <w:i/>
          <w:sz w:val="24"/>
          <w:lang w:val="en-GB"/>
        </w:rPr>
        <w:t xml:space="preserve"> and </w:t>
      </w:r>
      <w:proofErr w:type="spellStart"/>
      <w:r w:rsidRPr="00E644AE">
        <w:rPr>
          <w:rFonts w:cs="Helvetica"/>
          <w:i/>
          <w:sz w:val="24"/>
          <w:lang w:val="en-GB"/>
        </w:rPr>
        <w:t>Perihan</w:t>
      </w:r>
      <w:proofErr w:type="spellEnd"/>
      <w:r w:rsidRPr="00E644AE">
        <w:rPr>
          <w:rFonts w:cs="Helvetica"/>
          <w:i/>
          <w:sz w:val="24"/>
          <w:lang w:val="en-GB"/>
        </w:rPr>
        <w:t xml:space="preserve"> </w:t>
      </w:r>
      <w:proofErr w:type="spellStart"/>
      <w:r w:rsidRPr="00E644AE">
        <w:rPr>
          <w:rFonts w:cs="Helvetica"/>
          <w:i/>
          <w:sz w:val="24"/>
          <w:lang w:val="en-GB"/>
        </w:rPr>
        <w:t>Şahin</w:t>
      </w:r>
      <w:proofErr w:type="spellEnd"/>
      <w:r w:rsidRPr="00E644AE">
        <w:rPr>
          <w:rFonts w:cs="Helvetica"/>
          <w:i/>
          <w:sz w:val="24"/>
          <w:lang w:val="en-GB"/>
        </w:rPr>
        <w:t xml:space="preserve"> v. Turkey</w:t>
      </w:r>
      <w:r w:rsidRPr="00E644AE">
        <w:rPr>
          <w:rFonts w:cs="Helvetica"/>
          <w:sz w:val="24"/>
          <w:lang w:val="en-GB"/>
        </w:rPr>
        <w:t xml:space="preserve">, Judgment of 20 October 2011, </w:t>
      </w:r>
      <w:proofErr w:type="gramStart"/>
      <w:r w:rsidRPr="00E644AE">
        <w:rPr>
          <w:rFonts w:cs="Helvetica"/>
          <w:sz w:val="24"/>
          <w:lang w:val="en-GB"/>
        </w:rPr>
        <w:t>paragraph</w:t>
      </w:r>
      <w:proofErr w:type="gramEnd"/>
      <w:r w:rsidRPr="00E644AE">
        <w:rPr>
          <w:rFonts w:cs="Helvetica"/>
          <w:sz w:val="24"/>
          <w:lang w:val="en-GB"/>
        </w:rPr>
        <w:t xml:space="preserve"> 56</w:t>
      </w:r>
      <w:r w:rsidR="00FF271B" w:rsidRPr="00314A8D">
        <w:rPr>
          <w:rFonts w:cs="TimesNewRomanPSMT"/>
          <w:sz w:val="24"/>
          <w:lang w:val="en-GB"/>
        </w:rPr>
        <w:t>)</w:t>
      </w:r>
      <w:r w:rsidR="00FF271B" w:rsidRPr="00314A8D">
        <w:rPr>
          <w:rFonts w:cs="Helvetica"/>
          <w:sz w:val="24"/>
          <w:lang w:val="en-GB"/>
        </w:rPr>
        <w:t xml:space="preserve">. </w:t>
      </w:r>
    </w:p>
    <w:p w:rsidR="00D84302" w:rsidRPr="00314A8D" w:rsidRDefault="00D84302" w:rsidP="00A06B9C">
      <w:pPr>
        <w:pStyle w:val="ListParagraph"/>
        <w:spacing w:line="240" w:lineRule="auto"/>
        <w:ind w:left="540"/>
        <w:rPr>
          <w:rFonts w:cs="Helvetica"/>
          <w:sz w:val="24"/>
          <w:lang w:val="en-GB"/>
        </w:rPr>
      </w:pPr>
    </w:p>
    <w:p w:rsidR="00D84302" w:rsidRPr="00314A8D" w:rsidRDefault="008477A8" w:rsidP="00A06B9C">
      <w:pPr>
        <w:pStyle w:val="ListParagraph"/>
        <w:numPr>
          <w:ilvl w:val="0"/>
          <w:numId w:val="63"/>
        </w:numPr>
        <w:autoSpaceDE w:val="0"/>
        <w:autoSpaceDN w:val="0"/>
        <w:adjustRightInd w:val="0"/>
        <w:spacing w:line="240" w:lineRule="auto"/>
        <w:ind w:left="634" w:hanging="634"/>
        <w:rPr>
          <w:rFonts w:cs="Helvetica"/>
          <w:sz w:val="24"/>
          <w:lang w:val="en-GB"/>
        </w:rPr>
      </w:pPr>
      <w:r w:rsidRPr="008477A8">
        <w:rPr>
          <w:rFonts w:cs="Helvetica"/>
          <w:sz w:val="24"/>
          <w:lang w:val="en-GB"/>
        </w:rPr>
        <w:t xml:space="preserve">Regarding the second principle, the </w:t>
      </w:r>
      <w:proofErr w:type="spellStart"/>
      <w:r w:rsidRPr="008477A8">
        <w:rPr>
          <w:rFonts w:cs="Helvetica"/>
          <w:sz w:val="24"/>
          <w:lang w:val="en-GB"/>
        </w:rPr>
        <w:t>ECtHR</w:t>
      </w:r>
      <w:proofErr w:type="spellEnd"/>
      <w:r w:rsidRPr="008477A8">
        <w:rPr>
          <w:rFonts w:cs="Helvetica"/>
          <w:sz w:val="24"/>
          <w:lang w:val="en-GB"/>
        </w:rPr>
        <w:t xml:space="preserve">, however, has specified that there is no right acquired for the consistency of case law. (See </w:t>
      </w:r>
      <w:r>
        <w:rPr>
          <w:rFonts w:cs="Helvetica"/>
          <w:sz w:val="24"/>
          <w:lang w:val="en-GB"/>
        </w:rPr>
        <w:t xml:space="preserve">the case </w:t>
      </w:r>
      <w:proofErr w:type="spellStart"/>
      <w:r w:rsidRPr="008477A8">
        <w:rPr>
          <w:rFonts w:cs="Helvetica"/>
          <w:i/>
          <w:sz w:val="24"/>
          <w:lang w:val="en-GB"/>
        </w:rPr>
        <w:t>Unédic</w:t>
      </w:r>
      <w:proofErr w:type="spellEnd"/>
      <w:r w:rsidRPr="008477A8">
        <w:rPr>
          <w:rFonts w:cs="Helvetica"/>
          <w:i/>
          <w:sz w:val="24"/>
          <w:lang w:val="en-GB"/>
        </w:rPr>
        <w:t xml:space="preserve"> v. France</w:t>
      </w:r>
      <w:r w:rsidRPr="008477A8">
        <w:rPr>
          <w:rFonts w:cs="Helvetica"/>
          <w:sz w:val="24"/>
          <w:lang w:val="en-GB"/>
        </w:rPr>
        <w:t xml:space="preserve">, </w:t>
      </w:r>
      <w:r>
        <w:rPr>
          <w:rFonts w:cs="Helvetica"/>
          <w:sz w:val="24"/>
          <w:lang w:val="en-GB"/>
        </w:rPr>
        <w:t>Application</w:t>
      </w:r>
      <w:r w:rsidRPr="008477A8">
        <w:rPr>
          <w:rFonts w:cs="Helvetica"/>
          <w:sz w:val="24"/>
          <w:lang w:val="en-GB"/>
        </w:rPr>
        <w:t xml:space="preserve"> no. 20153/04, paragraph 74, 18 December 2008, see the</w:t>
      </w:r>
      <w:r>
        <w:rPr>
          <w:rFonts w:cs="Helvetica"/>
          <w:sz w:val="24"/>
          <w:lang w:val="en-GB"/>
        </w:rPr>
        <w:t xml:space="preserve"> above</w:t>
      </w:r>
      <w:r w:rsidRPr="008477A8">
        <w:rPr>
          <w:rFonts w:cs="Helvetica"/>
          <w:sz w:val="24"/>
          <w:lang w:val="en-GB"/>
        </w:rPr>
        <w:t xml:space="preserve"> </w:t>
      </w:r>
      <w:r>
        <w:rPr>
          <w:rFonts w:cs="Helvetica"/>
          <w:sz w:val="24"/>
          <w:lang w:val="en-GB"/>
        </w:rPr>
        <w:t>cited case</w:t>
      </w:r>
      <w:r w:rsidRPr="008477A8">
        <w:rPr>
          <w:rFonts w:cs="Helvetica"/>
          <w:sz w:val="24"/>
          <w:lang w:val="en-GB"/>
        </w:rPr>
        <w:t xml:space="preserve"> </w:t>
      </w:r>
      <w:proofErr w:type="spellStart"/>
      <w:r w:rsidRPr="008477A8">
        <w:rPr>
          <w:rFonts w:cs="Helvetica"/>
          <w:i/>
          <w:sz w:val="24"/>
          <w:lang w:val="en-GB"/>
        </w:rPr>
        <w:t>Nejdet</w:t>
      </w:r>
      <w:proofErr w:type="spellEnd"/>
      <w:r w:rsidRPr="008477A8">
        <w:rPr>
          <w:rFonts w:cs="Helvetica"/>
          <w:i/>
          <w:sz w:val="24"/>
          <w:lang w:val="en-GB"/>
        </w:rPr>
        <w:t xml:space="preserve"> </w:t>
      </w:r>
      <w:proofErr w:type="spellStart"/>
      <w:r w:rsidRPr="008477A8">
        <w:rPr>
          <w:rFonts w:cs="Helvetica"/>
          <w:i/>
          <w:sz w:val="24"/>
          <w:lang w:val="en-GB"/>
        </w:rPr>
        <w:t>Şahin</w:t>
      </w:r>
      <w:proofErr w:type="spellEnd"/>
      <w:r w:rsidRPr="008477A8">
        <w:rPr>
          <w:rFonts w:cs="Helvetica"/>
          <w:i/>
          <w:sz w:val="24"/>
          <w:lang w:val="en-GB"/>
        </w:rPr>
        <w:t xml:space="preserve"> and </w:t>
      </w:r>
      <w:proofErr w:type="spellStart"/>
      <w:r w:rsidRPr="008477A8">
        <w:rPr>
          <w:rFonts w:cs="Helvetica"/>
          <w:i/>
          <w:sz w:val="24"/>
          <w:lang w:val="en-GB"/>
        </w:rPr>
        <w:t>Perihan</w:t>
      </w:r>
      <w:proofErr w:type="spellEnd"/>
      <w:r w:rsidRPr="008477A8">
        <w:rPr>
          <w:rFonts w:cs="Helvetica"/>
          <w:i/>
          <w:sz w:val="24"/>
          <w:lang w:val="en-GB"/>
        </w:rPr>
        <w:t xml:space="preserve"> </w:t>
      </w:r>
      <w:proofErr w:type="spellStart"/>
      <w:r w:rsidRPr="008477A8">
        <w:rPr>
          <w:rFonts w:cs="Helvetica"/>
          <w:i/>
          <w:sz w:val="24"/>
          <w:lang w:val="en-GB"/>
        </w:rPr>
        <w:t>Şahin</w:t>
      </w:r>
      <w:proofErr w:type="spellEnd"/>
      <w:r w:rsidRPr="008477A8">
        <w:rPr>
          <w:rFonts w:cs="Helvetica"/>
          <w:i/>
          <w:sz w:val="24"/>
          <w:lang w:val="en-GB"/>
        </w:rPr>
        <w:t xml:space="preserve"> v. Turkey</w:t>
      </w:r>
      <w:r w:rsidRPr="008477A8">
        <w:rPr>
          <w:rFonts w:cs="Helvetica"/>
          <w:sz w:val="24"/>
          <w:lang w:val="en-GB"/>
        </w:rPr>
        <w:t xml:space="preserve">, paragraph 56; </w:t>
      </w:r>
      <w:r>
        <w:rPr>
          <w:rFonts w:cs="Helvetica"/>
          <w:sz w:val="24"/>
          <w:lang w:val="en-GB"/>
        </w:rPr>
        <w:t>see also the abovementioned case of the Court KI35/18, Applicant</w:t>
      </w:r>
      <w:r w:rsidRPr="008477A8">
        <w:rPr>
          <w:rFonts w:cs="Helvetica"/>
          <w:sz w:val="24"/>
          <w:lang w:val="en-GB"/>
        </w:rPr>
        <w:t xml:space="preserve"> </w:t>
      </w:r>
      <w:proofErr w:type="spellStart"/>
      <w:r w:rsidRPr="008477A8">
        <w:rPr>
          <w:rFonts w:cs="Helvetica"/>
          <w:sz w:val="24"/>
          <w:lang w:val="en-GB"/>
        </w:rPr>
        <w:t>BayerischeVersicherungsverbrand</w:t>
      </w:r>
      <w:proofErr w:type="spellEnd"/>
      <w:r w:rsidRPr="008477A8">
        <w:rPr>
          <w:rFonts w:cs="Helvetica"/>
          <w:sz w:val="24"/>
          <w:lang w:val="en-GB"/>
        </w:rPr>
        <w:t>, par</w:t>
      </w:r>
      <w:r>
        <w:rPr>
          <w:rFonts w:cs="Helvetica"/>
          <w:sz w:val="24"/>
          <w:lang w:val="en-GB"/>
        </w:rPr>
        <w:t>agraph 65, as well as case KI42</w:t>
      </w:r>
      <w:r w:rsidRPr="008477A8">
        <w:rPr>
          <w:rFonts w:cs="Helvetica"/>
          <w:sz w:val="24"/>
          <w:lang w:val="en-GB"/>
        </w:rPr>
        <w:t>/</w:t>
      </w:r>
      <w:r>
        <w:rPr>
          <w:rFonts w:cs="Helvetica"/>
          <w:sz w:val="24"/>
          <w:lang w:val="en-GB"/>
        </w:rPr>
        <w:t>17, Applicant</w:t>
      </w:r>
      <w:r w:rsidRPr="008477A8">
        <w:rPr>
          <w:rFonts w:cs="Helvetica"/>
          <w:sz w:val="24"/>
          <w:lang w:val="en-GB"/>
        </w:rPr>
        <w:t xml:space="preserve"> </w:t>
      </w:r>
      <w:proofErr w:type="spellStart"/>
      <w:r w:rsidRPr="008477A8">
        <w:rPr>
          <w:rFonts w:cs="Helvetica"/>
          <w:sz w:val="24"/>
          <w:lang w:val="en-GB"/>
        </w:rPr>
        <w:t>Kushtrim</w:t>
      </w:r>
      <w:proofErr w:type="spellEnd"/>
      <w:r w:rsidRPr="008477A8">
        <w:rPr>
          <w:rFonts w:cs="Helvetica"/>
          <w:sz w:val="24"/>
          <w:lang w:val="en-GB"/>
        </w:rPr>
        <w:t xml:space="preserve"> </w:t>
      </w:r>
      <w:proofErr w:type="spellStart"/>
      <w:r w:rsidRPr="008477A8">
        <w:rPr>
          <w:rFonts w:cs="Helvetica"/>
          <w:sz w:val="24"/>
          <w:lang w:val="en-GB"/>
        </w:rPr>
        <w:t>Ibraj</w:t>
      </w:r>
      <w:proofErr w:type="spellEnd"/>
      <w:r w:rsidRPr="008477A8">
        <w:rPr>
          <w:rFonts w:cs="Helvetica"/>
          <w:sz w:val="24"/>
          <w:lang w:val="en-GB"/>
        </w:rPr>
        <w:t xml:space="preserve">, </w:t>
      </w:r>
      <w:r>
        <w:rPr>
          <w:rFonts w:cs="Helvetica"/>
          <w:sz w:val="24"/>
          <w:lang w:val="en-GB"/>
        </w:rPr>
        <w:t>Resolution</w:t>
      </w:r>
      <w:r w:rsidRPr="008477A8">
        <w:rPr>
          <w:rFonts w:cs="Helvetica"/>
          <w:sz w:val="24"/>
          <w:lang w:val="en-GB"/>
        </w:rPr>
        <w:t xml:space="preserve"> on </w:t>
      </w:r>
      <w:r>
        <w:rPr>
          <w:rFonts w:cs="Helvetica"/>
          <w:sz w:val="24"/>
          <w:lang w:val="en-GB"/>
        </w:rPr>
        <w:t>I</w:t>
      </w:r>
      <w:r w:rsidRPr="008477A8">
        <w:rPr>
          <w:rFonts w:cs="Helvetica"/>
          <w:sz w:val="24"/>
          <w:lang w:val="en-GB"/>
        </w:rPr>
        <w:t>nadmissibility of 25 January 2018, paragraph 33</w:t>
      </w:r>
      <w:r w:rsidR="00FF271B" w:rsidRPr="00314A8D">
        <w:rPr>
          <w:rFonts w:cs="TimesNewRomanPSMT"/>
          <w:sz w:val="24"/>
          <w:lang w:val="en-GB"/>
        </w:rPr>
        <w:t>)</w:t>
      </w:r>
      <w:r w:rsidR="00FF271B" w:rsidRPr="00314A8D">
        <w:rPr>
          <w:rFonts w:cs="Helvetica"/>
          <w:sz w:val="24"/>
          <w:lang w:val="en-GB"/>
        </w:rPr>
        <w:t xml:space="preserve">. </w:t>
      </w:r>
    </w:p>
    <w:p w:rsidR="00D84302" w:rsidRPr="00314A8D" w:rsidRDefault="00D84302" w:rsidP="00A06B9C">
      <w:pPr>
        <w:pStyle w:val="ListParagraph"/>
        <w:spacing w:line="240" w:lineRule="auto"/>
        <w:rPr>
          <w:rFonts w:cs="Helvetica"/>
          <w:sz w:val="24"/>
          <w:lang w:val="en-GB"/>
        </w:rPr>
      </w:pPr>
    </w:p>
    <w:p w:rsidR="00D84302" w:rsidRPr="00314A8D" w:rsidRDefault="0013113F" w:rsidP="00A06B9C">
      <w:pPr>
        <w:pStyle w:val="ListParagraph"/>
        <w:numPr>
          <w:ilvl w:val="0"/>
          <w:numId w:val="63"/>
        </w:numPr>
        <w:autoSpaceDE w:val="0"/>
        <w:autoSpaceDN w:val="0"/>
        <w:adjustRightInd w:val="0"/>
        <w:spacing w:line="240" w:lineRule="auto"/>
        <w:ind w:left="634" w:hanging="634"/>
        <w:rPr>
          <w:rFonts w:cs="Helvetica"/>
          <w:sz w:val="24"/>
          <w:lang w:val="en-GB"/>
        </w:rPr>
      </w:pPr>
      <w:r w:rsidRPr="0013113F">
        <w:rPr>
          <w:rFonts w:cs="Helvetica"/>
          <w:sz w:val="24"/>
          <w:lang w:val="en-GB"/>
        </w:rPr>
        <w:t xml:space="preserve">With regard to the third principle, the </w:t>
      </w:r>
      <w:proofErr w:type="spellStart"/>
      <w:r w:rsidRPr="0013113F">
        <w:rPr>
          <w:rFonts w:cs="Helvetica"/>
          <w:sz w:val="24"/>
          <w:lang w:val="en-GB"/>
        </w:rPr>
        <w:t>ECtHR</w:t>
      </w:r>
      <w:proofErr w:type="spellEnd"/>
      <w:r w:rsidRPr="0013113F">
        <w:rPr>
          <w:rFonts w:cs="Helvetica"/>
          <w:sz w:val="24"/>
          <w:lang w:val="en-GB"/>
        </w:rPr>
        <w:t xml:space="preserve"> has emphasized </w:t>
      </w:r>
      <w:r>
        <w:rPr>
          <w:rFonts w:cs="Helvetica"/>
          <w:sz w:val="24"/>
          <w:lang w:val="en-GB"/>
        </w:rPr>
        <w:t>that the possibility</w:t>
      </w:r>
      <w:r w:rsidRPr="0013113F">
        <w:rPr>
          <w:rFonts w:cs="Helvetica"/>
          <w:sz w:val="24"/>
          <w:lang w:val="en-GB"/>
        </w:rPr>
        <w:t xml:space="preserve"> of </w:t>
      </w:r>
      <w:r w:rsidR="00563945">
        <w:rPr>
          <w:rFonts w:cs="Helvetica"/>
          <w:sz w:val="24"/>
          <w:lang w:val="en-GB"/>
        </w:rPr>
        <w:t>conflicting</w:t>
      </w:r>
      <w:r w:rsidRPr="0013113F">
        <w:rPr>
          <w:rFonts w:cs="Helvetica"/>
          <w:sz w:val="24"/>
          <w:lang w:val="en-GB"/>
        </w:rPr>
        <w:t xml:space="preserve"> decisions is an </w:t>
      </w:r>
      <w:r w:rsidR="00563945">
        <w:rPr>
          <w:rFonts w:cs="Helvetica"/>
          <w:sz w:val="24"/>
          <w:lang w:val="en-GB"/>
        </w:rPr>
        <w:t>inherent trait</w:t>
      </w:r>
      <w:r w:rsidRPr="0013113F">
        <w:rPr>
          <w:rFonts w:cs="Helvetica"/>
          <w:sz w:val="24"/>
          <w:lang w:val="en-GB"/>
        </w:rPr>
        <w:t xml:space="preserve"> of any judicial system based on </w:t>
      </w:r>
      <w:r w:rsidR="00563945">
        <w:rPr>
          <w:rFonts w:cs="Helvetica"/>
          <w:sz w:val="24"/>
          <w:lang w:val="en-GB"/>
        </w:rPr>
        <w:t>a</w:t>
      </w:r>
      <w:r w:rsidRPr="0013113F">
        <w:rPr>
          <w:rFonts w:cs="Helvetica"/>
          <w:sz w:val="24"/>
          <w:lang w:val="en-GB"/>
        </w:rPr>
        <w:t xml:space="preserve"> network of basic and appellate courts, with </w:t>
      </w:r>
      <w:r w:rsidR="00563945">
        <w:rPr>
          <w:rFonts w:cs="Helvetica"/>
          <w:sz w:val="24"/>
          <w:lang w:val="en-GB"/>
        </w:rPr>
        <w:t>authority</w:t>
      </w:r>
      <w:r w:rsidRPr="0013113F">
        <w:rPr>
          <w:rFonts w:cs="Helvetica"/>
          <w:sz w:val="24"/>
          <w:lang w:val="en-GB"/>
        </w:rPr>
        <w:t xml:space="preserve"> </w:t>
      </w:r>
      <w:r w:rsidR="00563945">
        <w:rPr>
          <w:rFonts w:cs="Helvetica"/>
          <w:sz w:val="24"/>
          <w:lang w:val="en-GB"/>
        </w:rPr>
        <w:t>over the area of their</w:t>
      </w:r>
      <w:r w:rsidRPr="0013113F">
        <w:rPr>
          <w:rFonts w:cs="Helvetica"/>
          <w:sz w:val="24"/>
          <w:lang w:val="en-GB"/>
        </w:rPr>
        <w:t xml:space="preserve"> territorial jurisdiction, and a</w:t>
      </w:r>
      <w:r>
        <w:rPr>
          <w:rFonts w:cs="Helvetica"/>
          <w:sz w:val="24"/>
          <w:lang w:val="en-GB"/>
        </w:rPr>
        <w:t xml:space="preserve"> divergence</w:t>
      </w:r>
      <w:r w:rsidRPr="0013113F">
        <w:rPr>
          <w:rFonts w:cs="Helvetica"/>
          <w:sz w:val="24"/>
          <w:lang w:val="en-GB"/>
        </w:rPr>
        <w:t xml:space="preserve"> may </w:t>
      </w:r>
      <w:r w:rsidR="00563945">
        <w:rPr>
          <w:rFonts w:cs="Helvetica"/>
          <w:sz w:val="24"/>
          <w:lang w:val="en-GB"/>
        </w:rPr>
        <w:t>arise</w:t>
      </w:r>
      <w:r w:rsidRPr="0013113F">
        <w:rPr>
          <w:rFonts w:cs="Helvetica"/>
          <w:sz w:val="24"/>
          <w:lang w:val="en-GB"/>
        </w:rPr>
        <w:t xml:space="preserve"> even within the same court</w:t>
      </w:r>
      <w:r w:rsidR="00563945">
        <w:rPr>
          <w:rFonts w:cs="Helvetica"/>
          <w:sz w:val="24"/>
          <w:lang w:val="en-GB"/>
        </w:rPr>
        <w:t xml:space="preserve">. That in </w:t>
      </w:r>
      <w:proofErr w:type="spellStart"/>
      <w:r w:rsidR="00563945">
        <w:rPr>
          <w:rFonts w:cs="Helvetica"/>
          <w:sz w:val="24"/>
          <w:lang w:val="en-GB"/>
        </w:rPr>
        <w:t>itselfs</w:t>
      </w:r>
      <w:proofErr w:type="spellEnd"/>
      <w:r w:rsidRPr="0013113F">
        <w:rPr>
          <w:rFonts w:cs="Helvetica"/>
          <w:sz w:val="24"/>
          <w:lang w:val="en-GB"/>
        </w:rPr>
        <w:t xml:space="preserve"> cannot be considered</w:t>
      </w:r>
      <w:r>
        <w:rPr>
          <w:rFonts w:cs="Helvetica"/>
          <w:sz w:val="24"/>
          <w:lang w:val="en-GB"/>
        </w:rPr>
        <w:t xml:space="preserve"> </w:t>
      </w:r>
      <w:r w:rsidR="00563945">
        <w:rPr>
          <w:rFonts w:cs="Helvetica"/>
          <w:sz w:val="24"/>
          <w:lang w:val="en-GB"/>
        </w:rPr>
        <w:t xml:space="preserve">to be </w:t>
      </w:r>
      <w:r>
        <w:rPr>
          <w:rFonts w:cs="Helvetica"/>
          <w:sz w:val="24"/>
          <w:lang w:val="en-GB"/>
        </w:rPr>
        <w:t>contradictory</w:t>
      </w:r>
      <w:r w:rsidRPr="0013113F">
        <w:rPr>
          <w:rFonts w:cs="Helvetica"/>
          <w:sz w:val="24"/>
          <w:lang w:val="en-GB"/>
        </w:rPr>
        <w:t xml:space="preserve"> </w:t>
      </w:r>
      <w:r w:rsidR="00563945">
        <w:rPr>
          <w:rFonts w:cs="Helvetica"/>
          <w:sz w:val="24"/>
          <w:lang w:val="en-GB"/>
        </w:rPr>
        <w:t>to the Convention</w:t>
      </w:r>
      <w:r>
        <w:rPr>
          <w:rFonts w:cs="Helvetica"/>
          <w:sz w:val="24"/>
          <w:lang w:val="en-GB"/>
        </w:rPr>
        <w:t>. (</w:t>
      </w:r>
      <w:proofErr w:type="gramStart"/>
      <w:r>
        <w:rPr>
          <w:rFonts w:cs="Helvetica"/>
          <w:sz w:val="24"/>
          <w:lang w:val="en-GB"/>
        </w:rPr>
        <w:t>s</w:t>
      </w:r>
      <w:r w:rsidRPr="0013113F">
        <w:rPr>
          <w:rFonts w:cs="Helvetica"/>
          <w:sz w:val="24"/>
          <w:lang w:val="en-GB"/>
        </w:rPr>
        <w:t>ee</w:t>
      </w:r>
      <w:proofErr w:type="gramEnd"/>
      <w:r>
        <w:rPr>
          <w:rFonts w:cs="Helvetica"/>
          <w:sz w:val="24"/>
          <w:lang w:val="en-GB"/>
        </w:rPr>
        <w:t xml:space="preserve"> the case</w:t>
      </w:r>
      <w:r w:rsidRPr="0013113F">
        <w:rPr>
          <w:rFonts w:cs="Helvetica"/>
          <w:sz w:val="24"/>
          <w:lang w:val="en-GB"/>
        </w:rPr>
        <w:t xml:space="preserve"> </w:t>
      </w:r>
      <w:r w:rsidRPr="0013113F">
        <w:rPr>
          <w:rFonts w:cs="Helvetica"/>
          <w:i/>
          <w:sz w:val="24"/>
          <w:lang w:val="en-GB"/>
        </w:rPr>
        <w:t>Santos Pinto v. Portugal</w:t>
      </w:r>
      <w:r w:rsidRPr="0013113F">
        <w:rPr>
          <w:rFonts w:cs="Helvetica"/>
          <w:sz w:val="24"/>
          <w:lang w:val="en-GB"/>
        </w:rPr>
        <w:t>,</w:t>
      </w:r>
      <w:r>
        <w:rPr>
          <w:rFonts w:cs="Helvetica"/>
          <w:sz w:val="24"/>
          <w:lang w:val="en-GB"/>
        </w:rPr>
        <w:t xml:space="preserve"> Application</w:t>
      </w:r>
      <w:r w:rsidRPr="0013113F">
        <w:rPr>
          <w:rFonts w:cs="Helvetica"/>
          <w:sz w:val="24"/>
          <w:lang w:val="en-GB"/>
        </w:rPr>
        <w:t xml:space="preserve"> no. 390005/04, paragraph 41,</w:t>
      </w:r>
      <w:r>
        <w:rPr>
          <w:rFonts w:cs="Helvetica"/>
          <w:sz w:val="24"/>
          <w:lang w:val="en-GB"/>
        </w:rPr>
        <w:t xml:space="preserve"> </w:t>
      </w:r>
      <w:r w:rsidRPr="0013113F">
        <w:rPr>
          <w:rFonts w:cs="Helvetica"/>
          <w:sz w:val="24"/>
          <w:lang w:val="en-GB"/>
        </w:rPr>
        <w:t>Judgment of 20 May 2008</w:t>
      </w:r>
      <w:r>
        <w:rPr>
          <w:rFonts w:cs="Helvetica"/>
          <w:sz w:val="24"/>
          <w:lang w:val="en-GB"/>
        </w:rPr>
        <w:t>, see also the case of</w:t>
      </w:r>
      <w:r w:rsidR="000C22C5">
        <w:rPr>
          <w:rFonts w:cs="Helvetica"/>
          <w:sz w:val="24"/>
          <w:lang w:val="en-GB"/>
        </w:rPr>
        <w:t xml:space="preserve"> the</w:t>
      </w:r>
      <w:r>
        <w:rPr>
          <w:rFonts w:cs="Helvetica"/>
          <w:sz w:val="24"/>
          <w:lang w:val="en-GB"/>
        </w:rPr>
        <w:t xml:space="preserve"> Court KI87/17, Applicant “</w:t>
      </w:r>
      <w:r w:rsidRPr="0013113F">
        <w:rPr>
          <w:rFonts w:cs="Helvetica"/>
          <w:i/>
          <w:sz w:val="24"/>
          <w:lang w:val="en-GB"/>
        </w:rPr>
        <w:t xml:space="preserve">IF </w:t>
      </w:r>
      <w:proofErr w:type="spellStart"/>
      <w:r w:rsidRPr="0013113F">
        <w:rPr>
          <w:rFonts w:cs="Helvetica"/>
          <w:i/>
          <w:sz w:val="24"/>
          <w:lang w:val="en-GB"/>
        </w:rPr>
        <w:t>Skadeforsikring</w:t>
      </w:r>
      <w:proofErr w:type="spellEnd"/>
      <w:r w:rsidRPr="0013113F">
        <w:rPr>
          <w:rFonts w:cs="Helvetica"/>
          <w:i/>
          <w:sz w:val="24"/>
          <w:lang w:val="en-GB"/>
        </w:rPr>
        <w:t>”</w:t>
      </w:r>
      <w:r w:rsidRPr="0013113F">
        <w:rPr>
          <w:rFonts w:cs="Helvetica"/>
          <w:sz w:val="24"/>
          <w:lang w:val="en-GB"/>
        </w:rPr>
        <w:t xml:space="preserve">, </w:t>
      </w:r>
      <w:r>
        <w:rPr>
          <w:rFonts w:cs="Helvetica"/>
          <w:sz w:val="24"/>
          <w:lang w:val="en-GB"/>
        </w:rPr>
        <w:t xml:space="preserve">cited above, paragraph 66 and case KI35/18 Applicant </w:t>
      </w:r>
      <w:proofErr w:type="spellStart"/>
      <w:r w:rsidRPr="00563945">
        <w:rPr>
          <w:rFonts w:cs="Helvetica"/>
          <w:i/>
          <w:sz w:val="24"/>
          <w:lang w:val="en-GB"/>
        </w:rPr>
        <w:t>Bayerische</w:t>
      </w:r>
      <w:r w:rsidR="00563945" w:rsidRPr="00563945">
        <w:rPr>
          <w:rFonts w:cs="Helvetica"/>
          <w:i/>
          <w:sz w:val="24"/>
          <w:lang w:val="en-GB"/>
        </w:rPr>
        <w:t>Versicherungsverbrand</w:t>
      </w:r>
      <w:proofErr w:type="spellEnd"/>
      <w:r w:rsidR="00563945">
        <w:rPr>
          <w:rFonts w:cs="Helvetica"/>
          <w:sz w:val="24"/>
          <w:lang w:val="en-GB"/>
        </w:rPr>
        <w:t>, paragraph 67</w:t>
      </w:r>
      <w:r w:rsidR="00FF271B" w:rsidRPr="00314A8D">
        <w:rPr>
          <w:rFonts w:cs="Helvetica"/>
          <w:sz w:val="24"/>
          <w:lang w:val="en-GB"/>
        </w:rPr>
        <w:t xml:space="preserve">). </w:t>
      </w:r>
    </w:p>
    <w:p w:rsidR="00D84302" w:rsidRPr="00314A8D" w:rsidRDefault="00D84302" w:rsidP="00A06B9C">
      <w:pPr>
        <w:pStyle w:val="ListParagraph"/>
        <w:spacing w:line="240" w:lineRule="auto"/>
        <w:rPr>
          <w:sz w:val="24"/>
          <w:lang w:val="en-GB"/>
        </w:rPr>
      </w:pPr>
    </w:p>
    <w:p w:rsidR="00D84302" w:rsidRPr="00314A8D" w:rsidRDefault="00482A7E" w:rsidP="00A06B9C">
      <w:pPr>
        <w:pStyle w:val="ListParagraph"/>
        <w:numPr>
          <w:ilvl w:val="0"/>
          <w:numId w:val="63"/>
        </w:numPr>
        <w:autoSpaceDE w:val="0"/>
        <w:autoSpaceDN w:val="0"/>
        <w:adjustRightInd w:val="0"/>
        <w:spacing w:line="240" w:lineRule="auto"/>
        <w:ind w:left="634" w:hanging="634"/>
        <w:rPr>
          <w:sz w:val="24"/>
          <w:lang w:val="en-GB"/>
        </w:rPr>
      </w:pPr>
      <w:r w:rsidRPr="00482A7E">
        <w:rPr>
          <w:sz w:val="24"/>
          <w:lang w:val="en-GB"/>
        </w:rPr>
        <w:t xml:space="preserve">However, in view of the above principles, the </w:t>
      </w:r>
      <w:proofErr w:type="spellStart"/>
      <w:r w:rsidRPr="00482A7E">
        <w:rPr>
          <w:sz w:val="24"/>
          <w:lang w:val="en-GB"/>
        </w:rPr>
        <w:t>ECtHR</w:t>
      </w:r>
      <w:proofErr w:type="spellEnd"/>
      <w:r w:rsidRPr="00482A7E">
        <w:rPr>
          <w:sz w:val="24"/>
          <w:lang w:val="en-GB"/>
        </w:rPr>
        <w:t xml:space="preserve"> has established three basic criteria to determine whether a</w:t>
      </w:r>
      <w:r>
        <w:rPr>
          <w:sz w:val="24"/>
          <w:lang w:val="en-GB"/>
        </w:rPr>
        <w:t>n</w:t>
      </w:r>
      <w:r w:rsidRPr="00482A7E">
        <w:rPr>
          <w:sz w:val="24"/>
          <w:lang w:val="en-GB"/>
        </w:rPr>
        <w:t xml:space="preserve"> alleged </w:t>
      </w:r>
      <w:r>
        <w:rPr>
          <w:sz w:val="24"/>
          <w:lang w:val="en-GB"/>
        </w:rPr>
        <w:t>divergence of judicial decisions</w:t>
      </w:r>
      <w:r w:rsidRPr="00482A7E">
        <w:rPr>
          <w:sz w:val="24"/>
          <w:lang w:val="en-GB"/>
        </w:rPr>
        <w:t xml:space="preserve">  constitutes a violation of Article 6 of the ECHR, as follows: (</w:t>
      </w:r>
      <w:proofErr w:type="spellStart"/>
      <w:r w:rsidRPr="00482A7E">
        <w:rPr>
          <w:sz w:val="24"/>
          <w:lang w:val="en-GB"/>
        </w:rPr>
        <w:t>i</w:t>
      </w:r>
      <w:proofErr w:type="spellEnd"/>
      <w:r w:rsidRPr="00482A7E">
        <w:rPr>
          <w:sz w:val="24"/>
          <w:lang w:val="en-GB"/>
        </w:rPr>
        <w:t xml:space="preserve">) </w:t>
      </w:r>
      <w:r w:rsidR="00CA3954">
        <w:rPr>
          <w:sz w:val="24"/>
          <w:lang w:val="en-GB"/>
        </w:rPr>
        <w:t>whether</w:t>
      </w:r>
      <w:r w:rsidRPr="00482A7E">
        <w:rPr>
          <w:sz w:val="24"/>
          <w:lang w:val="en-GB"/>
        </w:rPr>
        <w:t xml:space="preserve"> </w:t>
      </w:r>
      <w:r w:rsidR="00CA3954">
        <w:rPr>
          <w:sz w:val="24"/>
          <w:lang w:val="en-GB"/>
        </w:rPr>
        <w:t>“</w:t>
      </w:r>
      <w:r w:rsidRPr="000C712D">
        <w:rPr>
          <w:i/>
          <w:sz w:val="24"/>
          <w:lang w:val="en-GB"/>
        </w:rPr>
        <w:t>profound and long-</w:t>
      </w:r>
      <w:r w:rsidR="00CA3954" w:rsidRPr="000C712D">
        <w:rPr>
          <w:i/>
          <w:sz w:val="24"/>
          <w:lang w:val="en-GB"/>
        </w:rPr>
        <w:t>standing</w:t>
      </w:r>
      <w:r w:rsidRPr="000C712D">
        <w:rPr>
          <w:i/>
          <w:sz w:val="24"/>
          <w:lang w:val="en-GB"/>
        </w:rPr>
        <w:t xml:space="preserve"> differences</w:t>
      </w:r>
      <w:r w:rsidR="00CA3954" w:rsidRPr="000C712D">
        <w:rPr>
          <w:i/>
          <w:sz w:val="24"/>
          <w:lang w:val="en-GB"/>
        </w:rPr>
        <w:t>”</w:t>
      </w:r>
      <w:r w:rsidR="00CA3954">
        <w:rPr>
          <w:sz w:val="24"/>
          <w:lang w:val="en-GB"/>
        </w:rPr>
        <w:t xml:space="preserve"> exi</w:t>
      </w:r>
      <w:r w:rsidR="000C712D">
        <w:rPr>
          <w:sz w:val="24"/>
          <w:lang w:val="en-GB"/>
        </w:rPr>
        <w:t>s</w:t>
      </w:r>
      <w:r w:rsidR="00CA3954">
        <w:rPr>
          <w:sz w:val="24"/>
          <w:lang w:val="en-GB"/>
        </w:rPr>
        <w:t>t</w:t>
      </w:r>
      <w:r w:rsidRPr="00482A7E">
        <w:rPr>
          <w:sz w:val="24"/>
          <w:lang w:val="en-GB"/>
        </w:rPr>
        <w:t xml:space="preserve"> in </w:t>
      </w:r>
      <w:r>
        <w:rPr>
          <w:sz w:val="24"/>
          <w:lang w:val="en-GB"/>
        </w:rPr>
        <w:t xml:space="preserve">the </w:t>
      </w:r>
      <w:r w:rsidRPr="00482A7E">
        <w:rPr>
          <w:sz w:val="24"/>
          <w:lang w:val="en-GB"/>
        </w:rPr>
        <w:t xml:space="preserve">case law; (ii) </w:t>
      </w:r>
      <w:r w:rsidR="00CA3954">
        <w:rPr>
          <w:sz w:val="24"/>
          <w:lang w:val="en-GB"/>
        </w:rPr>
        <w:t>whether</w:t>
      </w:r>
      <w:r>
        <w:rPr>
          <w:sz w:val="24"/>
          <w:lang w:val="en-GB"/>
        </w:rPr>
        <w:t xml:space="preserve"> the domestic</w:t>
      </w:r>
      <w:r w:rsidRPr="00482A7E">
        <w:rPr>
          <w:sz w:val="24"/>
          <w:lang w:val="en-GB"/>
        </w:rPr>
        <w:t xml:space="preserve"> law provides </w:t>
      </w:r>
      <w:r>
        <w:rPr>
          <w:sz w:val="24"/>
          <w:lang w:val="en-GB"/>
        </w:rPr>
        <w:t xml:space="preserve">for </w:t>
      </w:r>
      <w:r w:rsidR="00CA3954">
        <w:rPr>
          <w:sz w:val="24"/>
          <w:lang w:val="en-GB"/>
        </w:rPr>
        <w:t xml:space="preserve">a </w:t>
      </w:r>
      <w:r w:rsidRPr="00482A7E">
        <w:rPr>
          <w:sz w:val="24"/>
          <w:lang w:val="en-GB"/>
        </w:rPr>
        <w:t xml:space="preserve">mechanism capable </w:t>
      </w:r>
      <w:r w:rsidR="00CA3954">
        <w:rPr>
          <w:sz w:val="24"/>
          <w:lang w:val="en-GB"/>
        </w:rPr>
        <w:t>to overcome</w:t>
      </w:r>
      <w:r w:rsidRPr="00482A7E">
        <w:rPr>
          <w:sz w:val="24"/>
          <w:lang w:val="en-GB"/>
        </w:rPr>
        <w:t xml:space="preserve"> such divergences; and (iii) whether th</w:t>
      </w:r>
      <w:r w:rsidR="00CA3954">
        <w:rPr>
          <w:sz w:val="24"/>
          <w:lang w:val="en-GB"/>
        </w:rPr>
        <w:t>at</w:t>
      </w:r>
      <w:r w:rsidRPr="00482A7E">
        <w:rPr>
          <w:sz w:val="24"/>
          <w:lang w:val="en-GB"/>
        </w:rPr>
        <w:t xml:space="preserve"> mechanism ha</w:t>
      </w:r>
      <w:r w:rsidR="00CA3954">
        <w:rPr>
          <w:sz w:val="24"/>
          <w:lang w:val="en-GB"/>
        </w:rPr>
        <w:t>s</w:t>
      </w:r>
      <w:r w:rsidRPr="00482A7E">
        <w:rPr>
          <w:sz w:val="24"/>
          <w:lang w:val="en-GB"/>
        </w:rPr>
        <w:t xml:space="preserve"> been </w:t>
      </w:r>
      <w:r w:rsidR="00CA3954">
        <w:rPr>
          <w:sz w:val="24"/>
          <w:lang w:val="en-GB"/>
        </w:rPr>
        <w:t>applied</w:t>
      </w:r>
      <w:r w:rsidRPr="00482A7E">
        <w:rPr>
          <w:sz w:val="24"/>
          <w:lang w:val="en-GB"/>
        </w:rPr>
        <w:t xml:space="preserve"> and</w:t>
      </w:r>
      <w:r w:rsidR="00CA3954">
        <w:rPr>
          <w:sz w:val="24"/>
          <w:lang w:val="en-GB"/>
        </w:rPr>
        <w:t xml:space="preserve">, if so, to what effect </w:t>
      </w:r>
      <w:r w:rsidRPr="00482A7E">
        <w:rPr>
          <w:sz w:val="24"/>
          <w:lang w:val="en-GB"/>
        </w:rPr>
        <w:t xml:space="preserve">(in this context, see </w:t>
      </w:r>
      <w:proofErr w:type="spellStart"/>
      <w:r w:rsidRPr="00482A7E">
        <w:rPr>
          <w:sz w:val="24"/>
          <w:lang w:val="en-GB"/>
        </w:rPr>
        <w:t>ECtHR</w:t>
      </w:r>
      <w:proofErr w:type="spellEnd"/>
      <w:r w:rsidRPr="00482A7E">
        <w:rPr>
          <w:sz w:val="24"/>
          <w:lang w:val="en-GB"/>
        </w:rPr>
        <w:t xml:space="preserve"> cases, </w:t>
      </w:r>
      <w:proofErr w:type="spellStart"/>
      <w:r w:rsidRPr="00482A7E">
        <w:rPr>
          <w:i/>
          <w:sz w:val="24"/>
          <w:lang w:val="en-GB"/>
        </w:rPr>
        <w:t>Beian</w:t>
      </w:r>
      <w:proofErr w:type="spellEnd"/>
      <w:r w:rsidRPr="00482A7E">
        <w:rPr>
          <w:i/>
          <w:sz w:val="24"/>
          <w:lang w:val="en-GB"/>
        </w:rPr>
        <w:t xml:space="preserve"> v. Romania</w:t>
      </w:r>
      <w:r w:rsidRPr="00482A7E">
        <w:rPr>
          <w:sz w:val="24"/>
          <w:lang w:val="en-GB"/>
        </w:rPr>
        <w:t xml:space="preserve"> (no. 1), Judgment of 6 December 2007, paragraphs 37-39; </w:t>
      </w:r>
      <w:r w:rsidRPr="00CA3954">
        <w:rPr>
          <w:i/>
          <w:sz w:val="24"/>
          <w:lang w:val="en-GB"/>
        </w:rPr>
        <w:t xml:space="preserve">Greek Catholic Parish </w:t>
      </w:r>
      <w:r w:rsidR="00CA3954" w:rsidRPr="00CA3954">
        <w:rPr>
          <w:i/>
          <w:sz w:val="24"/>
          <w:lang w:val="en-GB"/>
        </w:rPr>
        <w:t xml:space="preserve">of </w:t>
      </w:r>
      <w:proofErr w:type="spellStart"/>
      <w:r w:rsidRPr="00CA3954">
        <w:rPr>
          <w:i/>
          <w:sz w:val="24"/>
          <w:lang w:val="en-GB"/>
        </w:rPr>
        <w:t>Lupeni</w:t>
      </w:r>
      <w:proofErr w:type="spellEnd"/>
      <w:r w:rsidRPr="00CA3954">
        <w:rPr>
          <w:i/>
          <w:sz w:val="24"/>
          <w:lang w:val="en-GB"/>
        </w:rPr>
        <w:t xml:space="preserve"> and others v. Romania</w:t>
      </w:r>
      <w:r w:rsidRPr="00482A7E">
        <w:rPr>
          <w:sz w:val="24"/>
          <w:lang w:val="en-GB"/>
        </w:rPr>
        <w:t xml:space="preserve">, Judgment of 29 November 2016, paragraphs 116 - 135; </w:t>
      </w:r>
      <w:proofErr w:type="spellStart"/>
      <w:r w:rsidRPr="00CA3954">
        <w:rPr>
          <w:i/>
          <w:sz w:val="24"/>
          <w:lang w:val="en-GB"/>
        </w:rPr>
        <w:t>Iordan</w:t>
      </w:r>
      <w:proofErr w:type="spellEnd"/>
      <w:r w:rsidRPr="00CA3954">
        <w:rPr>
          <w:i/>
          <w:sz w:val="24"/>
          <w:lang w:val="en-GB"/>
        </w:rPr>
        <w:t xml:space="preserve"> </w:t>
      </w:r>
      <w:proofErr w:type="spellStart"/>
      <w:r w:rsidRPr="00CA3954">
        <w:rPr>
          <w:i/>
          <w:sz w:val="24"/>
          <w:lang w:val="en-GB"/>
        </w:rPr>
        <w:t>Iordanov</w:t>
      </w:r>
      <w:proofErr w:type="spellEnd"/>
      <w:r w:rsidRPr="00CA3954">
        <w:rPr>
          <w:i/>
          <w:sz w:val="24"/>
          <w:lang w:val="en-GB"/>
        </w:rPr>
        <w:t xml:space="preserve"> and others v. Bulgaria</w:t>
      </w:r>
      <w:r w:rsidRPr="00482A7E">
        <w:rPr>
          <w:sz w:val="24"/>
          <w:lang w:val="en-GB"/>
        </w:rPr>
        <w:t xml:space="preserve">, Judgment of 2 July 2009, paragraphs 49-50; </w:t>
      </w:r>
      <w:proofErr w:type="spellStart"/>
      <w:r w:rsidRPr="00CA3954">
        <w:rPr>
          <w:i/>
          <w:sz w:val="24"/>
          <w:lang w:val="en-GB"/>
        </w:rPr>
        <w:t>Nejdet</w:t>
      </w:r>
      <w:proofErr w:type="spellEnd"/>
      <w:r w:rsidRPr="00CA3954">
        <w:rPr>
          <w:i/>
          <w:sz w:val="24"/>
          <w:lang w:val="en-GB"/>
        </w:rPr>
        <w:t xml:space="preserve"> </w:t>
      </w:r>
      <w:proofErr w:type="spellStart"/>
      <w:r w:rsidRPr="00CA3954">
        <w:rPr>
          <w:i/>
          <w:sz w:val="24"/>
          <w:lang w:val="en-GB"/>
        </w:rPr>
        <w:t>Şahin</w:t>
      </w:r>
      <w:proofErr w:type="spellEnd"/>
      <w:r w:rsidRPr="00CA3954">
        <w:rPr>
          <w:i/>
          <w:sz w:val="24"/>
          <w:lang w:val="en-GB"/>
        </w:rPr>
        <w:t xml:space="preserve"> and </w:t>
      </w:r>
      <w:proofErr w:type="spellStart"/>
      <w:r w:rsidRPr="00CA3954">
        <w:rPr>
          <w:i/>
          <w:sz w:val="24"/>
          <w:lang w:val="en-GB"/>
        </w:rPr>
        <w:t>Perihan</w:t>
      </w:r>
      <w:proofErr w:type="spellEnd"/>
      <w:r w:rsidRPr="00CA3954">
        <w:rPr>
          <w:i/>
          <w:sz w:val="24"/>
          <w:lang w:val="en-GB"/>
        </w:rPr>
        <w:t xml:space="preserve"> </w:t>
      </w:r>
      <w:proofErr w:type="spellStart"/>
      <w:r w:rsidRPr="00CA3954">
        <w:rPr>
          <w:i/>
          <w:sz w:val="24"/>
          <w:lang w:val="en-GB"/>
        </w:rPr>
        <w:t>Şahink</w:t>
      </w:r>
      <w:proofErr w:type="spellEnd"/>
      <w:r w:rsidRPr="00CA3954">
        <w:rPr>
          <w:i/>
          <w:sz w:val="24"/>
          <w:lang w:val="en-GB"/>
        </w:rPr>
        <w:t xml:space="preserve"> v. Turkey</w:t>
      </w:r>
      <w:r w:rsidRPr="00482A7E">
        <w:rPr>
          <w:sz w:val="24"/>
          <w:lang w:val="en-GB"/>
        </w:rPr>
        <w:t>, cited above, paragraph 53; and see</w:t>
      </w:r>
      <w:r w:rsidR="00CA3954">
        <w:rPr>
          <w:sz w:val="24"/>
          <w:lang w:val="en-GB"/>
        </w:rPr>
        <w:t xml:space="preserve"> the</w:t>
      </w:r>
      <w:r w:rsidRPr="00482A7E">
        <w:rPr>
          <w:sz w:val="24"/>
          <w:lang w:val="en-GB"/>
        </w:rPr>
        <w:t xml:space="preserve"> </w:t>
      </w:r>
      <w:proofErr w:type="spellStart"/>
      <w:r w:rsidRPr="00482A7E">
        <w:rPr>
          <w:sz w:val="24"/>
          <w:lang w:val="en-GB"/>
        </w:rPr>
        <w:t>case</w:t>
      </w:r>
      <w:r w:rsidR="00CA3954">
        <w:rPr>
          <w:sz w:val="24"/>
          <w:lang w:val="en-GB"/>
        </w:rPr>
        <w:t>of</w:t>
      </w:r>
      <w:proofErr w:type="spellEnd"/>
      <w:r w:rsidR="00CA3954">
        <w:rPr>
          <w:sz w:val="24"/>
          <w:lang w:val="en-GB"/>
        </w:rPr>
        <w:t xml:space="preserve"> the</w:t>
      </w:r>
      <w:r w:rsidRPr="00482A7E">
        <w:rPr>
          <w:sz w:val="24"/>
          <w:lang w:val="en-GB"/>
        </w:rPr>
        <w:t xml:space="preserve"> Court, Kl29/17, Applicant </w:t>
      </w:r>
      <w:proofErr w:type="spellStart"/>
      <w:r w:rsidRPr="00CA3954">
        <w:rPr>
          <w:i/>
          <w:sz w:val="24"/>
          <w:lang w:val="en-GB"/>
        </w:rPr>
        <w:t>Adem</w:t>
      </w:r>
      <w:proofErr w:type="spellEnd"/>
      <w:r w:rsidRPr="00CA3954">
        <w:rPr>
          <w:i/>
          <w:sz w:val="24"/>
          <w:lang w:val="en-GB"/>
        </w:rPr>
        <w:t xml:space="preserve"> </w:t>
      </w:r>
      <w:proofErr w:type="spellStart"/>
      <w:r w:rsidRPr="00CA3954">
        <w:rPr>
          <w:i/>
          <w:sz w:val="24"/>
          <w:lang w:val="en-GB"/>
        </w:rPr>
        <w:t>Zhegrova</w:t>
      </w:r>
      <w:proofErr w:type="spellEnd"/>
      <w:r w:rsidRPr="00482A7E">
        <w:rPr>
          <w:sz w:val="24"/>
          <w:lang w:val="en-GB"/>
        </w:rPr>
        <w:t xml:space="preserve">, </w:t>
      </w:r>
      <w:r w:rsidR="00CA3954">
        <w:rPr>
          <w:sz w:val="24"/>
          <w:lang w:val="en-GB"/>
        </w:rPr>
        <w:t>Resolution</w:t>
      </w:r>
      <w:r w:rsidRPr="00482A7E">
        <w:rPr>
          <w:sz w:val="24"/>
          <w:lang w:val="en-GB"/>
        </w:rPr>
        <w:t xml:space="preserve"> o</w:t>
      </w:r>
      <w:r w:rsidR="00CA3954">
        <w:rPr>
          <w:sz w:val="24"/>
          <w:lang w:val="en-GB"/>
        </w:rPr>
        <w:t>n</w:t>
      </w:r>
      <w:r w:rsidRPr="00482A7E">
        <w:rPr>
          <w:sz w:val="24"/>
          <w:lang w:val="en-GB"/>
        </w:rPr>
        <w:t xml:space="preserve"> Inadmissibility, of 5 September 2017, paragraph 51 and also see the cases of the Court cited above, KI42/17, Applicant </w:t>
      </w:r>
      <w:proofErr w:type="spellStart"/>
      <w:r w:rsidRPr="00CA3954">
        <w:rPr>
          <w:i/>
          <w:sz w:val="24"/>
          <w:lang w:val="en-GB"/>
        </w:rPr>
        <w:t>Kushtrim</w:t>
      </w:r>
      <w:proofErr w:type="spellEnd"/>
      <w:r w:rsidRPr="00CA3954">
        <w:rPr>
          <w:i/>
          <w:sz w:val="24"/>
          <w:lang w:val="en-GB"/>
        </w:rPr>
        <w:t xml:space="preserve"> </w:t>
      </w:r>
      <w:proofErr w:type="spellStart"/>
      <w:r w:rsidRPr="00CA3954">
        <w:rPr>
          <w:i/>
          <w:sz w:val="24"/>
          <w:lang w:val="en-GB"/>
        </w:rPr>
        <w:t>Ibraj</w:t>
      </w:r>
      <w:proofErr w:type="spellEnd"/>
      <w:r w:rsidRPr="00482A7E">
        <w:rPr>
          <w:sz w:val="24"/>
          <w:lang w:val="en-GB"/>
        </w:rPr>
        <w:t xml:space="preserve">, </w:t>
      </w:r>
      <w:r w:rsidR="00CA3954">
        <w:rPr>
          <w:sz w:val="24"/>
          <w:lang w:val="en-GB"/>
        </w:rPr>
        <w:t>paragraph 39, KI87</w:t>
      </w:r>
      <w:r w:rsidRPr="00482A7E">
        <w:rPr>
          <w:sz w:val="24"/>
          <w:lang w:val="en-GB"/>
        </w:rPr>
        <w:t xml:space="preserve">/17 Applicant IF </w:t>
      </w:r>
      <w:proofErr w:type="spellStart"/>
      <w:r w:rsidRPr="00482A7E">
        <w:rPr>
          <w:sz w:val="24"/>
          <w:lang w:val="en-GB"/>
        </w:rPr>
        <w:t>Skadiforsikring</w:t>
      </w:r>
      <w:proofErr w:type="spellEnd"/>
      <w:r w:rsidRPr="00482A7E">
        <w:rPr>
          <w:sz w:val="24"/>
          <w:lang w:val="en-GB"/>
        </w:rPr>
        <w:t>, paragraph 67, KI35/18</w:t>
      </w:r>
      <w:r w:rsidR="00CA3954">
        <w:rPr>
          <w:sz w:val="24"/>
          <w:lang w:val="en-GB"/>
        </w:rPr>
        <w:t>,</w:t>
      </w:r>
      <w:r w:rsidRPr="00482A7E">
        <w:rPr>
          <w:sz w:val="24"/>
          <w:lang w:val="en-GB"/>
        </w:rPr>
        <w:t xml:space="preserve"> </w:t>
      </w:r>
      <w:r w:rsidR="00CA3954">
        <w:rPr>
          <w:sz w:val="24"/>
          <w:lang w:val="en-GB"/>
        </w:rPr>
        <w:t>A</w:t>
      </w:r>
      <w:r w:rsidRPr="00482A7E">
        <w:rPr>
          <w:sz w:val="24"/>
          <w:lang w:val="en-GB"/>
        </w:rPr>
        <w:t xml:space="preserve">pplicant </w:t>
      </w:r>
      <w:proofErr w:type="spellStart"/>
      <w:r w:rsidRPr="00482A7E">
        <w:rPr>
          <w:sz w:val="24"/>
          <w:lang w:val="en-GB"/>
        </w:rPr>
        <w:t>BayerischeVersicherungsververbrand</w:t>
      </w:r>
      <w:proofErr w:type="spellEnd"/>
      <w:r w:rsidRPr="00482A7E">
        <w:rPr>
          <w:sz w:val="24"/>
          <w:lang w:val="en-GB"/>
        </w:rPr>
        <w:t>, paragraph 70</w:t>
      </w:r>
      <w:r w:rsidR="00FF271B" w:rsidRPr="00314A8D">
        <w:rPr>
          <w:sz w:val="24"/>
          <w:lang w:val="en-GB"/>
        </w:rPr>
        <w:t xml:space="preserve">). </w:t>
      </w:r>
    </w:p>
    <w:p w:rsidR="00D84302" w:rsidRPr="00314A8D" w:rsidRDefault="00D84302" w:rsidP="00A06B9C">
      <w:pPr>
        <w:pStyle w:val="ListParagraph"/>
        <w:spacing w:line="240" w:lineRule="auto"/>
        <w:ind w:left="540" w:hanging="540"/>
        <w:rPr>
          <w:sz w:val="24"/>
          <w:lang w:val="en-GB"/>
        </w:rPr>
      </w:pPr>
    </w:p>
    <w:p w:rsidR="00D229BF" w:rsidRPr="00314A8D" w:rsidRDefault="00CA3954" w:rsidP="003560D6">
      <w:pPr>
        <w:pStyle w:val="ListParagraph"/>
        <w:numPr>
          <w:ilvl w:val="0"/>
          <w:numId w:val="80"/>
        </w:numPr>
        <w:tabs>
          <w:tab w:val="left" w:pos="360"/>
        </w:tabs>
        <w:spacing w:line="240" w:lineRule="auto"/>
        <w:ind w:left="0" w:firstLine="0"/>
        <w:rPr>
          <w:i/>
          <w:sz w:val="24"/>
          <w:lang w:val="en-GB"/>
        </w:rPr>
      </w:pPr>
      <w:r>
        <w:rPr>
          <w:i/>
          <w:sz w:val="24"/>
          <w:lang w:val="en-GB"/>
        </w:rPr>
        <w:lastRenderedPageBreak/>
        <w:t xml:space="preserve">Application of these principles in the circumstances of the </w:t>
      </w:r>
      <w:r w:rsidR="00B352F4">
        <w:rPr>
          <w:i/>
          <w:sz w:val="24"/>
          <w:lang w:val="en-GB"/>
        </w:rPr>
        <w:t>present</w:t>
      </w:r>
      <w:r>
        <w:rPr>
          <w:i/>
          <w:sz w:val="24"/>
          <w:lang w:val="en-GB"/>
        </w:rPr>
        <w:t xml:space="preserve"> case</w:t>
      </w:r>
    </w:p>
    <w:p w:rsidR="00D229BF" w:rsidRPr="00314A8D" w:rsidRDefault="00D229BF" w:rsidP="00A06B9C">
      <w:pPr>
        <w:spacing w:line="240" w:lineRule="auto"/>
        <w:ind w:left="540" w:hanging="540"/>
        <w:rPr>
          <w:sz w:val="24"/>
          <w:lang w:val="en-GB"/>
        </w:rPr>
      </w:pPr>
    </w:p>
    <w:p w:rsidR="00D229BF" w:rsidRPr="00314A8D" w:rsidRDefault="00367FDA" w:rsidP="00A06B9C">
      <w:pPr>
        <w:pStyle w:val="ListParagraph"/>
        <w:numPr>
          <w:ilvl w:val="0"/>
          <w:numId w:val="63"/>
        </w:numPr>
        <w:autoSpaceDE w:val="0"/>
        <w:autoSpaceDN w:val="0"/>
        <w:adjustRightInd w:val="0"/>
        <w:spacing w:line="240" w:lineRule="auto"/>
        <w:ind w:left="634" w:hanging="634"/>
        <w:rPr>
          <w:sz w:val="24"/>
          <w:lang w:val="en-GB"/>
        </w:rPr>
      </w:pPr>
      <w:r w:rsidRPr="00367FDA">
        <w:rPr>
          <w:sz w:val="24"/>
          <w:lang w:val="en-GB"/>
        </w:rPr>
        <w:t xml:space="preserve">In the following, the Court will apply the principles elaborated above in the circumstances of the present case, </w:t>
      </w:r>
      <w:r>
        <w:rPr>
          <w:sz w:val="24"/>
          <w:lang w:val="en-GB"/>
        </w:rPr>
        <w:t xml:space="preserve">by </w:t>
      </w:r>
      <w:r w:rsidRPr="00367FDA">
        <w:rPr>
          <w:sz w:val="24"/>
          <w:lang w:val="en-GB"/>
        </w:rPr>
        <w:t xml:space="preserve">applying the criteria on the basis of which the </w:t>
      </w:r>
      <w:proofErr w:type="spellStart"/>
      <w:r w:rsidRPr="00367FDA">
        <w:rPr>
          <w:sz w:val="24"/>
          <w:lang w:val="en-GB"/>
        </w:rPr>
        <w:t>ECtHR</w:t>
      </w:r>
      <w:proofErr w:type="spellEnd"/>
      <w:r w:rsidRPr="00367FDA">
        <w:rPr>
          <w:sz w:val="24"/>
          <w:lang w:val="en-GB"/>
        </w:rPr>
        <w:t xml:space="preserve"> addresses divergence issues concerning</w:t>
      </w:r>
      <w:r>
        <w:rPr>
          <w:sz w:val="24"/>
          <w:lang w:val="en-GB"/>
        </w:rPr>
        <w:t xml:space="preserve"> the</w:t>
      </w:r>
      <w:r w:rsidRPr="00367FDA">
        <w:rPr>
          <w:sz w:val="24"/>
          <w:lang w:val="en-GB"/>
        </w:rPr>
        <w:t xml:space="preserve"> case law, starting with the assessment  whether in the circumstances of the case, (</w:t>
      </w:r>
      <w:proofErr w:type="spellStart"/>
      <w:r w:rsidRPr="00367FDA">
        <w:rPr>
          <w:sz w:val="24"/>
          <w:lang w:val="en-GB"/>
        </w:rPr>
        <w:t>i</w:t>
      </w:r>
      <w:proofErr w:type="spellEnd"/>
      <w:r w:rsidRPr="00367FDA">
        <w:rPr>
          <w:sz w:val="24"/>
          <w:lang w:val="en-GB"/>
        </w:rPr>
        <w:t xml:space="preserve">) the alleged divergences in </w:t>
      </w:r>
      <w:r>
        <w:rPr>
          <w:sz w:val="24"/>
          <w:lang w:val="en-GB"/>
        </w:rPr>
        <w:t xml:space="preserve">the case law </w:t>
      </w:r>
      <w:r w:rsidRPr="00367FDA">
        <w:rPr>
          <w:sz w:val="24"/>
          <w:lang w:val="en-GB"/>
        </w:rPr>
        <w:t xml:space="preserve">are </w:t>
      </w:r>
      <w:r w:rsidRPr="004A7990">
        <w:rPr>
          <w:i/>
          <w:sz w:val="24"/>
          <w:lang w:val="en-GB"/>
        </w:rPr>
        <w:t>“profound and long-standing”</w:t>
      </w:r>
      <w:r w:rsidRPr="00367FDA">
        <w:rPr>
          <w:sz w:val="24"/>
          <w:lang w:val="en-GB"/>
        </w:rPr>
        <w:t xml:space="preserve">; and if this is the case, (ii) the existence of mechanisms capable of resolving the respective divergence; and (iii) assessing whether these mechanisms have been </w:t>
      </w:r>
      <w:r>
        <w:rPr>
          <w:sz w:val="24"/>
          <w:lang w:val="en-GB"/>
        </w:rPr>
        <w:t>applied</w:t>
      </w:r>
      <w:r w:rsidRPr="00367FDA">
        <w:rPr>
          <w:sz w:val="24"/>
          <w:lang w:val="en-GB"/>
        </w:rPr>
        <w:t xml:space="preserve"> in the circumstances of the concrete case and </w:t>
      </w:r>
      <w:r>
        <w:rPr>
          <w:sz w:val="24"/>
          <w:lang w:val="en-GB"/>
        </w:rPr>
        <w:t>to</w:t>
      </w:r>
      <w:r w:rsidRPr="00367FDA">
        <w:rPr>
          <w:sz w:val="24"/>
          <w:lang w:val="en-GB"/>
        </w:rPr>
        <w:t xml:space="preserve"> what effect.</w:t>
      </w:r>
      <w:r w:rsidR="00FF271B" w:rsidRPr="00314A8D">
        <w:rPr>
          <w:sz w:val="24"/>
          <w:lang w:val="en-GB"/>
        </w:rPr>
        <w:t xml:space="preserve"> </w:t>
      </w:r>
    </w:p>
    <w:p w:rsidR="00D229BF" w:rsidRPr="00314A8D" w:rsidRDefault="00D229BF" w:rsidP="00A06B9C">
      <w:pPr>
        <w:pStyle w:val="ListParagraph"/>
        <w:autoSpaceDE w:val="0"/>
        <w:autoSpaceDN w:val="0"/>
        <w:adjustRightInd w:val="0"/>
        <w:spacing w:line="240" w:lineRule="auto"/>
        <w:rPr>
          <w:sz w:val="24"/>
          <w:lang w:val="en-GB"/>
        </w:rPr>
      </w:pPr>
    </w:p>
    <w:p w:rsidR="00A15D79" w:rsidRPr="009C721E" w:rsidRDefault="00A15D79" w:rsidP="009C721E">
      <w:pPr>
        <w:pStyle w:val="ListParagraph"/>
        <w:numPr>
          <w:ilvl w:val="0"/>
          <w:numId w:val="63"/>
        </w:numPr>
        <w:autoSpaceDE w:val="0"/>
        <w:autoSpaceDN w:val="0"/>
        <w:adjustRightInd w:val="0"/>
        <w:spacing w:line="240" w:lineRule="auto"/>
        <w:ind w:left="634" w:hanging="634"/>
        <w:rPr>
          <w:sz w:val="24"/>
          <w:lang w:val="en-GB"/>
        </w:rPr>
      </w:pPr>
      <w:r>
        <w:rPr>
          <w:sz w:val="24"/>
          <w:lang w:val="en-GB"/>
        </w:rPr>
        <w:t>Initially,</w:t>
      </w:r>
      <w:r w:rsidR="001A2B7E" w:rsidRPr="001A2B7E">
        <w:rPr>
          <w:sz w:val="24"/>
          <w:lang w:val="en-GB"/>
        </w:rPr>
        <w:t xml:space="preserve"> the Court should also reiterate that, on the</w:t>
      </w:r>
      <w:r w:rsidR="001A2B7E">
        <w:rPr>
          <w:sz w:val="24"/>
          <w:lang w:val="en-GB"/>
        </w:rPr>
        <w:t xml:space="preserve"> basis of the </w:t>
      </w:r>
      <w:proofErr w:type="spellStart"/>
      <w:r w:rsidR="001A2B7E">
        <w:rPr>
          <w:sz w:val="24"/>
          <w:lang w:val="en-GB"/>
        </w:rPr>
        <w:t>ECtHR</w:t>
      </w:r>
      <w:proofErr w:type="spellEnd"/>
      <w:r w:rsidR="001A2B7E" w:rsidRPr="001A2B7E">
        <w:rPr>
          <w:sz w:val="24"/>
          <w:lang w:val="en-GB"/>
        </w:rPr>
        <w:t xml:space="preserve"> case law and the</w:t>
      </w:r>
      <w:r w:rsidR="001A2B7E">
        <w:rPr>
          <w:sz w:val="24"/>
          <w:lang w:val="en-GB"/>
        </w:rPr>
        <w:t xml:space="preserve"> case law of the</w:t>
      </w:r>
      <w:r w:rsidR="001A2B7E" w:rsidRPr="001A2B7E">
        <w:rPr>
          <w:sz w:val="24"/>
          <w:lang w:val="en-GB"/>
        </w:rPr>
        <w:t xml:space="preserve"> Court, it is not its </w:t>
      </w:r>
      <w:r w:rsidR="001A2B7E">
        <w:rPr>
          <w:sz w:val="24"/>
          <w:lang w:val="en-GB"/>
        </w:rPr>
        <w:t>role</w:t>
      </w:r>
      <w:r w:rsidR="001A2B7E" w:rsidRPr="001A2B7E">
        <w:rPr>
          <w:sz w:val="24"/>
          <w:lang w:val="en-GB"/>
        </w:rPr>
        <w:t xml:space="preserve"> to compare different decisions of the regular courts, even if they are </w:t>
      </w:r>
      <w:r w:rsidR="001A2B7E">
        <w:rPr>
          <w:sz w:val="24"/>
          <w:lang w:val="en-GB"/>
        </w:rPr>
        <w:t>rendered</w:t>
      </w:r>
      <w:r w:rsidR="001A2B7E" w:rsidRPr="001A2B7E">
        <w:rPr>
          <w:sz w:val="24"/>
          <w:lang w:val="en-GB"/>
        </w:rPr>
        <w:t xml:space="preserve"> in significantly similar proceedings, </w:t>
      </w:r>
      <w:r w:rsidR="001A2B7E">
        <w:rPr>
          <w:sz w:val="24"/>
          <w:lang w:val="en-GB"/>
        </w:rPr>
        <w:t>as</w:t>
      </w:r>
      <w:r w:rsidR="001A2B7E" w:rsidRPr="001A2B7E">
        <w:rPr>
          <w:sz w:val="24"/>
          <w:lang w:val="en-GB"/>
        </w:rPr>
        <w:t xml:space="preserve"> the</w:t>
      </w:r>
      <w:r w:rsidR="001A2B7E">
        <w:rPr>
          <w:sz w:val="24"/>
          <w:lang w:val="en-GB"/>
        </w:rPr>
        <w:t>ir</w:t>
      </w:r>
      <w:r w:rsidR="001A2B7E" w:rsidRPr="001A2B7E">
        <w:rPr>
          <w:sz w:val="24"/>
          <w:lang w:val="en-GB"/>
        </w:rPr>
        <w:t xml:space="preserve"> independence must be respected</w:t>
      </w:r>
      <w:r w:rsidR="00FF271B" w:rsidRPr="00314A8D">
        <w:rPr>
          <w:sz w:val="24"/>
          <w:lang w:val="en-GB"/>
        </w:rPr>
        <w:t>.</w:t>
      </w:r>
      <w:r w:rsidR="009C721E">
        <w:rPr>
          <w:sz w:val="24"/>
          <w:lang w:val="en-GB"/>
        </w:rPr>
        <w:t xml:space="preserve"> </w:t>
      </w:r>
      <w:r w:rsidRPr="009C721E">
        <w:rPr>
          <w:sz w:val="24"/>
          <w:lang w:val="en-GB"/>
        </w:rPr>
        <w:t xml:space="preserve">Moreover, in such cases, despite allegations for constitutional violations of fundamental rights and freedoms as a result of divergences in the case law, the applicants must present to the Court the relevant arguments regarding the factual and legal similarity of the cases which as alleged by them have been resolved differently by the regular courts, resulting in conflicting decisions in the case law and which may have resulted in a violation of their constitutional rights and freedoms guaranteed by Article 31 of the Constitution in conjunction with Article 6 of the ECHR.(see the case cited above KI35/18, Applicant </w:t>
      </w:r>
      <w:proofErr w:type="spellStart"/>
      <w:r w:rsidRPr="009C721E">
        <w:rPr>
          <w:i/>
          <w:sz w:val="24"/>
          <w:lang w:val="en-GB"/>
        </w:rPr>
        <w:t>BayerischeVersicherungsverbrand</w:t>
      </w:r>
      <w:proofErr w:type="spellEnd"/>
      <w:r w:rsidRPr="009C721E">
        <w:rPr>
          <w:sz w:val="24"/>
          <w:lang w:val="en-GB"/>
        </w:rPr>
        <w:t>, paragraph 76).</w:t>
      </w:r>
    </w:p>
    <w:p w:rsidR="00A15D79" w:rsidRPr="00A15D79" w:rsidRDefault="00A15D79" w:rsidP="00A06B9C">
      <w:pPr>
        <w:spacing w:line="240" w:lineRule="auto"/>
        <w:rPr>
          <w:sz w:val="24"/>
          <w:lang w:val="en-GB"/>
        </w:rPr>
      </w:pPr>
    </w:p>
    <w:p w:rsidR="00D229BF" w:rsidRPr="00314A8D" w:rsidRDefault="00A15D79" w:rsidP="00A06B9C">
      <w:pPr>
        <w:pStyle w:val="ListParagraph"/>
        <w:numPr>
          <w:ilvl w:val="0"/>
          <w:numId w:val="63"/>
        </w:numPr>
        <w:autoSpaceDE w:val="0"/>
        <w:autoSpaceDN w:val="0"/>
        <w:adjustRightInd w:val="0"/>
        <w:spacing w:line="240" w:lineRule="auto"/>
        <w:ind w:left="634" w:hanging="634"/>
        <w:rPr>
          <w:sz w:val="24"/>
          <w:lang w:val="en-GB"/>
        </w:rPr>
      </w:pPr>
      <w:r w:rsidRPr="00A15D79">
        <w:rPr>
          <w:sz w:val="24"/>
          <w:lang w:val="en-GB"/>
        </w:rPr>
        <w:t xml:space="preserve">In the circumstances of the present case, the Court recalls that the Applicant alleges that in his case, the Court of Appeals </w:t>
      </w:r>
      <w:r>
        <w:rPr>
          <w:sz w:val="24"/>
          <w:lang w:val="en-GB"/>
        </w:rPr>
        <w:t>has decided differently as regards the right to subrogation</w:t>
      </w:r>
      <w:r w:rsidRPr="00A15D79">
        <w:rPr>
          <w:sz w:val="24"/>
          <w:lang w:val="en-GB"/>
        </w:rPr>
        <w:t>,</w:t>
      </w:r>
      <w:r>
        <w:rPr>
          <w:sz w:val="24"/>
          <w:lang w:val="en-GB"/>
        </w:rPr>
        <w:t xml:space="preserve"> thus</w:t>
      </w:r>
      <w:r w:rsidRPr="00A15D79">
        <w:rPr>
          <w:sz w:val="24"/>
          <w:lang w:val="en-GB"/>
        </w:rPr>
        <w:t xml:space="preserve"> acting contrary to its case law and th</w:t>
      </w:r>
      <w:r>
        <w:rPr>
          <w:sz w:val="24"/>
          <w:lang w:val="en-GB"/>
        </w:rPr>
        <w:t>e case law</w:t>
      </w:r>
      <w:r w:rsidRPr="00A15D79">
        <w:rPr>
          <w:sz w:val="24"/>
          <w:lang w:val="en-GB"/>
        </w:rPr>
        <w:t xml:space="preserve"> of the Supreme Court. In support of his </w:t>
      </w:r>
      <w:r>
        <w:rPr>
          <w:sz w:val="24"/>
          <w:lang w:val="en-GB"/>
        </w:rPr>
        <w:t>allegation</w:t>
      </w:r>
      <w:r w:rsidRPr="00A15D79">
        <w:rPr>
          <w:sz w:val="24"/>
          <w:lang w:val="en-GB"/>
        </w:rPr>
        <w:t xml:space="preserve">, he refers to six (6) other cases of the Court of Appeals and the Supreme Court as follows: </w:t>
      </w:r>
      <w:r>
        <w:rPr>
          <w:sz w:val="24"/>
          <w:lang w:val="en-GB"/>
        </w:rPr>
        <w:t>Decision</w:t>
      </w:r>
      <w:r w:rsidRPr="00A15D79">
        <w:rPr>
          <w:sz w:val="24"/>
          <w:lang w:val="en-GB"/>
        </w:rPr>
        <w:t xml:space="preserve"> of the Supreme Court, Rev. N</w:t>
      </w:r>
      <w:r>
        <w:rPr>
          <w:sz w:val="24"/>
          <w:lang w:val="en-GB"/>
        </w:rPr>
        <w:t>o</w:t>
      </w:r>
      <w:r w:rsidRPr="00A15D79">
        <w:rPr>
          <w:sz w:val="24"/>
          <w:lang w:val="en-GB"/>
        </w:rPr>
        <w:t>. 14/2015</w:t>
      </w:r>
      <w:proofErr w:type="gramStart"/>
      <w:r w:rsidRPr="00A15D79">
        <w:rPr>
          <w:sz w:val="24"/>
          <w:lang w:val="en-GB"/>
        </w:rPr>
        <w:t>,</w:t>
      </w:r>
      <w:r>
        <w:rPr>
          <w:sz w:val="24"/>
          <w:lang w:val="en-GB"/>
        </w:rPr>
        <w:t>of</w:t>
      </w:r>
      <w:proofErr w:type="gramEnd"/>
      <w:r>
        <w:rPr>
          <w:sz w:val="24"/>
          <w:lang w:val="en-GB"/>
        </w:rPr>
        <w:t xml:space="preserve"> </w:t>
      </w:r>
      <w:r w:rsidRPr="00A15D79">
        <w:rPr>
          <w:sz w:val="24"/>
          <w:lang w:val="en-GB"/>
        </w:rPr>
        <w:t xml:space="preserve"> 14 May 2015; Judgment of the Court of Appeals, Ae. N</w:t>
      </w:r>
      <w:r>
        <w:rPr>
          <w:sz w:val="24"/>
          <w:lang w:val="en-GB"/>
        </w:rPr>
        <w:t>o</w:t>
      </w:r>
      <w:r w:rsidRPr="00A15D79">
        <w:rPr>
          <w:sz w:val="24"/>
          <w:lang w:val="en-GB"/>
        </w:rPr>
        <w:t xml:space="preserve">. 84/2019, </w:t>
      </w:r>
      <w:r>
        <w:rPr>
          <w:sz w:val="24"/>
          <w:lang w:val="en-GB"/>
        </w:rPr>
        <w:t xml:space="preserve">of </w:t>
      </w:r>
      <w:r w:rsidRPr="00A15D79">
        <w:rPr>
          <w:sz w:val="24"/>
          <w:lang w:val="en-GB"/>
        </w:rPr>
        <w:t>28 January 2019; Judgment of the Court of Appeals, Ae. N</w:t>
      </w:r>
      <w:r>
        <w:rPr>
          <w:sz w:val="24"/>
          <w:lang w:val="en-GB"/>
        </w:rPr>
        <w:t>o</w:t>
      </w:r>
      <w:r w:rsidRPr="00A15D79">
        <w:rPr>
          <w:sz w:val="24"/>
          <w:lang w:val="en-GB"/>
        </w:rPr>
        <w:t>. 3/2017,</w:t>
      </w:r>
      <w:r>
        <w:rPr>
          <w:sz w:val="24"/>
          <w:lang w:val="en-GB"/>
        </w:rPr>
        <w:t xml:space="preserve"> of</w:t>
      </w:r>
      <w:r w:rsidRPr="00A15D79">
        <w:rPr>
          <w:sz w:val="24"/>
          <w:lang w:val="en-GB"/>
        </w:rPr>
        <w:t xml:space="preserve"> 28 December 2018; Judgment of the Court of Appeals, Ae. N</w:t>
      </w:r>
      <w:r>
        <w:rPr>
          <w:sz w:val="24"/>
          <w:lang w:val="en-GB"/>
        </w:rPr>
        <w:t>o</w:t>
      </w:r>
      <w:r w:rsidRPr="00A15D79">
        <w:rPr>
          <w:sz w:val="24"/>
          <w:lang w:val="en-GB"/>
        </w:rPr>
        <w:t xml:space="preserve">. 298/2016 of 26 February 2018; </w:t>
      </w:r>
      <w:r w:rsidR="00D552CE">
        <w:rPr>
          <w:sz w:val="24"/>
          <w:lang w:val="en-GB"/>
        </w:rPr>
        <w:t>J</w:t>
      </w:r>
      <w:r w:rsidRPr="00A15D79">
        <w:rPr>
          <w:sz w:val="24"/>
          <w:lang w:val="en-GB"/>
        </w:rPr>
        <w:t>udgment of the Supreme Court, E. Rev. no. 4/2018, of 17 May 2018 and the Judgment of the Supreme Court, E. Rev. no. 27/2018, of 24 January 2018</w:t>
      </w:r>
      <w:r w:rsidR="00FF271B" w:rsidRPr="00314A8D">
        <w:rPr>
          <w:sz w:val="24"/>
          <w:lang w:val="en-GB"/>
        </w:rPr>
        <w:t>.</w:t>
      </w:r>
    </w:p>
    <w:p w:rsidR="00D229BF" w:rsidRPr="00314A8D" w:rsidRDefault="00D229BF" w:rsidP="00A06B9C">
      <w:pPr>
        <w:pStyle w:val="ListParagraph"/>
        <w:spacing w:line="240" w:lineRule="auto"/>
        <w:rPr>
          <w:rFonts w:cs="TimesNewRomanPSMT"/>
          <w:sz w:val="24"/>
          <w:lang w:val="en-GB"/>
        </w:rPr>
      </w:pPr>
    </w:p>
    <w:p w:rsidR="00D229BF" w:rsidRPr="00314A8D" w:rsidRDefault="003F36E8" w:rsidP="00A06B9C">
      <w:pPr>
        <w:pStyle w:val="ListParagraph"/>
        <w:numPr>
          <w:ilvl w:val="0"/>
          <w:numId w:val="63"/>
        </w:numPr>
        <w:autoSpaceDE w:val="0"/>
        <w:autoSpaceDN w:val="0"/>
        <w:adjustRightInd w:val="0"/>
        <w:spacing w:line="240" w:lineRule="auto"/>
        <w:ind w:left="634" w:hanging="634"/>
        <w:rPr>
          <w:i/>
          <w:sz w:val="24"/>
          <w:lang w:val="en-GB"/>
        </w:rPr>
      </w:pPr>
      <w:r>
        <w:rPr>
          <w:rFonts w:cs="TimesNewRomanPSMT"/>
          <w:sz w:val="24"/>
          <w:lang w:val="en-GB"/>
        </w:rPr>
        <w:t>With regard</w:t>
      </w:r>
      <w:r w:rsidRPr="003F36E8">
        <w:rPr>
          <w:rFonts w:cs="TimesNewRomanPSMT"/>
          <w:sz w:val="24"/>
          <w:lang w:val="en-GB"/>
        </w:rPr>
        <w:t xml:space="preserve"> the above-mentioned decisions of the Court of Appeals [Ae. N</w:t>
      </w:r>
      <w:r>
        <w:rPr>
          <w:rFonts w:cs="TimesNewRomanPSMT"/>
          <w:sz w:val="24"/>
          <w:lang w:val="en-GB"/>
        </w:rPr>
        <w:t>o</w:t>
      </w:r>
      <w:r w:rsidRPr="003F36E8">
        <w:rPr>
          <w:rFonts w:cs="TimesNewRomanPSMT"/>
          <w:sz w:val="24"/>
          <w:lang w:val="en-GB"/>
        </w:rPr>
        <w:t>. 84/2019] of 28 January 2019 and [Ae. N</w:t>
      </w:r>
      <w:r>
        <w:rPr>
          <w:rFonts w:cs="TimesNewRomanPSMT"/>
          <w:sz w:val="24"/>
          <w:lang w:val="en-GB"/>
        </w:rPr>
        <w:t>o</w:t>
      </w:r>
      <w:r w:rsidRPr="003F36E8">
        <w:rPr>
          <w:rFonts w:cs="TimesNewRomanPSMT"/>
          <w:sz w:val="24"/>
          <w:lang w:val="en-GB"/>
        </w:rPr>
        <w:t xml:space="preserve">. 3/2017] of 28 December 2018] and that of the Supreme </w:t>
      </w:r>
      <w:r>
        <w:rPr>
          <w:rFonts w:cs="TimesNewRomanPSMT"/>
          <w:sz w:val="24"/>
          <w:lang w:val="en-GB"/>
        </w:rPr>
        <w:t xml:space="preserve">Court </w:t>
      </w:r>
      <w:r w:rsidRPr="003F36E8">
        <w:rPr>
          <w:rFonts w:cs="TimesNewRomanPSMT"/>
          <w:sz w:val="24"/>
          <w:lang w:val="en-GB"/>
        </w:rPr>
        <w:t xml:space="preserve">[E. Rev. no. 27/2018] of 24 January 2018, the Court notes that these decisions specifically </w:t>
      </w:r>
      <w:r>
        <w:rPr>
          <w:rFonts w:cs="TimesNewRomanPSMT"/>
          <w:sz w:val="24"/>
          <w:lang w:val="en-GB"/>
        </w:rPr>
        <w:t>refer to</w:t>
      </w:r>
      <w:r w:rsidRPr="003F36E8">
        <w:rPr>
          <w:rFonts w:cs="TimesNewRomanPSMT"/>
          <w:sz w:val="24"/>
          <w:lang w:val="en-GB"/>
        </w:rPr>
        <w:t xml:space="preserve"> the issue of the application of provisions governing the amount of </w:t>
      </w:r>
      <w:r>
        <w:rPr>
          <w:rFonts w:cs="TimesNewRomanPSMT"/>
          <w:sz w:val="24"/>
          <w:lang w:val="en-GB"/>
        </w:rPr>
        <w:t>late payments</w:t>
      </w:r>
      <w:r w:rsidR="00937F7A">
        <w:rPr>
          <w:rFonts w:cs="TimesNewRomanPSMT"/>
          <w:sz w:val="24"/>
          <w:lang w:val="en-GB"/>
        </w:rPr>
        <w:t>(interest)</w:t>
      </w:r>
      <w:r w:rsidRPr="003F36E8">
        <w:rPr>
          <w:rFonts w:cs="TimesNewRomanPSMT"/>
          <w:sz w:val="24"/>
          <w:lang w:val="en-GB"/>
        </w:rPr>
        <w:t xml:space="preserve">  in the context of compulsory motor liability insurance. Subsequently, the Court notes that in these three decisions, the Court of Appeals and the Supreme Court </w:t>
      </w:r>
      <w:r>
        <w:rPr>
          <w:rFonts w:cs="TimesNewRomanPSMT"/>
          <w:sz w:val="24"/>
          <w:lang w:val="en-GB"/>
        </w:rPr>
        <w:t>had</w:t>
      </w:r>
      <w:r w:rsidRPr="003F36E8">
        <w:rPr>
          <w:rFonts w:cs="TimesNewRomanPSMT"/>
          <w:sz w:val="24"/>
          <w:lang w:val="en-GB"/>
        </w:rPr>
        <w:t xml:space="preserve"> applied</w:t>
      </w:r>
      <w:r>
        <w:rPr>
          <w:rFonts w:cs="TimesNewRomanPSMT"/>
          <w:sz w:val="24"/>
          <w:lang w:val="en-GB"/>
        </w:rPr>
        <w:t xml:space="preserve"> also</w:t>
      </w:r>
      <w:r w:rsidRPr="003F36E8">
        <w:rPr>
          <w:rFonts w:cs="TimesNewRomanPSMT"/>
          <w:sz w:val="24"/>
          <w:lang w:val="en-GB"/>
        </w:rPr>
        <w:t xml:space="preserve"> the provisions of the L</w:t>
      </w:r>
      <w:r>
        <w:rPr>
          <w:rFonts w:cs="TimesNewRomanPSMT"/>
          <w:sz w:val="24"/>
          <w:lang w:val="en-GB"/>
        </w:rPr>
        <w:t>OR</w:t>
      </w:r>
      <w:r w:rsidRPr="003F36E8">
        <w:rPr>
          <w:rFonts w:cs="TimesNewRomanPSMT"/>
          <w:sz w:val="24"/>
          <w:lang w:val="en-GB"/>
        </w:rPr>
        <w:t>, respectively Article 939, which refers to the right to subrogation. However, the Court considers that these three (3) decisions, submitted by the Applicant, which</w:t>
      </w:r>
      <w:r>
        <w:rPr>
          <w:rFonts w:cs="TimesNewRomanPSMT"/>
          <w:sz w:val="24"/>
          <w:lang w:val="en-GB"/>
        </w:rPr>
        <w:t xml:space="preserve"> in their essence</w:t>
      </w:r>
      <w:r w:rsidRPr="003F36E8">
        <w:rPr>
          <w:rFonts w:cs="TimesNewRomanPSMT"/>
          <w:sz w:val="24"/>
          <w:lang w:val="en-GB"/>
        </w:rPr>
        <w:t xml:space="preserve"> </w:t>
      </w:r>
      <w:r>
        <w:rPr>
          <w:rFonts w:cs="TimesNewRomanPSMT"/>
          <w:sz w:val="24"/>
          <w:lang w:val="en-GB"/>
        </w:rPr>
        <w:t>address the issue of determination of the late payment</w:t>
      </w:r>
      <w:r w:rsidRPr="003F36E8">
        <w:rPr>
          <w:rFonts w:cs="TimesNewRomanPSMT"/>
          <w:sz w:val="24"/>
          <w:lang w:val="en-GB"/>
        </w:rPr>
        <w:t xml:space="preserve"> </w:t>
      </w:r>
      <w:r>
        <w:rPr>
          <w:rFonts w:cs="TimesNewRomanPSMT"/>
          <w:sz w:val="24"/>
          <w:lang w:val="en-GB"/>
        </w:rPr>
        <w:t>and</w:t>
      </w:r>
      <w:r w:rsidRPr="003F36E8">
        <w:rPr>
          <w:rFonts w:cs="TimesNewRomanPSMT"/>
          <w:sz w:val="24"/>
          <w:lang w:val="en-GB"/>
        </w:rPr>
        <w:t xml:space="preserve"> do not contain factual and procedural similarities, </w:t>
      </w:r>
      <w:r>
        <w:rPr>
          <w:rFonts w:cs="TimesNewRomanPSMT"/>
          <w:sz w:val="24"/>
          <w:lang w:val="en-GB"/>
        </w:rPr>
        <w:t>with</w:t>
      </w:r>
      <w:r w:rsidRPr="003F36E8">
        <w:rPr>
          <w:rFonts w:cs="TimesNewRomanPSMT"/>
          <w:sz w:val="24"/>
          <w:lang w:val="en-GB"/>
        </w:rPr>
        <w:t xml:space="preserve"> the Applicant</w:t>
      </w:r>
      <w:r>
        <w:rPr>
          <w:rFonts w:cs="TimesNewRomanPSMT"/>
          <w:sz w:val="24"/>
          <w:lang w:val="en-GB"/>
        </w:rPr>
        <w:t>’s case</w:t>
      </w:r>
      <w:r w:rsidRPr="003F36E8">
        <w:rPr>
          <w:rFonts w:cs="TimesNewRomanPSMT"/>
          <w:sz w:val="24"/>
          <w:lang w:val="en-GB"/>
        </w:rPr>
        <w:t>.</w:t>
      </w:r>
    </w:p>
    <w:p w:rsidR="00D229BF" w:rsidRPr="00314A8D" w:rsidRDefault="00D229BF" w:rsidP="00A06B9C">
      <w:pPr>
        <w:pStyle w:val="ListParagraph"/>
        <w:spacing w:line="240" w:lineRule="auto"/>
        <w:rPr>
          <w:rFonts w:cs="TimesNewRomanPSMT"/>
          <w:sz w:val="24"/>
          <w:lang w:val="en-GB"/>
        </w:rPr>
      </w:pPr>
    </w:p>
    <w:p w:rsidR="00D229BF" w:rsidRPr="00314A8D" w:rsidRDefault="00A8125B" w:rsidP="00A06B9C">
      <w:pPr>
        <w:pStyle w:val="ListParagraph"/>
        <w:numPr>
          <w:ilvl w:val="0"/>
          <w:numId w:val="63"/>
        </w:numPr>
        <w:autoSpaceDE w:val="0"/>
        <w:autoSpaceDN w:val="0"/>
        <w:adjustRightInd w:val="0"/>
        <w:spacing w:line="240" w:lineRule="auto"/>
        <w:ind w:left="634" w:hanging="634"/>
        <w:rPr>
          <w:sz w:val="24"/>
          <w:lang w:val="en-GB"/>
        </w:rPr>
      </w:pPr>
      <w:r w:rsidRPr="00A8125B">
        <w:rPr>
          <w:sz w:val="24"/>
          <w:lang w:val="en-GB"/>
        </w:rPr>
        <w:t xml:space="preserve">While the following three decisions, which the Court will </w:t>
      </w:r>
      <w:r>
        <w:rPr>
          <w:sz w:val="24"/>
          <w:lang w:val="en-GB"/>
        </w:rPr>
        <w:t>s</w:t>
      </w:r>
      <w:r w:rsidRPr="00A8125B">
        <w:rPr>
          <w:sz w:val="24"/>
          <w:lang w:val="en-GB"/>
        </w:rPr>
        <w:t>ummarize briefly, respectively the Decisions of the Supreme Court [Rev. N</w:t>
      </w:r>
      <w:r>
        <w:rPr>
          <w:sz w:val="24"/>
          <w:lang w:val="en-GB"/>
        </w:rPr>
        <w:t>o</w:t>
      </w:r>
      <w:r w:rsidRPr="00A8125B">
        <w:rPr>
          <w:sz w:val="24"/>
          <w:lang w:val="en-GB"/>
        </w:rPr>
        <w:t xml:space="preserve">. 14/2015] of 14 May 2015 </w:t>
      </w:r>
      <w:r w:rsidRPr="00A8125B">
        <w:rPr>
          <w:sz w:val="24"/>
          <w:lang w:val="en-GB"/>
        </w:rPr>
        <w:lastRenderedPageBreak/>
        <w:t xml:space="preserve">and [E. Rev. no. 4/2018] of 17 May 2018 and </w:t>
      </w:r>
      <w:r>
        <w:rPr>
          <w:sz w:val="24"/>
          <w:lang w:val="en-GB"/>
        </w:rPr>
        <w:t xml:space="preserve">the </w:t>
      </w:r>
      <w:r w:rsidRPr="00A8125B">
        <w:rPr>
          <w:sz w:val="24"/>
          <w:lang w:val="en-GB"/>
        </w:rPr>
        <w:t>Judgment of the Court of Appeals [Ae. N</w:t>
      </w:r>
      <w:r>
        <w:rPr>
          <w:sz w:val="24"/>
          <w:lang w:val="en-GB"/>
        </w:rPr>
        <w:t>o</w:t>
      </w:r>
      <w:r w:rsidRPr="00A8125B">
        <w:rPr>
          <w:sz w:val="24"/>
          <w:lang w:val="en-GB"/>
        </w:rPr>
        <w:t xml:space="preserve">. 298/2016] of 26 February 2018 refer to the issue of the </w:t>
      </w:r>
      <w:r>
        <w:rPr>
          <w:sz w:val="24"/>
          <w:lang w:val="en-GB"/>
        </w:rPr>
        <w:t>assessment</w:t>
      </w:r>
      <w:r w:rsidRPr="00A8125B">
        <w:rPr>
          <w:sz w:val="24"/>
          <w:lang w:val="en-GB"/>
        </w:rPr>
        <w:t xml:space="preserve"> of the Supreme Court and the Court of Appeals </w:t>
      </w:r>
      <w:r>
        <w:rPr>
          <w:sz w:val="24"/>
          <w:lang w:val="en-GB"/>
        </w:rPr>
        <w:t>concerning</w:t>
      </w:r>
      <w:r w:rsidRPr="00A8125B">
        <w:rPr>
          <w:sz w:val="24"/>
          <w:lang w:val="en-GB"/>
        </w:rPr>
        <w:t xml:space="preserve"> the effects of</w:t>
      </w:r>
      <w:r>
        <w:rPr>
          <w:sz w:val="24"/>
          <w:lang w:val="en-GB"/>
        </w:rPr>
        <w:t xml:space="preserve"> extrajudicial agreements</w:t>
      </w:r>
      <w:r w:rsidRPr="00A8125B">
        <w:rPr>
          <w:sz w:val="24"/>
          <w:lang w:val="en-GB"/>
        </w:rPr>
        <w:t xml:space="preserve"> for third parties, respectively the insurance companies that</w:t>
      </w:r>
      <w:r>
        <w:rPr>
          <w:sz w:val="24"/>
          <w:lang w:val="en-GB"/>
        </w:rPr>
        <w:t xml:space="preserve"> have </w:t>
      </w:r>
      <w:r w:rsidR="00151FF2">
        <w:rPr>
          <w:sz w:val="24"/>
          <w:lang w:val="en-GB"/>
        </w:rPr>
        <w:t>reimbursed</w:t>
      </w:r>
      <w:r w:rsidRPr="00A8125B">
        <w:rPr>
          <w:sz w:val="24"/>
          <w:lang w:val="en-GB"/>
        </w:rPr>
        <w:t xml:space="preserve"> their insured</w:t>
      </w:r>
      <w:r>
        <w:rPr>
          <w:sz w:val="24"/>
          <w:lang w:val="en-GB"/>
        </w:rPr>
        <w:t xml:space="preserve"> persons</w:t>
      </w:r>
      <w:r w:rsidRPr="00A8125B">
        <w:rPr>
          <w:sz w:val="24"/>
          <w:lang w:val="en-GB"/>
        </w:rPr>
        <w:t xml:space="preserve"> for the damage </w:t>
      </w:r>
      <w:r>
        <w:rPr>
          <w:sz w:val="24"/>
          <w:lang w:val="en-GB"/>
        </w:rPr>
        <w:t>caused</w:t>
      </w:r>
      <w:r w:rsidRPr="00A8125B">
        <w:rPr>
          <w:sz w:val="24"/>
          <w:lang w:val="en-GB"/>
        </w:rPr>
        <w:t xml:space="preserve"> by accidents and consequently they </w:t>
      </w:r>
      <w:r w:rsidR="00F62360">
        <w:rPr>
          <w:sz w:val="24"/>
          <w:lang w:val="en-GB"/>
        </w:rPr>
        <w:t>have</w:t>
      </w:r>
      <w:r w:rsidRPr="00A8125B">
        <w:rPr>
          <w:sz w:val="24"/>
          <w:lang w:val="en-GB"/>
        </w:rPr>
        <w:t xml:space="preserve"> not even </w:t>
      </w:r>
      <w:r w:rsidR="00F62360">
        <w:rPr>
          <w:sz w:val="24"/>
          <w:lang w:val="en-GB"/>
        </w:rPr>
        <w:t xml:space="preserve">been a </w:t>
      </w:r>
      <w:r w:rsidRPr="00A8125B">
        <w:rPr>
          <w:sz w:val="24"/>
          <w:lang w:val="en-GB"/>
        </w:rPr>
        <w:t>part of these extrajudicial agreements</w:t>
      </w:r>
      <w:r w:rsidR="00FF271B" w:rsidRPr="00314A8D">
        <w:rPr>
          <w:sz w:val="24"/>
          <w:lang w:val="en-GB"/>
        </w:rPr>
        <w:t>.</w:t>
      </w:r>
    </w:p>
    <w:p w:rsidR="00D229BF" w:rsidRPr="00314A8D" w:rsidRDefault="00D229BF" w:rsidP="00A06B9C">
      <w:pPr>
        <w:pStyle w:val="ListParagraph"/>
        <w:spacing w:line="240" w:lineRule="auto"/>
        <w:rPr>
          <w:sz w:val="24"/>
          <w:lang w:val="en-GB"/>
        </w:rPr>
      </w:pPr>
    </w:p>
    <w:p w:rsidR="00D229BF" w:rsidRPr="00314A8D" w:rsidRDefault="00E97FB8" w:rsidP="00A06B9C">
      <w:pPr>
        <w:pStyle w:val="ListParagraph"/>
        <w:numPr>
          <w:ilvl w:val="0"/>
          <w:numId w:val="81"/>
        </w:numPr>
        <w:spacing w:line="240" w:lineRule="auto"/>
        <w:rPr>
          <w:i/>
          <w:sz w:val="24"/>
          <w:lang w:val="en-GB"/>
        </w:rPr>
      </w:pPr>
      <w:r>
        <w:rPr>
          <w:i/>
          <w:sz w:val="24"/>
          <w:lang w:val="en-GB"/>
        </w:rPr>
        <w:t>Decision of the Supreme Court</w:t>
      </w:r>
      <w:r w:rsidR="00FF271B" w:rsidRPr="00314A8D">
        <w:rPr>
          <w:i/>
          <w:sz w:val="24"/>
          <w:lang w:val="en-GB"/>
        </w:rPr>
        <w:t>, Rev. N</w:t>
      </w:r>
      <w:r>
        <w:rPr>
          <w:i/>
          <w:sz w:val="24"/>
          <w:lang w:val="en-GB"/>
        </w:rPr>
        <w:t>o</w:t>
      </w:r>
      <w:r w:rsidR="00FF271B" w:rsidRPr="00314A8D">
        <w:rPr>
          <w:i/>
          <w:sz w:val="24"/>
          <w:lang w:val="en-GB"/>
        </w:rPr>
        <w:t xml:space="preserve">. 14/2015, </w:t>
      </w:r>
      <w:r>
        <w:rPr>
          <w:i/>
          <w:sz w:val="24"/>
          <w:lang w:val="en-GB"/>
        </w:rPr>
        <w:t>of</w:t>
      </w:r>
      <w:r w:rsidR="00FF271B" w:rsidRPr="00314A8D">
        <w:rPr>
          <w:i/>
          <w:sz w:val="24"/>
          <w:lang w:val="en-GB"/>
        </w:rPr>
        <w:t xml:space="preserve"> 14 </w:t>
      </w:r>
      <w:r>
        <w:rPr>
          <w:i/>
          <w:sz w:val="24"/>
          <w:lang w:val="en-GB"/>
        </w:rPr>
        <w:t xml:space="preserve">May </w:t>
      </w:r>
      <w:r w:rsidR="00FF271B" w:rsidRPr="00314A8D">
        <w:rPr>
          <w:i/>
          <w:sz w:val="24"/>
          <w:lang w:val="en-GB"/>
        </w:rPr>
        <w:t xml:space="preserve"> 2015</w:t>
      </w:r>
    </w:p>
    <w:p w:rsidR="00D229BF" w:rsidRPr="00314A8D" w:rsidRDefault="00D229BF" w:rsidP="00A06B9C">
      <w:pPr>
        <w:pStyle w:val="ListParagraph"/>
        <w:spacing w:line="240" w:lineRule="auto"/>
        <w:rPr>
          <w:sz w:val="24"/>
          <w:lang w:val="en-GB"/>
        </w:rPr>
      </w:pPr>
    </w:p>
    <w:p w:rsidR="00D229BF" w:rsidRPr="00314A8D" w:rsidRDefault="00B724ED" w:rsidP="00A06B9C">
      <w:pPr>
        <w:pStyle w:val="ListParagraph"/>
        <w:numPr>
          <w:ilvl w:val="0"/>
          <w:numId w:val="63"/>
        </w:numPr>
        <w:autoSpaceDE w:val="0"/>
        <w:autoSpaceDN w:val="0"/>
        <w:adjustRightInd w:val="0"/>
        <w:spacing w:line="240" w:lineRule="auto"/>
        <w:ind w:left="634" w:hanging="634"/>
        <w:rPr>
          <w:sz w:val="24"/>
          <w:lang w:val="en-GB"/>
        </w:rPr>
      </w:pPr>
      <w:r>
        <w:rPr>
          <w:sz w:val="24"/>
          <w:lang w:val="en-GB"/>
        </w:rPr>
        <w:t>T</w:t>
      </w:r>
      <w:r w:rsidRPr="00B724ED">
        <w:rPr>
          <w:sz w:val="24"/>
          <w:lang w:val="en-GB"/>
        </w:rPr>
        <w:t xml:space="preserve">he Supreme Court </w:t>
      </w:r>
      <w:r>
        <w:rPr>
          <w:sz w:val="24"/>
          <w:lang w:val="en-GB"/>
        </w:rPr>
        <w:t>by</w:t>
      </w:r>
      <w:r w:rsidRPr="00B724ED">
        <w:rPr>
          <w:sz w:val="24"/>
          <w:lang w:val="en-GB"/>
        </w:rPr>
        <w:t xml:space="preserve"> this Judgment </w:t>
      </w:r>
      <w:proofErr w:type="spellStart"/>
      <w:r>
        <w:rPr>
          <w:sz w:val="24"/>
          <w:lang w:val="en-GB"/>
        </w:rPr>
        <w:t>apprved</w:t>
      </w:r>
      <w:proofErr w:type="spellEnd"/>
      <w:r w:rsidRPr="00B724ED">
        <w:rPr>
          <w:sz w:val="24"/>
          <w:lang w:val="en-GB"/>
        </w:rPr>
        <w:t xml:space="preserve"> the </w:t>
      </w:r>
      <w:r>
        <w:rPr>
          <w:sz w:val="24"/>
          <w:lang w:val="en-GB"/>
        </w:rPr>
        <w:t xml:space="preserve">revision </w:t>
      </w:r>
      <w:r w:rsidRPr="00B724ED">
        <w:rPr>
          <w:sz w:val="24"/>
          <w:lang w:val="en-GB"/>
        </w:rPr>
        <w:t xml:space="preserve">of the </w:t>
      </w:r>
      <w:r>
        <w:rPr>
          <w:sz w:val="24"/>
          <w:lang w:val="en-GB"/>
        </w:rPr>
        <w:t>claimant</w:t>
      </w:r>
      <w:r w:rsidRPr="00B724ED">
        <w:rPr>
          <w:sz w:val="24"/>
          <w:lang w:val="en-GB"/>
        </w:rPr>
        <w:t xml:space="preserve"> [Suva </w:t>
      </w:r>
      <w:proofErr w:type="spellStart"/>
      <w:r w:rsidRPr="00B724ED">
        <w:rPr>
          <w:sz w:val="24"/>
          <w:lang w:val="en-GB"/>
        </w:rPr>
        <w:t>Wetzikon</w:t>
      </w:r>
      <w:proofErr w:type="spellEnd"/>
      <w:r w:rsidRPr="00B724ED">
        <w:rPr>
          <w:sz w:val="24"/>
          <w:lang w:val="en-GB"/>
        </w:rPr>
        <w:t>] and re</w:t>
      </w:r>
      <w:r>
        <w:rPr>
          <w:sz w:val="24"/>
          <w:lang w:val="en-GB"/>
        </w:rPr>
        <w:t>manded</w:t>
      </w:r>
      <w:r w:rsidRPr="00B724ED">
        <w:rPr>
          <w:sz w:val="24"/>
          <w:lang w:val="en-GB"/>
        </w:rPr>
        <w:t xml:space="preserve"> the case for retrial. The </w:t>
      </w:r>
      <w:r>
        <w:rPr>
          <w:sz w:val="24"/>
          <w:lang w:val="en-GB"/>
        </w:rPr>
        <w:t>claimant</w:t>
      </w:r>
      <w:r w:rsidRPr="00B724ED">
        <w:rPr>
          <w:sz w:val="24"/>
          <w:lang w:val="en-GB"/>
        </w:rPr>
        <w:t>'s</w:t>
      </w:r>
      <w:r>
        <w:rPr>
          <w:sz w:val="24"/>
          <w:lang w:val="en-GB"/>
        </w:rPr>
        <w:t xml:space="preserve"> insured person</w:t>
      </w:r>
      <w:r w:rsidRPr="00B724ED">
        <w:rPr>
          <w:sz w:val="24"/>
          <w:lang w:val="en-GB"/>
        </w:rPr>
        <w:t xml:space="preserve">, in the capacity of the victim, had </w:t>
      </w:r>
      <w:r>
        <w:rPr>
          <w:sz w:val="24"/>
          <w:lang w:val="en-GB"/>
        </w:rPr>
        <w:t>concluded an extrajudicial settlement</w:t>
      </w:r>
      <w:r w:rsidRPr="00B724ED">
        <w:rPr>
          <w:sz w:val="24"/>
          <w:lang w:val="en-GB"/>
        </w:rPr>
        <w:t xml:space="preserve"> with the Guarantee Fund, which represented the person who had caused the accident with the vehicle. The Basic Court and the Court of Appeals had rejected the </w:t>
      </w:r>
      <w:r>
        <w:rPr>
          <w:sz w:val="24"/>
          <w:lang w:val="en-GB"/>
        </w:rPr>
        <w:t>claimant</w:t>
      </w:r>
      <w:r w:rsidRPr="00B724ED">
        <w:rPr>
          <w:sz w:val="24"/>
          <w:lang w:val="en-GB"/>
        </w:rPr>
        <w:t xml:space="preserve">'s </w:t>
      </w:r>
      <w:r>
        <w:rPr>
          <w:sz w:val="24"/>
          <w:lang w:val="en-GB"/>
        </w:rPr>
        <w:t xml:space="preserve">statement of </w:t>
      </w:r>
      <w:r w:rsidRPr="00B724ED">
        <w:rPr>
          <w:sz w:val="24"/>
          <w:lang w:val="en-GB"/>
        </w:rPr>
        <w:t>claim for compensation of a certain amount, in the name of medical treatment and payment due to incapacity for work as a result of the accident.</w:t>
      </w:r>
    </w:p>
    <w:p w:rsidR="00D229BF" w:rsidRPr="00314A8D" w:rsidRDefault="00D229BF" w:rsidP="00A06B9C">
      <w:pPr>
        <w:pStyle w:val="ListParagraph"/>
        <w:spacing w:line="240" w:lineRule="auto"/>
        <w:rPr>
          <w:sz w:val="24"/>
          <w:lang w:val="en-GB"/>
        </w:rPr>
      </w:pPr>
    </w:p>
    <w:p w:rsidR="00D229BF" w:rsidRPr="00314A8D" w:rsidRDefault="00744AD2" w:rsidP="00A06B9C">
      <w:pPr>
        <w:pStyle w:val="ListParagraph"/>
        <w:numPr>
          <w:ilvl w:val="0"/>
          <w:numId w:val="63"/>
        </w:numPr>
        <w:autoSpaceDE w:val="0"/>
        <w:autoSpaceDN w:val="0"/>
        <w:adjustRightInd w:val="0"/>
        <w:spacing w:line="240" w:lineRule="auto"/>
        <w:ind w:left="634" w:hanging="634"/>
        <w:rPr>
          <w:i/>
          <w:sz w:val="24"/>
          <w:lang w:val="en-GB"/>
        </w:rPr>
      </w:pPr>
      <w:r>
        <w:rPr>
          <w:sz w:val="24"/>
          <w:lang w:val="en-GB"/>
        </w:rPr>
        <w:t xml:space="preserve">The Supreme Court, </w:t>
      </w:r>
      <w:r w:rsidRPr="00744AD2">
        <w:rPr>
          <w:sz w:val="24"/>
          <w:lang w:val="en-GB"/>
        </w:rPr>
        <w:t>in its Judgment,</w:t>
      </w:r>
      <w:r>
        <w:rPr>
          <w:sz w:val="24"/>
          <w:lang w:val="en-GB"/>
        </w:rPr>
        <w:t xml:space="preserve"> had</w:t>
      </w:r>
      <w:r w:rsidRPr="00744AD2">
        <w:rPr>
          <w:sz w:val="24"/>
          <w:lang w:val="en-GB"/>
        </w:rPr>
        <w:t xml:space="preserve"> reasoned as follows</w:t>
      </w:r>
      <w:r w:rsidRPr="00744AD2">
        <w:rPr>
          <w:i/>
          <w:sz w:val="24"/>
          <w:lang w:val="en-GB"/>
        </w:rPr>
        <w:t>: “</w:t>
      </w:r>
      <w:r>
        <w:rPr>
          <w:i/>
          <w:sz w:val="24"/>
          <w:lang w:val="en-GB"/>
        </w:rPr>
        <w:t xml:space="preserve">Does the </w:t>
      </w:r>
      <w:r w:rsidRPr="00A06B9C">
        <w:rPr>
          <w:sz w:val="24"/>
          <w:lang w:val="en-GB"/>
        </w:rPr>
        <w:t>extrajudicial</w:t>
      </w:r>
      <w:r>
        <w:rPr>
          <w:i/>
          <w:sz w:val="24"/>
          <w:lang w:val="en-GB"/>
        </w:rPr>
        <w:t xml:space="preserve"> agreement</w:t>
      </w:r>
      <w:r w:rsidRPr="00744AD2">
        <w:rPr>
          <w:i/>
          <w:sz w:val="24"/>
          <w:lang w:val="en-GB"/>
        </w:rPr>
        <w:t xml:space="preserve"> concluded between the injured party in this traffic accident </w:t>
      </w:r>
      <w:r>
        <w:rPr>
          <w:i/>
          <w:sz w:val="24"/>
          <w:lang w:val="en-GB"/>
        </w:rPr>
        <w:t>with</w:t>
      </w:r>
      <w:r w:rsidRPr="00744AD2">
        <w:rPr>
          <w:i/>
          <w:sz w:val="24"/>
          <w:lang w:val="en-GB"/>
        </w:rPr>
        <w:t xml:space="preserve"> the Guarantee Fund have any effect on the relations</w:t>
      </w:r>
      <w:r>
        <w:rPr>
          <w:i/>
          <w:sz w:val="24"/>
          <w:lang w:val="en-GB"/>
        </w:rPr>
        <w:t xml:space="preserve"> between the claimant</w:t>
      </w:r>
      <w:r w:rsidRPr="00744AD2">
        <w:rPr>
          <w:i/>
          <w:sz w:val="24"/>
          <w:lang w:val="en-GB"/>
        </w:rPr>
        <w:t xml:space="preserve"> and the </w:t>
      </w:r>
      <w:r>
        <w:rPr>
          <w:i/>
          <w:sz w:val="24"/>
          <w:lang w:val="en-GB"/>
        </w:rPr>
        <w:t>respondent</w:t>
      </w:r>
      <w:r w:rsidRPr="00744AD2">
        <w:rPr>
          <w:i/>
          <w:sz w:val="24"/>
          <w:lang w:val="en-GB"/>
        </w:rPr>
        <w:t xml:space="preserve"> and can it </w:t>
      </w:r>
      <w:r>
        <w:rPr>
          <w:i/>
          <w:sz w:val="24"/>
          <w:lang w:val="en-GB"/>
        </w:rPr>
        <w:t>be</w:t>
      </w:r>
      <w:r w:rsidRPr="00744AD2">
        <w:rPr>
          <w:i/>
          <w:sz w:val="24"/>
          <w:lang w:val="en-GB"/>
        </w:rPr>
        <w:t xml:space="preserve"> considered that </w:t>
      </w:r>
      <w:r>
        <w:rPr>
          <w:i/>
          <w:sz w:val="24"/>
          <w:lang w:val="en-GB"/>
        </w:rPr>
        <w:t xml:space="preserve">by </w:t>
      </w:r>
      <w:r w:rsidRPr="00744AD2">
        <w:rPr>
          <w:i/>
          <w:sz w:val="24"/>
          <w:lang w:val="en-GB"/>
        </w:rPr>
        <w:t xml:space="preserve">the payment of the amount of [...] </w:t>
      </w:r>
      <w:r>
        <w:rPr>
          <w:i/>
          <w:sz w:val="24"/>
          <w:lang w:val="en-GB"/>
        </w:rPr>
        <w:t>by</w:t>
      </w:r>
      <w:r w:rsidRPr="00744AD2">
        <w:rPr>
          <w:i/>
          <w:sz w:val="24"/>
          <w:lang w:val="en-GB"/>
        </w:rPr>
        <w:t xml:space="preserve"> the Guarantee Fund to the injured party [M</w:t>
      </w:r>
      <w:r w:rsidR="007B2DAD">
        <w:rPr>
          <w:i/>
          <w:sz w:val="24"/>
          <w:lang w:val="en-GB"/>
        </w:rPr>
        <w:t>.</w:t>
      </w:r>
      <w:r w:rsidRPr="00744AD2">
        <w:rPr>
          <w:i/>
          <w:sz w:val="24"/>
          <w:lang w:val="en-GB"/>
        </w:rPr>
        <w:t>G</w:t>
      </w:r>
      <w:r w:rsidR="007B2DAD">
        <w:rPr>
          <w:i/>
          <w:sz w:val="24"/>
          <w:lang w:val="en-GB"/>
        </w:rPr>
        <w:t>.</w:t>
      </w:r>
      <w:r w:rsidRPr="00744AD2">
        <w:rPr>
          <w:i/>
          <w:sz w:val="24"/>
          <w:lang w:val="en-GB"/>
        </w:rPr>
        <w:t>], the res</w:t>
      </w:r>
      <w:r>
        <w:rPr>
          <w:i/>
          <w:sz w:val="24"/>
          <w:lang w:val="en-GB"/>
        </w:rPr>
        <w:t>pondent has fulfilled its</w:t>
      </w:r>
      <w:r w:rsidRPr="00744AD2">
        <w:rPr>
          <w:i/>
          <w:sz w:val="24"/>
          <w:lang w:val="en-GB"/>
        </w:rPr>
        <w:t xml:space="preserve"> obligation to the </w:t>
      </w:r>
      <w:r>
        <w:rPr>
          <w:i/>
          <w:sz w:val="24"/>
          <w:lang w:val="en-GB"/>
        </w:rPr>
        <w:t>claimant</w:t>
      </w:r>
      <w:r w:rsidRPr="00744AD2">
        <w:rPr>
          <w:i/>
          <w:sz w:val="24"/>
          <w:lang w:val="en-GB"/>
        </w:rPr>
        <w:t>. Did the injured par</w:t>
      </w:r>
      <w:r w:rsidR="007B2DAD">
        <w:rPr>
          <w:i/>
          <w:sz w:val="24"/>
          <w:lang w:val="en-GB"/>
        </w:rPr>
        <w:t xml:space="preserve">ty know about the fact that the claimant has paid compensation for the damage </w:t>
      </w:r>
      <w:r w:rsidRPr="00744AD2">
        <w:rPr>
          <w:i/>
          <w:sz w:val="24"/>
          <w:lang w:val="en-GB"/>
        </w:rPr>
        <w:t xml:space="preserve">suffered </w:t>
      </w:r>
      <w:r w:rsidR="007B2DAD">
        <w:rPr>
          <w:i/>
          <w:sz w:val="24"/>
          <w:lang w:val="en-GB"/>
        </w:rPr>
        <w:t>but</w:t>
      </w:r>
      <w:r w:rsidR="007B2DAD" w:rsidRPr="00744AD2">
        <w:rPr>
          <w:i/>
          <w:sz w:val="24"/>
          <w:lang w:val="en-GB"/>
        </w:rPr>
        <w:t xml:space="preserve"> despite</w:t>
      </w:r>
      <w:r w:rsidRPr="00744AD2">
        <w:rPr>
          <w:i/>
          <w:sz w:val="24"/>
          <w:lang w:val="en-GB"/>
        </w:rPr>
        <w:t xml:space="preserve"> this he concluded </w:t>
      </w:r>
      <w:proofErr w:type="spellStart"/>
      <w:r w:rsidRPr="00744AD2">
        <w:rPr>
          <w:i/>
          <w:sz w:val="24"/>
          <w:lang w:val="en-GB"/>
        </w:rPr>
        <w:t>ant</w:t>
      </w:r>
      <w:proofErr w:type="spellEnd"/>
      <w:r w:rsidRPr="00744AD2">
        <w:rPr>
          <w:i/>
          <w:sz w:val="24"/>
          <w:lang w:val="en-GB"/>
        </w:rPr>
        <w:t xml:space="preserve"> agreement with the Guarantee </w:t>
      </w:r>
      <w:r w:rsidR="007B2DAD" w:rsidRPr="00744AD2">
        <w:rPr>
          <w:i/>
          <w:sz w:val="24"/>
          <w:lang w:val="en-GB"/>
        </w:rPr>
        <w:t>Fund?</w:t>
      </w:r>
      <w:r w:rsidRPr="00744AD2">
        <w:rPr>
          <w:i/>
          <w:sz w:val="24"/>
          <w:lang w:val="en-GB"/>
        </w:rPr>
        <w:t xml:space="preserve"> Therefore, the court of first instance must assess whether the </w:t>
      </w:r>
      <w:r w:rsidR="007B2DAD">
        <w:rPr>
          <w:i/>
          <w:sz w:val="24"/>
          <w:lang w:val="en-GB"/>
        </w:rPr>
        <w:t xml:space="preserve">extrajudicial </w:t>
      </w:r>
      <w:r w:rsidRPr="00744AD2">
        <w:rPr>
          <w:i/>
          <w:sz w:val="24"/>
          <w:lang w:val="en-GB"/>
        </w:rPr>
        <w:t xml:space="preserve">settlement </w:t>
      </w:r>
      <w:r w:rsidR="007B2DAD">
        <w:rPr>
          <w:i/>
          <w:sz w:val="24"/>
          <w:lang w:val="en-GB"/>
        </w:rPr>
        <w:t xml:space="preserve">concluded </w:t>
      </w:r>
      <w:r w:rsidRPr="00744AD2">
        <w:rPr>
          <w:i/>
          <w:sz w:val="24"/>
          <w:lang w:val="en-GB"/>
        </w:rPr>
        <w:t>between the Guarantee Fund and the injured party [M</w:t>
      </w:r>
      <w:r w:rsidR="007B2DAD">
        <w:rPr>
          <w:i/>
          <w:sz w:val="24"/>
          <w:lang w:val="en-GB"/>
        </w:rPr>
        <w:t>.</w:t>
      </w:r>
      <w:r w:rsidRPr="00744AD2">
        <w:rPr>
          <w:i/>
          <w:sz w:val="24"/>
          <w:lang w:val="en-GB"/>
        </w:rPr>
        <w:t>G</w:t>
      </w:r>
      <w:r w:rsidR="007B2DAD">
        <w:rPr>
          <w:i/>
          <w:sz w:val="24"/>
          <w:lang w:val="en-GB"/>
        </w:rPr>
        <w:t>.</w:t>
      </w:r>
      <w:r w:rsidRPr="00744AD2">
        <w:rPr>
          <w:i/>
          <w:sz w:val="24"/>
          <w:lang w:val="en-GB"/>
        </w:rPr>
        <w:t xml:space="preserve">] has a legal effect on the </w:t>
      </w:r>
      <w:r w:rsidR="007B2DAD">
        <w:rPr>
          <w:i/>
          <w:sz w:val="24"/>
          <w:lang w:val="en-GB"/>
        </w:rPr>
        <w:t>claimant</w:t>
      </w:r>
      <w:r w:rsidRPr="00744AD2">
        <w:rPr>
          <w:i/>
          <w:sz w:val="24"/>
          <w:lang w:val="en-GB"/>
        </w:rPr>
        <w:t xml:space="preserve"> and whether the injured party ha</w:t>
      </w:r>
      <w:r w:rsidR="007B2DAD">
        <w:rPr>
          <w:i/>
          <w:sz w:val="24"/>
          <w:lang w:val="en-GB"/>
        </w:rPr>
        <w:t>s had</w:t>
      </w:r>
      <w:r w:rsidRPr="00744AD2">
        <w:rPr>
          <w:i/>
          <w:sz w:val="24"/>
          <w:lang w:val="en-GB"/>
        </w:rPr>
        <w:t xml:space="preserve"> the </w:t>
      </w:r>
      <w:r w:rsidR="007B2DAD">
        <w:rPr>
          <w:i/>
          <w:sz w:val="24"/>
          <w:lang w:val="en-GB"/>
        </w:rPr>
        <w:t>capacity</w:t>
      </w:r>
      <w:r w:rsidRPr="00744AD2">
        <w:rPr>
          <w:i/>
          <w:sz w:val="24"/>
          <w:lang w:val="en-GB"/>
        </w:rPr>
        <w:t xml:space="preserve"> of a third </w:t>
      </w:r>
      <w:r w:rsidR="007B2DAD">
        <w:rPr>
          <w:i/>
          <w:sz w:val="24"/>
          <w:lang w:val="en-GB"/>
        </w:rPr>
        <w:t xml:space="preserve">person </w:t>
      </w:r>
      <w:r w:rsidR="007B2DAD" w:rsidRPr="00744AD2">
        <w:rPr>
          <w:i/>
          <w:sz w:val="24"/>
          <w:lang w:val="en-GB"/>
        </w:rPr>
        <w:t>in</w:t>
      </w:r>
      <w:r w:rsidRPr="00744AD2">
        <w:rPr>
          <w:i/>
          <w:sz w:val="24"/>
          <w:lang w:val="en-GB"/>
        </w:rPr>
        <w:t xml:space="preserve"> the vehicle which was insured</w:t>
      </w:r>
      <w:r w:rsidR="007B2DAD">
        <w:rPr>
          <w:i/>
          <w:sz w:val="24"/>
          <w:lang w:val="en-GB"/>
        </w:rPr>
        <w:t xml:space="preserve"> at</w:t>
      </w:r>
      <w:r w:rsidRPr="00744AD2">
        <w:rPr>
          <w:i/>
          <w:sz w:val="24"/>
          <w:lang w:val="en-GB"/>
        </w:rPr>
        <w:t xml:space="preserve"> the respondent</w:t>
      </w:r>
      <w:r w:rsidR="009972FE">
        <w:rPr>
          <w:i/>
          <w:sz w:val="24"/>
          <w:lang w:val="en-GB"/>
        </w:rPr>
        <w:t>’s company</w:t>
      </w:r>
      <w:r w:rsidRPr="00744AD2">
        <w:rPr>
          <w:i/>
          <w:sz w:val="24"/>
          <w:lang w:val="en-GB"/>
        </w:rPr>
        <w:t xml:space="preserve"> and is there a legal basis for the </w:t>
      </w:r>
      <w:r w:rsidR="009972FE">
        <w:rPr>
          <w:i/>
          <w:sz w:val="24"/>
          <w:lang w:val="en-GB"/>
        </w:rPr>
        <w:t>claimant</w:t>
      </w:r>
      <w:r w:rsidRPr="00744AD2">
        <w:rPr>
          <w:i/>
          <w:sz w:val="24"/>
          <w:lang w:val="en-GB"/>
        </w:rPr>
        <w:t xml:space="preserve">'s claim against the </w:t>
      </w:r>
      <w:r w:rsidR="007B2DAD">
        <w:rPr>
          <w:i/>
          <w:sz w:val="24"/>
          <w:lang w:val="en-GB"/>
        </w:rPr>
        <w:t>respondent</w:t>
      </w:r>
      <w:r w:rsidRPr="00744AD2">
        <w:rPr>
          <w:i/>
          <w:sz w:val="24"/>
          <w:lang w:val="en-GB"/>
        </w:rPr>
        <w:t xml:space="preserve"> for reimbursement of the damage that the </w:t>
      </w:r>
      <w:r w:rsidR="007B2DAD">
        <w:rPr>
          <w:i/>
          <w:sz w:val="24"/>
          <w:lang w:val="en-GB"/>
        </w:rPr>
        <w:t>claimant</w:t>
      </w:r>
      <w:r w:rsidRPr="00744AD2">
        <w:rPr>
          <w:i/>
          <w:sz w:val="24"/>
          <w:lang w:val="en-GB"/>
        </w:rPr>
        <w:t xml:space="preserve"> has paid [MG]. ”</w:t>
      </w:r>
    </w:p>
    <w:p w:rsidR="00D229BF" w:rsidRPr="00314A8D" w:rsidRDefault="00D229BF" w:rsidP="00A06B9C">
      <w:pPr>
        <w:pStyle w:val="ListParagraph"/>
        <w:spacing w:line="240" w:lineRule="auto"/>
        <w:rPr>
          <w:sz w:val="24"/>
          <w:lang w:val="en-GB"/>
        </w:rPr>
      </w:pPr>
    </w:p>
    <w:p w:rsidR="00D229BF" w:rsidRPr="00314A8D" w:rsidRDefault="00F43999" w:rsidP="00A06B9C">
      <w:pPr>
        <w:pStyle w:val="ListParagraph"/>
        <w:numPr>
          <w:ilvl w:val="0"/>
          <w:numId w:val="81"/>
        </w:numPr>
        <w:spacing w:line="240" w:lineRule="auto"/>
        <w:rPr>
          <w:i/>
          <w:sz w:val="24"/>
          <w:lang w:val="en-GB"/>
        </w:rPr>
      </w:pPr>
      <w:r>
        <w:rPr>
          <w:i/>
          <w:sz w:val="24"/>
          <w:lang w:val="en-GB"/>
        </w:rPr>
        <w:t>Judgment of the Court of Appeals</w:t>
      </w:r>
      <w:r w:rsidR="00FF271B" w:rsidRPr="00314A8D">
        <w:rPr>
          <w:i/>
          <w:sz w:val="24"/>
          <w:lang w:val="en-GB"/>
        </w:rPr>
        <w:t>, Ae. N</w:t>
      </w:r>
      <w:r>
        <w:rPr>
          <w:i/>
          <w:sz w:val="24"/>
          <w:lang w:val="en-GB"/>
        </w:rPr>
        <w:t>o</w:t>
      </w:r>
      <w:r w:rsidR="00FF271B" w:rsidRPr="00314A8D">
        <w:rPr>
          <w:i/>
          <w:sz w:val="24"/>
          <w:lang w:val="en-GB"/>
        </w:rPr>
        <w:t xml:space="preserve">. 298/2016, </w:t>
      </w:r>
      <w:r>
        <w:rPr>
          <w:i/>
          <w:sz w:val="24"/>
          <w:lang w:val="en-GB"/>
        </w:rPr>
        <w:t>of</w:t>
      </w:r>
      <w:r w:rsidR="00FF271B" w:rsidRPr="00314A8D">
        <w:rPr>
          <w:i/>
          <w:sz w:val="24"/>
          <w:lang w:val="en-GB"/>
        </w:rPr>
        <w:t xml:space="preserve"> 26 </w:t>
      </w:r>
      <w:r>
        <w:rPr>
          <w:i/>
          <w:sz w:val="24"/>
          <w:lang w:val="en-GB"/>
        </w:rPr>
        <w:t>February</w:t>
      </w:r>
      <w:r w:rsidR="00FF271B" w:rsidRPr="00314A8D">
        <w:rPr>
          <w:i/>
          <w:sz w:val="24"/>
          <w:lang w:val="en-GB"/>
        </w:rPr>
        <w:t xml:space="preserve"> 2018</w:t>
      </w:r>
    </w:p>
    <w:p w:rsidR="00D229BF" w:rsidRPr="00314A8D" w:rsidRDefault="00D229BF" w:rsidP="00A06B9C">
      <w:pPr>
        <w:pStyle w:val="ListParagraph"/>
        <w:spacing w:line="240" w:lineRule="auto"/>
        <w:rPr>
          <w:sz w:val="24"/>
          <w:lang w:val="en-GB"/>
        </w:rPr>
      </w:pPr>
    </w:p>
    <w:p w:rsidR="00D229BF" w:rsidRPr="00314A8D" w:rsidRDefault="008D4C9E" w:rsidP="00A06B9C">
      <w:pPr>
        <w:pStyle w:val="ListParagraph"/>
        <w:numPr>
          <w:ilvl w:val="0"/>
          <w:numId w:val="63"/>
        </w:numPr>
        <w:autoSpaceDE w:val="0"/>
        <w:autoSpaceDN w:val="0"/>
        <w:adjustRightInd w:val="0"/>
        <w:spacing w:line="240" w:lineRule="auto"/>
        <w:ind w:left="634" w:hanging="634"/>
        <w:rPr>
          <w:sz w:val="24"/>
          <w:lang w:val="en-GB"/>
        </w:rPr>
      </w:pPr>
      <w:r w:rsidRPr="008D4C9E">
        <w:rPr>
          <w:sz w:val="24"/>
          <w:lang w:val="en-GB"/>
        </w:rPr>
        <w:t xml:space="preserve">The Court of Appeals rejected the appeal of the respondent [Kosovo Insurance Bureau], </w:t>
      </w:r>
      <w:r>
        <w:rPr>
          <w:sz w:val="24"/>
          <w:lang w:val="en-GB"/>
        </w:rPr>
        <w:t>by reasoning as</w:t>
      </w:r>
      <w:r w:rsidRPr="008D4C9E">
        <w:rPr>
          <w:sz w:val="24"/>
          <w:lang w:val="en-GB"/>
        </w:rPr>
        <w:t xml:space="preserve">  follow</w:t>
      </w:r>
      <w:r>
        <w:rPr>
          <w:sz w:val="24"/>
          <w:lang w:val="en-GB"/>
        </w:rPr>
        <w:t>s</w:t>
      </w:r>
      <w:r w:rsidRPr="008D4C9E">
        <w:rPr>
          <w:sz w:val="24"/>
          <w:lang w:val="en-GB"/>
        </w:rPr>
        <w:t>:</w:t>
      </w:r>
    </w:p>
    <w:p w:rsidR="00D229BF" w:rsidRPr="00314A8D" w:rsidRDefault="00D229BF" w:rsidP="00A06B9C">
      <w:pPr>
        <w:pStyle w:val="ListParagraph"/>
        <w:spacing w:line="240" w:lineRule="auto"/>
        <w:rPr>
          <w:sz w:val="24"/>
          <w:lang w:val="en-GB"/>
        </w:rPr>
      </w:pPr>
    </w:p>
    <w:p w:rsidR="00D229BF" w:rsidRPr="008D4C9E" w:rsidRDefault="00FF271B" w:rsidP="00A06B9C">
      <w:pPr>
        <w:pStyle w:val="ListParagraph"/>
        <w:spacing w:line="240" w:lineRule="auto"/>
        <w:ind w:left="990"/>
        <w:rPr>
          <w:i/>
          <w:sz w:val="24"/>
          <w:lang w:val="en-GB"/>
        </w:rPr>
      </w:pPr>
      <w:r w:rsidRPr="00314A8D">
        <w:rPr>
          <w:i/>
          <w:sz w:val="24"/>
          <w:lang w:val="en-GB"/>
        </w:rPr>
        <w:t>“</w:t>
      </w:r>
      <w:r w:rsidR="008D4C9E">
        <w:rPr>
          <w:i/>
          <w:sz w:val="24"/>
          <w:lang w:val="en-GB"/>
        </w:rPr>
        <w:t>The Court of Appeals reviewed</w:t>
      </w:r>
      <w:r w:rsidR="008D4C9E" w:rsidRPr="008D4C9E">
        <w:rPr>
          <w:i/>
          <w:sz w:val="24"/>
          <w:lang w:val="en-GB"/>
        </w:rPr>
        <w:t xml:space="preserve"> the </w:t>
      </w:r>
      <w:r w:rsidR="008D4C9E">
        <w:rPr>
          <w:i/>
          <w:sz w:val="24"/>
          <w:lang w:val="en-GB"/>
        </w:rPr>
        <w:t>claimant’s</w:t>
      </w:r>
      <w:r w:rsidR="008D4C9E" w:rsidRPr="008D4C9E">
        <w:rPr>
          <w:i/>
          <w:sz w:val="24"/>
          <w:lang w:val="en-GB"/>
        </w:rPr>
        <w:t xml:space="preserve"> [Kosovo Insurance Bureau] appea</w:t>
      </w:r>
      <w:r w:rsidR="008D4C9E">
        <w:rPr>
          <w:i/>
          <w:sz w:val="24"/>
          <w:lang w:val="en-GB"/>
        </w:rPr>
        <w:t>l claims</w:t>
      </w:r>
      <w:r w:rsidR="008D4C9E" w:rsidRPr="008D4C9E">
        <w:rPr>
          <w:i/>
          <w:sz w:val="24"/>
          <w:lang w:val="en-GB"/>
        </w:rPr>
        <w:t xml:space="preserve"> regarding</w:t>
      </w:r>
      <w:r w:rsidR="008D4C9E">
        <w:rPr>
          <w:i/>
          <w:sz w:val="24"/>
          <w:lang w:val="en-GB"/>
        </w:rPr>
        <w:t xml:space="preserve"> the</w:t>
      </w:r>
      <w:r w:rsidR="008D4C9E" w:rsidRPr="008D4C9E">
        <w:rPr>
          <w:i/>
          <w:sz w:val="24"/>
          <w:lang w:val="en-GB"/>
        </w:rPr>
        <w:t xml:space="preserve"> compensation for damages to the injured party [R</w:t>
      </w:r>
      <w:r w:rsidR="008D4C9E">
        <w:rPr>
          <w:i/>
          <w:sz w:val="24"/>
          <w:lang w:val="en-GB"/>
        </w:rPr>
        <w:t>.</w:t>
      </w:r>
      <w:r w:rsidR="008D4C9E" w:rsidRPr="008D4C9E">
        <w:rPr>
          <w:i/>
          <w:sz w:val="24"/>
          <w:lang w:val="en-GB"/>
        </w:rPr>
        <w:t>M</w:t>
      </w:r>
      <w:r w:rsidR="008D4C9E">
        <w:rPr>
          <w:i/>
          <w:sz w:val="24"/>
          <w:lang w:val="en-GB"/>
        </w:rPr>
        <w:t>.</w:t>
      </w:r>
      <w:r w:rsidR="008D4C9E" w:rsidRPr="008D4C9E">
        <w:rPr>
          <w:i/>
          <w:sz w:val="24"/>
          <w:lang w:val="en-GB"/>
        </w:rPr>
        <w:t xml:space="preserve">], by the respondent, which </w:t>
      </w:r>
      <w:r w:rsidR="008D4C9E">
        <w:rPr>
          <w:i/>
          <w:sz w:val="24"/>
          <w:lang w:val="en-GB"/>
        </w:rPr>
        <w:t>ha</w:t>
      </w:r>
      <w:r w:rsidR="008D4C9E" w:rsidRPr="008D4C9E">
        <w:rPr>
          <w:i/>
          <w:sz w:val="24"/>
          <w:lang w:val="en-GB"/>
        </w:rPr>
        <w:t>s derived from the Extrajudicial Agreement, and therefore</w:t>
      </w:r>
      <w:r w:rsidR="008D4C9E">
        <w:rPr>
          <w:i/>
          <w:sz w:val="24"/>
          <w:lang w:val="en-GB"/>
        </w:rPr>
        <w:t xml:space="preserve"> he</w:t>
      </w:r>
      <w:r w:rsidR="008D4C9E" w:rsidRPr="008D4C9E">
        <w:rPr>
          <w:i/>
          <w:sz w:val="24"/>
          <w:lang w:val="en-GB"/>
        </w:rPr>
        <w:t xml:space="preserve"> has no right to seek reimbursement , but found that they are unfounded because based on Article 190 of the LCT, which stipulates that “</w:t>
      </w:r>
      <w:r w:rsidR="008D4C9E">
        <w:rPr>
          <w:i/>
          <w:sz w:val="24"/>
          <w:lang w:val="en-GB"/>
        </w:rPr>
        <w:t xml:space="preserve">While also taking into account the circumstances after the occurrence of damage, the court shall determine damages in the amount necessary to restore the material state of the person sustaining damage </w:t>
      </w:r>
      <w:proofErr w:type="spellStart"/>
      <w:r w:rsidR="008D4C9E">
        <w:rPr>
          <w:i/>
          <w:sz w:val="24"/>
          <w:lang w:val="en-GB"/>
        </w:rPr>
        <w:t>ibnto</w:t>
      </w:r>
      <w:proofErr w:type="spellEnd"/>
      <w:r w:rsidR="008D4C9E">
        <w:rPr>
          <w:i/>
          <w:sz w:val="24"/>
          <w:lang w:val="en-GB"/>
        </w:rPr>
        <w:t xml:space="preserve"> the state it would have been without the damaging act or omission”. </w:t>
      </w:r>
      <w:r w:rsidR="008D4C9E" w:rsidRPr="008D4C9E">
        <w:rPr>
          <w:i/>
          <w:sz w:val="24"/>
          <w:lang w:val="en-GB"/>
        </w:rPr>
        <w:t xml:space="preserve">In this case, the amount covered by the Extrajudicial </w:t>
      </w:r>
      <w:r w:rsidR="008D4C9E">
        <w:rPr>
          <w:i/>
          <w:sz w:val="24"/>
          <w:lang w:val="en-GB"/>
        </w:rPr>
        <w:t>Agreement of</w:t>
      </w:r>
      <w:r w:rsidR="008D4C9E" w:rsidRPr="008D4C9E">
        <w:rPr>
          <w:i/>
          <w:sz w:val="24"/>
          <w:lang w:val="en-GB"/>
        </w:rPr>
        <w:t xml:space="preserve"> (...) is not the total amount of damage, therefore there is also the obligation of the respondent to compensate the remaining part, </w:t>
      </w:r>
      <w:r w:rsidR="008D4C9E">
        <w:rPr>
          <w:i/>
          <w:sz w:val="24"/>
          <w:lang w:val="en-GB"/>
        </w:rPr>
        <w:t xml:space="preserve">respectively of the amount </w:t>
      </w:r>
      <w:r w:rsidR="008D4C9E" w:rsidRPr="008D4C9E">
        <w:rPr>
          <w:i/>
          <w:sz w:val="24"/>
          <w:lang w:val="en-GB"/>
        </w:rPr>
        <w:t>of</w:t>
      </w:r>
      <w:r w:rsidRPr="008D4C9E">
        <w:rPr>
          <w:i/>
          <w:sz w:val="24"/>
          <w:lang w:val="en-GB"/>
        </w:rPr>
        <w:t xml:space="preserve"> (...) €.”</w:t>
      </w:r>
    </w:p>
    <w:p w:rsidR="00D229BF" w:rsidRPr="00314A8D" w:rsidRDefault="00D229BF" w:rsidP="00A06B9C">
      <w:pPr>
        <w:pStyle w:val="ListParagraph"/>
        <w:spacing w:line="240" w:lineRule="auto"/>
        <w:rPr>
          <w:sz w:val="24"/>
          <w:lang w:val="en-GB"/>
        </w:rPr>
      </w:pPr>
    </w:p>
    <w:p w:rsidR="00D229BF" w:rsidRPr="00314A8D" w:rsidRDefault="008D4C9E" w:rsidP="00A06B9C">
      <w:pPr>
        <w:pStyle w:val="ListParagraph"/>
        <w:numPr>
          <w:ilvl w:val="0"/>
          <w:numId w:val="81"/>
        </w:numPr>
        <w:spacing w:line="240" w:lineRule="auto"/>
        <w:rPr>
          <w:i/>
          <w:sz w:val="24"/>
          <w:lang w:val="en-GB"/>
        </w:rPr>
      </w:pPr>
      <w:r>
        <w:rPr>
          <w:i/>
          <w:sz w:val="24"/>
          <w:lang w:val="en-GB"/>
        </w:rPr>
        <w:lastRenderedPageBreak/>
        <w:t>Decision of the Supreme Court</w:t>
      </w:r>
      <w:r w:rsidR="00FF271B" w:rsidRPr="00314A8D">
        <w:rPr>
          <w:i/>
          <w:sz w:val="24"/>
          <w:lang w:val="en-GB"/>
        </w:rPr>
        <w:t>, E. Rev. n</w:t>
      </w:r>
      <w:r>
        <w:rPr>
          <w:i/>
          <w:sz w:val="24"/>
          <w:lang w:val="en-GB"/>
        </w:rPr>
        <w:t>o</w:t>
      </w:r>
      <w:r w:rsidR="00FF271B" w:rsidRPr="00314A8D">
        <w:rPr>
          <w:i/>
          <w:sz w:val="24"/>
          <w:lang w:val="en-GB"/>
        </w:rPr>
        <w:t xml:space="preserve">. 4/2018 </w:t>
      </w:r>
      <w:r>
        <w:rPr>
          <w:i/>
          <w:sz w:val="24"/>
          <w:lang w:val="en-GB"/>
        </w:rPr>
        <w:t>of</w:t>
      </w:r>
      <w:r w:rsidR="00FF271B" w:rsidRPr="00314A8D">
        <w:rPr>
          <w:i/>
          <w:sz w:val="24"/>
          <w:lang w:val="en-GB"/>
        </w:rPr>
        <w:t xml:space="preserve"> 17 </w:t>
      </w:r>
      <w:r>
        <w:rPr>
          <w:i/>
          <w:sz w:val="24"/>
          <w:lang w:val="en-GB"/>
        </w:rPr>
        <w:t>May</w:t>
      </w:r>
      <w:r w:rsidR="00FF271B" w:rsidRPr="00314A8D">
        <w:rPr>
          <w:i/>
          <w:sz w:val="24"/>
          <w:lang w:val="en-GB"/>
        </w:rPr>
        <w:t xml:space="preserve"> 2018 [</w:t>
      </w:r>
      <w:r>
        <w:rPr>
          <w:i/>
          <w:sz w:val="24"/>
          <w:lang w:val="en-GB"/>
        </w:rPr>
        <w:t>case</w:t>
      </w:r>
      <w:r w:rsidR="00FF271B" w:rsidRPr="00314A8D">
        <w:rPr>
          <w:i/>
          <w:sz w:val="24"/>
          <w:lang w:val="en-GB"/>
        </w:rPr>
        <w:t xml:space="preserve"> IKK Classic]</w:t>
      </w:r>
    </w:p>
    <w:p w:rsidR="00D229BF" w:rsidRPr="00314A8D" w:rsidRDefault="00D229BF" w:rsidP="00A06B9C">
      <w:pPr>
        <w:pStyle w:val="ListParagraph"/>
        <w:spacing w:line="240" w:lineRule="auto"/>
        <w:rPr>
          <w:sz w:val="24"/>
          <w:lang w:val="en-GB"/>
        </w:rPr>
      </w:pPr>
    </w:p>
    <w:p w:rsidR="00314A8D" w:rsidRPr="00314A8D" w:rsidRDefault="008D4C9E" w:rsidP="00A06B9C">
      <w:pPr>
        <w:pStyle w:val="ListParagraph"/>
        <w:numPr>
          <w:ilvl w:val="0"/>
          <w:numId w:val="63"/>
        </w:numPr>
        <w:autoSpaceDE w:val="0"/>
        <w:autoSpaceDN w:val="0"/>
        <w:adjustRightInd w:val="0"/>
        <w:spacing w:line="240" w:lineRule="auto"/>
        <w:ind w:left="634" w:hanging="634"/>
        <w:rPr>
          <w:iCs/>
          <w:sz w:val="24"/>
          <w:lang w:val="en-GB"/>
        </w:rPr>
      </w:pPr>
      <w:r w:rsidRPr="008D4C9E">
        <w:rPr>
          <w:sz w:val="24"/>
          <w:lang w:val="en-GB"/>
        </w:rPr>
        <w:t>D</w:t>
      </w:r>
      <w:r>
        <w:rPr>
          <w:sz w:val="24"/>
          <w:lang w:val="en-GB"/>
        </w:rPr>
        <w:t>.</w:t>
      </w:r>
      <w:r w:rsidRPr="008D4C9E">
        <w:rPr>
          <w:sz w:val="24"/>
          <w:lang w:val="en-GB"/>
        </w:rPr>
        <w:t>H</w:t>
      </w:r>
      <w:r>
        <w:rPr>
          <w:sz w:val="24"/>
          <w:lang w:val="en-GB"/>
        </w:rPr>
        <w:t>.</w:t>
      </w:r>
      <w:r w:rsidRPr="008D4C9E">
        <w:rPr>
          <w:sz w:val="24"/>
          <w:lang w:val="en-GB"/>
        </w:rPr>
        <w:t>, the</w:t>
      </w:r>
      <w:r>
        <w:rPr>
          <w:sz w:val="24"/>
          <w:lang w:val="en-GB"/>
        </w:rPr>
        <w:t xml:space="preserve"> Applicant’s</w:t>
      </w:r>
      <w:r w:rsidRPr="008D4C9E">
        <w:rPr>
          <w:sz w:val="24"/>
          <w:lang w:val="en-GB"/>
        </w:rPr>
        <w:t xml:space="preserve"> insure</w:t>
      </w:r>
      <w:r>
        <w:rPr>
          <w:sz w:val="24"/>
          <w:lang w:val="en-GB"/>
        </w:rPr>
        <w:t xml:space="preserve"> person</w:t>
      </w:r>
      <w:r w:rsidRPr="008D4C9E">
        <w:rPr>
          <w:sz w:val="24"/>
          <w:lang w:val="en-GB"/>
        </w:rPr>
        <w:t xml:space="preserve"> in cases KI134 / 15 and KI97 / 16, who had suffered </w:t>
      </w:r>
      <w:r>
        <w:rPr>
          <w:sz w:val="24"/>
          <w:lang w:val="en-GB"/>
        </w:rPr>
        <w:t>grave</w:t>
      </w:r>
      <w:r w:rsidRPr="008D4C9E">
        <w:rPr>
          <w:sz w:val="24"/>
          <w:lang w:val="en-GB"/>
        </w:rPr>
        <w:t xml:space="preserve"> injuries in a traffic accident caused by B</w:t>
      </w:r>
      <w:r>
        <w:rPr>
          <w:sz w:val="24"/>
          <w:lang w:val="en-GB"/>
        </w:rPr>
        <w:t>.</w:t>
      </w:r>
      <w:r w:rsidRPr="008D4C9E">
        <w:rPr>
          <w:sz w:val="24"/>
          <w:lang w:val="en-GB"/>
        </w:rPr>
        <w:t>L</w:t>
      </w:r>
      <w:r>
        <w:rPr>
          <w:sz w:val="24"/>
          <w:lang w:val="en-GB"/>
        </w:rPr>
        <w:t>.</w:t>
      </w:r>
      <w:r w:rsidRPr="008D4C9E">
        <w:rPr>
          <w:sz w:val="24"/>
          <w:lang w:val="en-GB"/>
        </w:rPr>
        <w:t xml:space="preserve">, insurance user in the insurance company "SIGMA" in </w:t>
      </w:r>
      <w:proofErr w:type="spellStart"/>
      <w:r w:rsidRPr="008D4C9E">
        <w:rPr>
          <w:sz w:val="24"/>
          <w:lang w:val="en-GB"/>
        </w:rPr>
        <w:t>Prish</w:t>
      </w:r>
      <w:r>
        <w:rPr>
          <w:sz w:val="24"/>
          <w:lang w:val="en-GB"/>
        </w:rPr>
        <w:t>tina</w:t>
      </w:r>
      <w:proofErr w:type="spellEnd"/>
      <w:r>
        <w:rPr>
          <w:sz w:val="24"/>
          <w:lang w:val="en-GB"/>
        </w:rPr>
        <w:t xml:space="preserve"> (in further text: SIGMA)</w:t>
      </w:r>
      <w:r w:rsidRPr="008D4C9E">
        <w:rPr>
          <w:sz w:val="24"/>
          <w:lang w:val="en-GB"/>
        </w:rPr>
        <w:t>.</w:t>
      </w:r>
      <w:r>
        <w:rPr>
          <w:sz w:val="24"/>
          <w:lang w:val="en-GB"/>
        </w:rPr>
        <w:t xml:space="preserve"> </w:t>
      </w:r>
      <w:r w:rsidRPr="008D4C9E">
        <w:rPr>
          <w:sz w:val="24"/>
          <w:lang w:val="en-GB"/>
        </w:rPr>
        <w:t>D</w:t>
      </w:r>
      <w:r>
        <w:rPr>
          <w:sz w:val="24"/>
          <w:lang w:val="en-GB"/>
        </w:rPr>
        <w:t>.</w:t>
      </w:r>
      <w:r w:rsidRPr="008D4C9E">
        <w:rPr>
          <w:sz w:val="24"/>
          <w:lang w:val="en-GB"/>
        </w:rPr>
        <w:t>H</w:t>
      </w:r>
      <w:r>
        <w:rPr>
          <w:sz w:val="24"/>
          <w:lang w:val="en-GB"/>
        </w:rPr>
        <w:t>.</w:t>
      </w:r>
      <w:r w:rsidRPr="008D4C9E">
        <w:rPr>
          <w:sz w:val="24"/>
          <w:lang w:val="en-GB"/>
        </w:rPr>
        <w:t xml:space="preserve">, had received medical treatment in the Federal Republic of Germany in the amount of 18,985.36 Euros, which had been paid by the </w:t>
      </w:r>
      <w:r>
        <w:rPr>
          <w:sz w:val="24"/>
          <w:lang w:val="en-GB"/>
        </w:rPr>
        <w:t>claimant</w:t>
      </w:r>
      <w:r w:rsidRPr="008D4C9E">
        <w:rPr>
          <w:sz w:val="24"/>
          <w:lang w:val="en-GB"/>
        </w:rPr>
        <w:t xml:space="preserve"> [IKK Classic]. (See below the</w:t>
      </w:r>
      <w:r>
        <w:rPr>
          <w:sz w:val="24"/>
          <w:lang w:val="en-GB"/>
        </w:rPr>
        <w:t xml:space="preserve"> brief</w:t>
      </w:r>
      <w:r w:rsidRPr="008D4C9E">
        <w:rPr>
          <w:sz w:val="24"/>
          <w:lang w:val="en-GB"/>
        </w:rPr>
        <w:t xml:space="preserve"> summary of cases KI134/15 and KI97/16 in paragraph 71 of this Judgment</w:t>
      </w:r>
      <w:r w:rsidR="00FF271B" w:rsidRPr="00314A8D">
        <w:rPr>
          <w:sz w:val="24"/>
          <w:lang w:val="en-GB"/>
        </w:rPr>
        <w:t xml:space="preserve">). </w:t>
      </w:r>
    </w:p>
    <w:p w:rsidR="00314A8D" w:rsidRPr="00314A8D" w:rsidRDefault="00314A8D" w:rsidP="00A06B9C">
      <w:pPr>
        <w:pStyle w:val="ListParagraph"/>
        <w:spacing w:line="240" w:lineRule="auto"/>
        <w:ind w:left="540" w:hanging="540"/>
        <w:rPr>
          <w:iCs/>
          <w:sz w:val="24"/>
          <w:lang w:val="en-GB"/>
        </w:rPr>
      </w:pPr>
    </w:p>
    <w:p w:rsidR="00D229BF" w:rsidRPr="00AC05B6" w:rsidRDefault="00AC05B6" w:rsidP="00A06B9C">
      <w:pPr>
        <w:pStyle w:val="ListParagraph"/>
        <w:numPr>
          <w:ilvl w:val="0"/>
          <w:numId w:val="63"/>
        </w:numPr>
        <w:autoSpaceDE w:val="0"/>
        <w:autoSpaceDN w:val="0"/>
        <w:adjustRightInd w:val="0"/>
        <w:spacing w:line="240" w:lineRule="auto"/>
        <w:ind w:left="634" w:hanging="634"/>
        <w:rPr>
          <w:i/>
          <w:sz w:val="24"/>
          <w:lang w:val="en-GB"/>
        </w:rPr>
      </w:pPr>
      <w:r w:rsidRPr="00AC05B6">
        <w:rPr>
          <w:iCs/>
          <w:sz w:val="24"/>
          <w:lang w:val="en-GB"/>
        </w:rPr>
        <w:t xml:space="preserve">As a </w:t>
      </w:r>
      <w:r w:rsidRPr="00A06B9C">
        <w:rPr>
          <w:sz w:val="24"/>
          <w:lang w:val="en-GB"/>
        </w:rPr>
        <w:t>result</w:t>
      </w:r>
      <w:r w:rsidRPr="00AC05B6">
        <w:rPr>
          <w:iCs/>
          <w:sz w:val="24"/>
          <w:lang w:val="en-GB"/>
        </w:rPr>
        <w:t xml:space="preserve"> of the Judgment of the Constitutional Court (case KI97/16), the Supreme Court </w:t>
      </w:r>
      <w:r>
        <w:rPr>
          <w:iCs/>
          <w:sz w:val="24"/>
          <w:lang w:val="en-GB"/>
        </w:rPr>
        <w:t>by</w:t>
      </w:r>
      <w:r w:rsidRPr="00AC05B6">
        <w:rPr>
          <w:iCs/>
          <w:sz w:val="24"/>
          <w:lang w:val="en-GB"/>
        </w:rPr>
        <w:t xml:space="preserve"> Judgment [E. Rev. no. 4/2018] of 17 May 2018, again a</w:t>
      </w:r>
      <w:r>
        <w:rPr>
          <w:iCs/>
          <w:sz w:val="24"/>
          <w:lang w:val="en-GB"/>
        </w:rPr>
        <w:t>pproved</w:t>
      </w:r>
      <w:r w:rsidRPr="00AC05B6">
        <w:rPr>
          <w:iCs/>
          <w:sz w:val="24"/>
          <w:lang w:val="en-GB"/>
        </w:rPr>
        <w:t xml:space="preserve"> the revision submitted by the respondent [SIGMA], but re</w:t>
      </w:r>
      <w:r>
        <w:rPr>
          <w:iCs/>
          <w:sz w:val="24"/>
          <w:lang w:val="en-GB"/>
        </w:rPr>
        <w:t>manded</w:t>
      </w:r>
      <w:r w:rsidRPr="00AC05B6">
        <w:rPr>
          <w:iCs/>
          <w:sz w:val="24"/>
          <w:lang w:val="en-GB"/>
        </w:rPr>
        <w:t xml:space="preserve"> the case to the first instance for retrial. The Supreme Court on the</w:t>
      </w:r>
      <w:r>
        <w:rPr>
          <w:iCs/>
          <w:sz w:val="24"/>
          <w:lang w:val="en-GB"/>
        </w:rPr>
        <w:t xml:space="preserve"> basis of the</w:t>
      </w:r>
      <w:r w:rsidRPr="00AC05B6">
        <w:rPr>
          <w:iCs/>
          <w:sz w:val="24"/>
          <w:lang w:val="en-GB"/>
        </w:rPr>
        <w:t xml:space="preserve"> Judgment of the Constitutio</w:t>
      </w:r>
      <w:r>
        <w:rPr>
          <w:iCs/>
          <w:sz w:val="24"/>
          <w:lang w:val="en-GB"/>
        </w:rPr>
        <w:t xml:space="preserve">nal Court KI97 / 16 found that </w:t>
      </w:r>
      <w:r w:rsidRPr="00AC05B6">
        <w:rPr>
          <w:i/>
          <w:iCs/>
          <w:sz w:val="24"/>
          <w:lang w:val="en-GB"/>
        </w:rPr>
        <w:t xml:space="preserve">“[...] in this legal dispute matter, the facts for what were the necessary expenses for the recovery of the claimant’s insured person D.H. have not been clarified, as well as other expenses </w:t>
      </w:r>
      <w:r>
        <w:rPr>
          <w:i/>
          <w:iCs/>
          <w:sz w:val="24"/>
          <w:lang w:val="en-GB"/>
        </w:rPr>
        <w:t>for</w:t>
      </w:r>
      <w:r w:rsidRPr="00AC05B6">
        <w:rPr>
          <w:i/>
          <w:iCs/>
          <w:sz w:val="24"/>
          <w:lang w:val="en-GB"/>
        </w:rPr>
        <w:t xml:space="preserve"> the duration of his recovery and which the claimant has the right to have reimbursed by the defendant. </w:t>
      </w:r>
      <w:r>
        <w:rPr>
          <w:i/>
          <w:iCs/>
          <w:sz w:val="24"/>
          <w:lang w:val="en-GB"/>
        </w:rPr>
        <w:t>After reaching the extrajudicial agreement</w:t>
      </w:r>
      <w:r w:rsidRPr="00AC05B6">
        <w:rPr>
          <w:i/>
          <w:iCs/>
          <w:sz w:val="24"/>
          <w:lang w:val="en-GB"/>
        </w:rPr>
        <w:t xml:space="preserve"> </w:t>
      </w:r>
      <w:r>
        <w:rPr>
          <w:i/>
          <w:iCs/>
          <w:sz w:val="24"/>
          <w:lang w:val="en-GB"/>
        </w:rPr>
        <w:t>between the respondent</w:t>
      </w:r>
      <w:r w:rsidRPr="00AC05B6">
        <w:rPr>
          <w:i/>
          <w:iCs/>
          <w:sz w:val="24"/>
          <w:lang w:val="en-GB"/>
        </w:rPr>
        <w:t xml:space="preserve"> KS Sigma and the</w:t>
      </w:r>
      <w:r>
        <w:rPr>
          <w:i/>
          <w:iCs/>
          <w:sz w:val="24"/>
          <w:lang w:val="en-GB"/>
        </w:rPr>
        <w:t xml:space="preserve"> claimant’s insured person</w:t>
      </w:r>
      <w:r w:rsidRPr="00AC05B6">
        <w:rPr>
          <w:i/>
          <w:iCs/>
          <w:sz w:val="24"/>
          <w:lang w:val="en-GB"/>
        </w:rPr>
        <w:t xml:space="preserve"> </w:t>
      </w:r>
      <w:r>
        <w:rPr>
          <w:i/>
          <w:iCs/>
          <w:sz w:val="24"/>
          <w:lang w:val="en-GB"/>
        </w:rPr>
        <w:t xml:space="preserve"> D.H., did</w:t>
      </w:r>
      <w:r w:rsidRPr="00AC05B6">
        <w:rPr>
          <w:i/>
          <w:iCs/>
          <w:sz w:val="24"/>
          <w:lang w:val="en-GB"/>
        </w:rPr>
        <w:t xml:space="preserve"> </w:t>
      </w:r>
      <w:r>
        <w:rPr>
          <w:i/>
          <w:iCs/>
          <w:sz w:val="24"/>
          <w:lang w:val="en-GB"/>
        </w:rPr>
        <w:t xml:space="preserve">the </w:t>
      </w:r>
      <w:r w:rsidRPr="00AC05B6">
        <w:rPr>
          <w:i/>
          <w:iCs/>
          <w:sz w:val="24"/>
          <w:lang w:val="en-GB"/>
        </w:rPr>
        <w:t>health condition</w:t>
      </w:r>
      <w:r>
        <w:rPr>
          <w:i/>
          <w:iCs/>
          <w:sz w:val="24"/>
          <w:lang w:val="en-GB"/>
        </w:rPr>
        <w:t xml:space="preserve"> of the latter</w:t>
      </w:r>
      <w:r w:rsidRPr="00AC05B6">
        <w:rPr>
          <w:i/>
          <w:iCs/>
          <w:sz w:val="24"/>
          <w:lang w:val="en-GB"/>
        </w:rPr>
        <w:t xml:space="preserve"> deteriorate as a result of the accident caused by the respondent's insured </w:t>
      </w:r>
      <w:r>
        <w:rPr>
          <w:i/>
          <w:iCs/>
          <w:sz w:val="24"/>
          <w:lang w:val="en-GB"/>
        </w:rPr>
        <w:t xml:space="preserve">person </w:t>
      </w:r>
      <w:r w:rsidRPr="00AC05B6">
        <w:rPr>
          <w:i/>
          <w:iCs/>
          <w:sz w:val="24"/>
          <w:lang w:val="en-GB"/>
        </w:rPr>
        <w:t>and</w:t>
      </w:r>
      <w:r>
        <w:rPr>
          <w:i/>
          <w:iCs/>
          <w:sz w:val="24"/>
          <w:lang w:val="en-GB"/>
        </w:rPr>
        <w:t xml:space="preserve"> did</w:t>
      </w:r>
      <w:r w:rsidRPr="00AC05B6">
        <w:rPr>
          <w:i/>
          <w:iCs/>
          <w:sz w:val="24"/>
          <w:lang w:val="en-GB"/>
        </w:rPr>
        <w:t xml:space="preserve"> the further recovery </w:t>
      </w:r>
      <w:r>
        <w:rPr>
          <w:i/>
          <w:iCs/>
          <w:sz w:val="24"/>
          <w:lang w:val="en-GB"/>
        </w:rPr>
        <w:t xml:space="preserve">of the insured person </w:t>
      </w:r>
      <w:r w:rsidR="007B59EF">
        <w:rPr>
          <w:i/>
          <w:iCs/>
          <w:sz w:val="24"/>
          <w:lang w:val="en-GB"/>
        </w:rPr>
        <w:t xml:space="preserve">result as a consequence of the </w:t>
      </w:r>
      <w:r w:rsidRPr="00AC05B6">
        <w:rPr>
          <w:i/>
          <w:iCs/>
          <w:sz w:val="24"/>
          <w:lang w:val="en-GB"/>
        </w:rPr>
        <w:t xml:space="preserve"> accident caused, </w:t>
      </w:r>
      <w:r w:rsidR="007B59EF">
        <w:rPr>
          <w:i/>
          <w:iCs/>
          <w:sz w:val="24"/>
          <w:lang w:val="en-GB"/>
        </w:rPr>
        <w:t>namely</w:t>
      </w:r>
      <w:r w:rsidRPr="00AC05B6">
        <w:rPr>
          <w:i/>
          <w:iCs/>
          <w:sz w:val="24"/>
          <w:lang w:val="en-GB"/>
        </w:rPr>
        <w:t xml:space="preserve">  is</w:t>
      </w:r>
      <w:r w:rsidR="007B59EF">
        <w:rPr>
          <w:i/>
          <w:iCs/>
          <w:sz w:val="24"/>
          <w:lang w:val="en-GB"/>
        </w:rPr>
        <w:t xml:space="preserve"> it in causal link</w:t>
      </w:r>
      <w:r w:rsidRPr="00AC05B6">
        <w:rPr>
          <w:i/>
          <w:iCs/>
          <w:sz w:val="24"/>
          <w:lang w:val="en-GB"/>
        </w:rPr>
        <w:t xml:space="preserve"> </w:t>
      </w:r>
      <w:r w:rsidR="007B59EF">
        <w:rPr>
          <w:i/>
          <w:iCs/>
          <w:sz w:val="24"/>
          <w:lang w:val="en-GB"/>
        </w:rPr>
        <w:t>with</w:t>
      </w:r>
      <w:r w:rsidRPr="00AC05B6">
        <w:rPr>
          <w:i/>
          <w:iCs/>
          <w:sz w:val="24"/>
          <w:lang w:val="en-GB"/>
        </w:rPr>
        <w:t xml:space="preserve"> the accident caused and what expenses have been necessary for his recovery</w:t>
      </w:r>
      <w:r w:rsidR="007B59EF">
        <w:rPr>
          <w:i/>
          <w:iCs/>
          <w:sz w:val="24"/>
          <w:lang w:val="en-GB"/>
        </w:rPr>
        <w:t>, expenses</w:t>
      </w:r>
      <w:r w:rsidRPr="00AC05B6">
        <w:rPr>
          <w:i/>
          <w:iCs/>
          <w:sz w:val="24"/>
          <w:lang w:val="en-GB"/>
        </w:rPr>
        <w:t xml:space="preserve"> which can be accepted and </w:t>
      </w:r>
      <w:r w:rsidR="007B59EF">
        <w:rPr>
          <w:i/>
          <w:iCs/>
          <w:sz w:val="24"/>
          <w:lang w:val="en-GB"/>
        </w:rPr>
        <w:t xml:space="preserve">which </w:t>
      </w:r>
      <w:r w:rsidRPr="00AC05B6">
        <w:rPr>
          <w:i/>
          <w:iCs/>
          <w:sz w:val="24"/>
          <w:lang w:val="en-GB"/>
        </w:rPr>
        <w:t xml:space="preserve"> the </w:t>
      </w:r>
      <w:r w:rsidR="007B59EF">
        <w:rPr>
          <w:i/>
          <w:iCs/>
          <w:sz w:val="24"/>
          <w:lang w:val="en-GB"/>
        </w:rPr>
        <w:t>respondent will be obliged</w:t>
      </w:r>
      <w:r w:rsidRPr="00AC05B6">
        <w:rPr>
          <w:i/>
          <w:iCs/>
          <w:sz w:val="24"/>
          <w:lang w:val="en-GB"/>
        </w:rPr>
        <w:t xml:space="preserve"> to reimburse</w:t>
      </w:r>
      <w:r w:rsidR="00FF271B" w:rsidRPr="00AC05B6">
        <w:rPr>
          <w:i/>
          <w:sz w:val="24"/>
          <w:lang w:val="en-GB"/>
        </w:rPr>
        <w:t>. [...].”</w:t>
      </w:r>
    </w:p>
    <w:p w:rsidR="00D229BF" w:rsidRPr="00AC05B6" w:rsidRDefault="00D229BF" w:rsidP="00A06B9C">
      <w:pPr>
        <w:pStyle w:val="ListParagraph"/>
        <w:spacing w:line="240" w:lineRule="auto"/>
        <w:ind w:left="540" w:hanging="540"/>
        <w:rPr>
          <w:i/>
          <w:sz w:val="24"/>
          <w:lang w:val="en-GB"/>
        </w:rPr>
      </w:pPr>
    </w:p>
    <w:p w:rsidR="00D229BF" w:rsidRPr="00314A8D" w:rsidRDefault="007B59EF" w:rsidP="00A06B9C">
      <w:pPr>
        <w:pStyle w:val="ListParagraph"/>
        <w:numPr>
          <w:ilvl w:val="0"/>
          <w:numId w:val="63"/>
        </w:numPr>
        <w:autoSpaceDE w:val="0"/>
        <w:autoSpaceDN w:val="0"/>
        <w:adjustRightInd w:val="0"/>
        <w:spacing w:line="240" w:lineRule="auto"/>
        <w:ind w:left="634" w:hanging="634"/>
        <w:rPr>
          <w:sz w:val="24"/>
          <w:lang w:val="en-GB"/>
        </w:rPr>
      </w:pPr>
      <w:r w:rsidRPr="007B59EF">
        <w:rPr>
          <w:sz w:val="24"/>
          <w:lang w:val="en-GB"/>
        </w:rPr>
        <w:t xml:space="preserve">In </w:t>
      </w:r>
      <w:r>
        <w:rPr>
          <w:sz w:val="24"/>
          <w:lang w:val="en-GB"/>
        </w:rPr>
        <w:t xml:space="preserve">the </w:t>
      </w:r>
      <w:r w:rsidRPr="007B59EF">
        <w:rPr>
          <w:sz w:val="24"/>
          <w:lang w:val="en-GB"/>
        </w:rPr>
        <w:t xml:space="preserve">light of the above decisions of the Court of Appeals and the Supreme Court, presented by the Applicant in his </w:t>
      </w:r>
      <w:r>
        <w:rPr>
          <w:sz w:val="24"/>
          <w:lang w:val="en-GB"/>
        </w:rPr>
        <w:t>Referral</w:t>
      </w:r>
      <w:r w:rsidRPr="007B59EF">
        <w:rPr>
          <w:sz w:val="24"/>
          <w:lang w:val="en-GB"/>
        </w:rPr>
        <w:t>, the Court notes th</w:t>
      </w:r>
      <w:r>
        <w:rPr>
          <w:sz w:val="24"/>
          <w:lang w:val="en-GB"/>
        </w:rPr>
        <w:t>at there is no uniform case law</w:t>
      </w:r>
      <w:r w:rsidRPr="007B59EF">
        <w:rPr>
          <w:sz w:val="24"/>
          <w:lang w:val="en-GB"/>
        </w:rPr>
        <w:t xml:space="preserve"> of the Court of Appeals and the Supreme Court re</w:t>
      </w:r>
      <w:r>
        <w:rPr>
          <w:sz w:val="24"/>
          <w:lang w:val="en-GB"/>
        </w:rPr>
        <w:t>lating to</w:t>
      </w:r>
      <w:r w:rsidRPr="007B59EF">
        <w:rPr>
          <w:sz w:val="24"/>
          <w:lang w:val="en-GB"/>
        </w:rPr>
        <w:t xml:space="preserve"> the right to subrogation, in particular in cases when the parties have entered into </w:t>
      </w:r>
      <w:r>
        <w:rPr>
          <w:sz w:val="24"/>
          <w:lang w:val="en-GB"/>
        </w:rPr>
        <w:t>extrajudicial</w:t>
      </w:r>
      <w:r w:rsidRPr="007B59EF">
        <w:rPr>
          <w:sz w:val="24"/>
          <w:lang w:val="en-GB"/>
        </w:rPr>
        <w:t xml:space="preserve"> agreement without the involvement of the insurance company, which ha</w:t>
      </w:r>
      <w:r>
        <w:rPr>
          <w:sz w:val="24"/>
          <w:lang w:val="en-GB"/>
        </w:rPr>
        <w:t>s</w:t>
      </w:r>
      <w:r w:rsidRPr="007B59EF">
        <w:rPr>
          <w:sz w:val="24"/>
          <w:lang w:val="en-GB"/>
        </w:rPr>
        <w:t xml:space="preserve"> paid for medical treatment and </w:t>
      </w:r>
      <w:r>
        <w:rPr>
          <w:sz w:val="24"/>
          <w:lang w:val="en-GB"/>
        </w:rPr>
        <w:t xml:space="preserve">provided </w:t>
      </w:r>
      <w:r w:rsidRPr="007B59EF">
        <w:rPr>
          <w:sz w:val="24"/>
          <w:lang w:val="en-GB"/>
        </w:rPr>
        <w:t xml:space="preserve">compensation for incapacity </w:t>
      </w:r>
      <w:r>
        <w:rPr>
          <w:sz w:val="24"/>
          <w:lang w:val="en-GB"/>
        </w:rPr>
        <w:t>to</w:t>
      </w:r>
      <w:r w:rsidRPr="007B59EF">
        <w:rPr>
          <w:sz w:val="24"/>
          <w:lang w:val="en-GB"/>
        </w:rPr>
        <w:t xml:space="preserve"> work </w:t>
      </w:r>
      <w:r>
        <w:rPr>
          <w:sz w:val="24"/>
          <w:lang w:val="en-GB"/>
        </w:rPr>
        <w:t>to</w:t>
      </w:r>
      <w:r w:rsidRPr="007B59EF">
        <w:rPr>
          <w:sz w:val="24"/>
          <w:lang w:val="en-GB"/>
        </w:rPr>
        <w:t xml:space="preserve"> their insured persons, as a result of accidents caused in the Republic of Kosovo</w:t>
      </w:r>
      <w:r w:rsidR="00FF271B" w:rsidRPr="00314A8D">
        <w:rPr>
          <w:sz w:val="24"/>
          <w:lang w:val="en-GB"/>
        </w:rPr>
        <w:t xml:space="preserve">. </w:t>
      </w:r>
    </w:p>
    <w:p w:rsidR="00314A8D" w:rsidRPr="00314A8D" w:rsidRDefault="00314A8D" w:rsidP="00A06B9C">
      <w:pPr>
        <w:pStyle w:val="ListParagraph"/>
        <w:spacing w:line="240" w:lineRule="auto"/>
        <w:ind w:left="540" w:hanging="540"/>
        <w:rPr>
          <w:sz w:val="24"/>
          <w:lang w:val="en-GB"/>
        </w:rPr>
      </w:pPr>
    </w:p>
    <w:p w:rsidR="00314A8D" w:rsidRPr="00314A8D" w:rsidRDefault="0065135D" w:rsidP="00A06B9C">
      <w:pPr>
        <w:pStyle w:val="ListParagraph"/>
        <w:numPr>
          <w:ilvl w:val="0"/>
          <w:numId w:val="63"/>
        </w:numPr>
        <w:autoSpaceDE w:val="0"/>
        <w:autoSpaceDN w:val="0"/>
        <w:adjustRightInd w:val="0"/>
        <w:spacing w:line="240" w:lineRule="auto"/>
        <w:ind w:left="634" w:hanging="634"/>
        <w:rPr>
          <w:sz w:val="24"/>
          <w:lang w:val="en-GB"/>
        </w:rPr>
      </w:pPr>
      <w:r w:rsidRPr="0065135D">
        <w:rPr>
          <w:sz w:val="24"/>
          <w:lang w:val="en-GB"/>
        </w:rPr>
        <w:t xml:space="preserve">Therefore, based on the above, and in the context of the obligation </w:t>
      </w:r>
      <w:r>
        <w:rPr>
          <w:sz w:val="24"/>
          <w:lang w:val="en-GB"/>
        </w:rPr>
        <w:t>determined</w:t>
      </w:r>
      <w:r w:rsidRPr="0065135D">
        <w:rPr>
          <w:sz w:val="24"/>
          <w:lang w:val="en-GB"/>
        </w:rPr>
        <w:t xml:space="preserve"> </w:t>
      </w:r>
      <w:r>
        <w:rPr>
          <w:sz w:val="24"/>
          <w:lang w:val="en-GB"/>
        </w:rPr>
        <w:t>by</w:t>
      </w:r>
      <w:r w:rsidRPr="0065135D">
        <w:rPr>
          <w:sz w:val="24"/>
          <w:lang w:val="en-GB"/>
        </w:rPr>
        <w:t xml:space="preserve"> the </w:t>
      </w:r>
      <w:r>
        <w:rPr>
          <w:sz w:val="24"/>
          <w:lang w:val="en-GB"/>
        </w:rPr>
        <w:t>case law</w:t>
      </w:r>
      <w:r w:rsidRPr="0065135D">
        <w:rPr>
          <w:sz w:val="24"/>
          <w:lang w:val="en-GB"/>
        </w:rPr>
        <w:t xml:space="preserve"> of the </w:t>
      </w:r>
      <w:proofErr w:type="spellStart"/>
      <w:r w:rsidRPr="0065135D">
        <w:rPr>
          <w:sz w:val="24"/>
          <w:lang w:val="en-GB"/>
        </w:rPr>
        <w:t>ECtHR</w:t>
      </w:r>
      <w:proofErr w:type="spellEnd"/>
      <w:r w:rsidRPr="0065135D">
        <w:rPr>
          <w:sz w:val="24"/>
          <w:lang w:val="en-GB"/>
        </w:rPr>
        <w:t xml:space="preserve"> and </w:t>
      </w:r>
      <w:r>
        <w:rPr>
          <w:sz w:val="24"/>
          <w:lang w:val="en-GB"/>
        </w:rPr>
        <w:t xml:space="preserve">of </w:t>
      </w:r>
      <w:r w:rsidRPr="0065135D">
        <w:rPr>
          <w:sz w:val="24"/>
          <w:lang w:val="en-GB"/>
        </w:rPr>
        <w:t xml:space="preserve">Court that the </w:t>
      </w:r>
      <w:r>
        <w:rPr>
          <w:sz w:val="24"/>
          <w:lang w:val="en-GB"/>
        </w:rPr>
        <w:t>applicants</w:t>
      </w:r>
      <w:r w:rsidRPr="0065135D">
        <w:rPr>
          <w:sz w:val="24"/>
          <w:lang w:val="en-GB"/>
        </w:rPr>
        <w:t xml:space="preserve"> must present to the Court the relevant arguments regarding the factual and legal similarity of the cases which they claim have been resolved differently by the regular courts, resulting in conflicting decisions in</w:t>
      </w:r>
      <w:r>
        <w:rPr>
          <w:sz w:val="24"/>
          <w:lang w:val="en-GB"/>
        </w:rPr>
        <w:t xml:space="preserve"> the case law</w:t>
      </w:r>
      <w:r w:rsidRPr="0065135D">
        <w:rPr>
          <w:sz w:val="24"/>
          <w:lang w:val="en-GB"/>
        </w:rPr>
        <w:t xml:space="preserve">, the Court considers that in the circumstances of the present case, the </w:t>
      </w:r>
      <w:r>
        <w:rPr>
          <w:sz w:val="24"/>
          <w:lang w:val="en-GB"/>
        </w:rPr>
        <w:t>A</w:t>
      </w:r>
      <w:r w:rsidRPr="0065135D">
        <w:rPr>
          <w:sz w:val="24"/>
          <w:lang w:val="en-GB"/>
        </w:rPr>
        <w:t xml:space="preserve">pplicant has not fulfilled this obligation. In this respect, the Court found that three (3) of the six (6) decisions, </w:t>
      </w:r>
      <w:r>
        <w:rPr>
          <w:sz w:val="24"/>
          <w:lang w:val="en-GB"/>
        </w:rPr>
        <w:t>submitted</w:t>
      </w:r>
      <w:r w:rsidRPr="0065135D">
        <w:rPr>
          <w:sz w:val="24"/>
          <w:lang w:val="en-GB"/>
        </w:rPr>
        <w:t xml:space="preserve"> by the Applicant, which essentially elaborated on the issue of determin</w:t>
      </w:r>
      <w:r>
        <w:rPr>
          <w:sz w:val="24"/>
          <w:lang w:val="en-GB"/>
        </w:rPr>
        <w:t xml:space="preserve">ation </w:t>
      </w:r>
      <w:proofErr w:type="spellStart"/>
      <w:proofErr w:type="gramStart"/>
      <w:r>
        <w:rPr>
          <w:sz w:val="24"/>
          <w:lang w:val="en-GB"/>
        </w:rPr>
        <w:t>fo</w:t>
      </w:r>
      <w:proofErr w:type="spellEnd"/>
      <w:proofErr w:type="gramEnd"/>
      <w:r>
        <w:rPr>
          <w:sz w:val="24"/>
          <w:lang w:val="en-GB"/>
        </w:rPr>
        <w:t xml:space="preserve"> the late payment (</w:t>
      </w:r>
      <w:r w:rsidRPr="0065135D">
        <w:rPr>
          <w:sz w:val="24"/>
          <w:lang w:val="en-GB"/>
        </w:rPr>
        <w:t>interest</w:t>
      </w:r>
      <w:r>
        <w:rPr>
          <w:sz w:val="24"/>
          <w:lang w:val="en-GB"/>
        </w:rPr>
        <w:t>)</w:t>
      </w:r>
      <w:r w:rsidRPr="0065135D">
        <w:rPr>
          <w:sz w:val="24"/>
          <w:lang w:val="en-GB"/>
        </w:rPr>
        <w:t xml:space="preserve"> d</w:t>
      </w:r>
      <w:r>
        <w:rPr>
          <w:sz w:val="24"/>
          <w:lang w:val="en-GB"/>
        </w:rPr>
        <w:t xml:space="preserve">o </w:t>
      </w:r>
      <w:r w:rsidRPr="0065135D">
        <w:rPr>
          <w:sz w:val="24"/>
          <w:lang w:val="en-GB"/>
        </w:rPr>
        <w:t>not contain factual and procedural similarities with those in the case of the Applicant</w:t>
      </w:r>
      <w:r w:rsidR="00FF271B" w:rsidRPr="00314A8D">
        <w:rPr>
          <w:rFonts w:cs="TimesNewRomanPSMT"/>
          <w:sz w:val="24"/>
          <w:lang w:val="en-GB"/>
        </w:rPr>
        <w:t>.</w:t>
      </w:r>
    </w:p>
    <w:p w:rsidR="00314A8D" w:rsidRPr="00314A8D" w:rsidRDefault="00314A8D" w:rsidP="00A06B9C">
      <w:pPr>
        <w:pStyle w:val="ListParagraph"/>
        <w:spacing w:line="240" w:lineRule="auto"/>
        <w:ind w:left="540" w:hanging="540"/>
        <w:rPr>
          <w:sz w:val="24"/>
          <w:lang w:val="en-GB"/>
        </w:rPr>
      </w:pPr>
    </w:p>
    <w:p w:rsidR="00D229BF" w:rsidRPr="00314A8D" w:rsidRDefault="00405254" w:rsidP="00A06B9C">
      <w:pPr>
        <w:pStyle w:val="ListParagraph"/>
        <w:numPr>
          <w:ilvl w:val="0"/>
          <w:numId w:val="63"/>
        </w:numPr>
        <w:autoSpaceDE w:val="0"/>
        <w:autoSpaceDN w:val="0"/>
        <w:adjustRightInd w:val="0"/>
        <w:spacing w:line="240" w:lineRule="auto"/>
        <w:ind w:left="634" w:hanging="634"/>
        <w:rPr>
          <w:sz w:val="24"/>
          <w:lang w:val="en-GB"/>
        </w:rPr>
      </w:pPr>
      <w:r w:rsidRPr="00405254">
        <w:rPr>
          <w:sz w:val="24"/>
          <w:lang w:val="en-GB"/>
        </w:rPr>
        <w:t xml:space="preserve">Subsequently, and with regard to the other three (3) decisions of the Court of Appeals and the Supreme Court, submitted by the Applicant, and </w:t>
      </w:r>
      <w:r>
        <w:rPr>
          <w:sz w:val="24"/>
          <w:lang w:val="en-GB"/>
        </w:rPr>
        <w:t xml:space="preserve">which refer </w:t>
      </w:r>
      <w:r w:rsidRPr="00405254">
        <w:rPr>
          <w:sz w:val="24"/>
          <w:lang w:val="en-GB"/>
        </w:rPr>
        <w:t xml:space="preserve">to similar factual and </w:t>
      </w:r>
      <w:r w:rsidR="0034577F">
        <w:rPr>
          <w:sz w:val="24"/>
          <w:lang w:val="en-GB"/>
        </w:rPr>
        <w:t>legal</w:t>
      </w:r>
      <w:r w:rsidRPr="00405254">
        <w:rPr>
          <w:sz w:val="24"/>
          <w:lang w:val="en-GB"/>
        </w:rPr>
        <w:t xml:space="preserve"> circumstances </w:t>
      </w:r>
      <w:r w:rsidR="0034577F">
        <w:rPr>
          <w:sz w:val="24"/>
          <w:lang w:val="en-GB"/>
        </w:rPr>
        <w:t>with</w:t>
      </w:r>
      <w:r w:rsidRPr="00405254">
        <w:rPr>
          <w:sz w:val="24"/>
          <w:lang w:val="en-GB"/>
        </w:rPr>
        <w:t xml:space="preserve"> the Applicant's case, the Court </w:t>
      </w:r>
      <w:r w:rsidR="0034577F">
        <w:rPr>
          <w:sz w:val="24"/>
          <w:lang w:val="en-GB"/>
        </w:rPr>
        <w:t xml:space="preserve">has </w:t>
      </w:r>
      <w:r w:rsidRPr="00405254">
        <w:rPr>
          <w:sz w:val="24"/>
          <w:lang w:val="en-GB"/>
        </w:rPr>
        <w:t>clarified that the main criterion for assessing if the conflict</w:t>
      </w:r>
      <w:r w:rsidR="0034577F">
        <w:rPr>
          <w:sz w:val="24"/>
          <w:lang w:val="en-GB"/>
        </w:rPr>
        <w:t xml:space="preserve">ing decisions are </w:t>
      </w:r>
      <w:r w:rsidR="0034577F">
        <w:rPr>
          <w:sz w:val="24"/>
          <w:lang w:val="en-GB"/>
        </w:rPr>
        <w:lastRenderedPageBreak/>
        <w:t>“manifestly</w:t>
      </w:r>
      <w:r w:rsidRPr="00405254">
        <w:rPr>
          <w:sz w:val="24"/>
          <w:lang w:val="en-GB"/>
        </w:rPr>
        <w:t xml:space="preserve"> arbitrary”, is the existence of “</w:t>
      </w:r>
      <w:r w:rsidR="0034577F" w:rsidRPr="0034577F">
        <w:rPr>
          <w:i/>
          <w:sz w:val="24"/>
          <w:lang w:val="en-GB"/>
        </w:rPr>
        <w:t>profound</w:t>
      </w:r>
      <w:r w:rsidRPr="0034577F">
        <w:rPr>
          <w:i/>
          <w:sz w:val="24"/>
          <w:lang w:val="en-GB"/>
        </w:rPr>
        <w:t xml:space="preserve"> and </w:t>
      </w:r>
      <w:r w:rsidR="0034577F" w:rsidRPr="0034577F">
        <w:rPr>
          <w:i/>
          <w:sz w:val="24"/>
          <w:lang w:val="en-GB"/>
        </w:rPr>
        <w:t xml:space="preserve">long-standing </w:t>
      </w:r>
      <w:r w:rsidRPr="0034577F">
        <w:rPr>
          <w:i/>
          <w:sz w:val="24"/>
          <w:lang w:val="en-GB"/>
        </w:rPr>
        <w:t>differences”</w:t>
      </w:r>
      <w:r w:rsidRPr="00405254">
        <w:rPr>
          <w:sz w:val="24"/>
          <w:lang w:val="en-GB"/>
        </w:rPr>
        <w:t xml:space="preserve"> in the relevant case law. Therefore, </w:t>
      </w:r>
      <w:r w:rsidR="0000180D">
        <w:rPr>
          <w:sz w:val="24"/>
          <w:lang w:val="en-GB"/>
        </w:rPr>
        <w:t>the Court considers that in the present</w:t>
      </w:r>
      <w:r w:rsidRPr="00405254">
        <w:rPr>
          <w:sz w:val="24"/>
          <w:lang w:val="en-GB"/>
        </w:rPr>
        <w:t xml:space="preserve"> case there are no </w:t>
      </w:r>
      <w:r w:rsidR="0000180D" w:rsidRPr="00405254">
        <w:rPr>
          <w:sz w:val="24"/>
          <w:lang w:val="en-GB"/>
        </w:rPr>
        <w:t>“</w:t>
      </w:r>
      <w:r w:rsidR="0000180D" w:rsidRPr="0034577F">
        <w:rPr>
          <w:i/>
          <w:sz w:val="24"/>
          <w:lang w:val="en-GB"/>
        </w:rPr>
        <w:t>profound and long-standing differences”</w:t>
      </w:r>
      <w:r w:rsidR="0000180D" w:rsidRPr="00405254">
        <w:rPr>
          <w:sz w:val="24"/>
          <w:lang w:val="en-GB"/>
        </w:rPr>
        <w:t xml:space="preserve"> </w:t>
      </w:r>
      <w:r w:rsidR="0000180D">
        <w:rPr>
          <w:sz w:val="24"/>
          <w:lang w:val="en-GB"/>
        </w:rPr>
        <w:t>in</w:t>
      </w:r>
      <w:r w:rsidRPr="00405254">
        <w:rPr>
          <w:sz w:val="24"/>
          <w:lang w:val="en-GB"/>
        </w:rPr>
        <w:t xml:space="preserve"> the case law of the Supreme Court and the Court of Appeals, respectively there is no </w:t>
      </w:r>
      <w:r w:rsidR="004C7698">
        <w:rPr>
          <w:sz w:val="24"/>
          <w:lang w:val="en-GB"/>
        </w:rPr>
        <w:t>court and</w:t>
      </w:r>
      <w:r w:rsidRPr="00405254">
        <w:rPr>
          <w:sz w:val="24"/>
          <w:lang w:val="en-GB"/>
        </w:rPr>
        <w:t xml:space="preserve"> uniform </w:t>
      </w:r>
      <w:r w:rsidR="0000180D">
        <w:rPr>
          <w:sz w:val="24"/>
          <w:lang w:val="en-GB"/>
        </w:rPr>
        <w:t>case law</w:t>
      </w:r>
      <w:r w:rsidRPr="00405254">
        <w:rPr>
          <w:sz w:val="24"/>
          <w:lang w:val="en-GB"/>
        </w:rPr>
        <w:t xml:space="preserve"> that refers to the recognition of the right to subrogation of insurance companies in cases when the latter </w:t>
      </w:r>
      <w:r w:rsidR="0000180D">
        <w:rPr>
          <w:sz w:val="24"/>
          <w:lang w:val="en-GB"/>
        </w:rPr>
        <w:t>have not been</w:t>
      </w:r>
      <w:r w:rsidRPr="00405254">
        <w:rPr>
          <w:sz w:val="24"/>
          <w:lang w:val="en-GB"/>
        </w:rPr>
        <w:t xml:space="preserve"> parties to the </w:t>
      </w:r>
      <w:r w:rsidR="0000180D">
        <w:rPr>
          <w:sz w:val="24"/>
          <w:lang w:val="en-GB"/>
        </w:rPr>
        <w:t>extrajudicial</w:t>
      </w:r>
      <w:r w:rsidRPr="00405254">
        <w:rPr>
          <w:sz w:val="24"/>
          <w:lang w:val="en-GB"/>
        </w:rPr>
        <w:t xml:space="preserve"> agreements</w:t>
      </w:r>
      <w:r w:rsidR="00FF271B" w:rsidRPr="00314A8D">
        <w:rPr>
          <w:sz w:val="24"/>
          <w:lang w:val="en-GB"/>
        </w:rPr>
        <w:t>.</w:t>
      </w:r>
    </w:p>
    <w:p w:rsidR="00D229BF" w:rsidRPr="00314A8D" w:rsidRDefault="00D229BF" w:rsidP="00A06B9C">
      <w:pPr>
        <w:pStyle w:val="ListParagraph"/>
        <w:spacing w:line="240" w:lineRule="auto"/>
        <w:ind w:left="540" w:hanging="540"/>
        <w:rPr>
          <w:sz w:val="24"/>
          <w:lang w:val="en-GB"/>
        </w:rPr>
      </w:pPr>
    </w:p>
    <w:p w:rsidR="00D229BF" w:rsidRPr="00314A8D" w:rsidRDefault="00222381" w:rsidP="00A06B9C">
      <w:pPr>
        <w:pStyle w:val="ListParagraph"/>
        <w:numPr>
          <w:ilvl w:val="0"/>
          <w:numId w:val="63"/>
        </w:numPr>
        <w:autoSpaceDE w:val="0"/>
        <w:autoSpaceDN w:val="0"/>
        <w:adjustRightInd w:val="0"/>
        <w:spacing w:line="240" w:lineRule="auto"/>
        <w:ind w:left="634" w:hanging="634"/>
        <w:rPr>
          <w:rFonts w:cs="Arial"/>
          <w:i/>
          <w:sz w:val="24"/>
          <w:lang w:val="en-GB"/>
        </w:rPr>
      </w:pPr>
      <w:r w:rsidRPr="00222381">
        <w:rPr>
          <w:sz w:val="24"/>
          <w:lang w:val="en-GB"/>
        </w:rPr>
        <w:t>Consequently, the Court considers that neither the number of</w:t>
      </w:r>
      <w:r>
        <w:rPr>
          <w:sz w:val="24"/>
          <w:lang w:val="en-GB"/>
        </w:rPr>
        <w:t xml:space="preserve"> the</w:t>
      </w:r>
      <w:r w:rsidRPr="00222381">
        <w:rPr>
          <w:sz w:val="24"/>
          <w:lang w:val="en-GB"/>
        </w:rPr>
        <w:t xml:space="preserve"> </w:t>
      </w:r>
      <w:r>
        <w:rPr>
          <w:sz w:val="24"/>
          <w:lang w:val="en-GB"/>
        </w:rPr>
        <w:t xml:space="preserve">alleged contradictory </w:t>
      </w:r>
      <w:r w:rsidRPr="00222381">
        <w:rPr>
          <w:sz w:val="24"/>
          <w:lang w:val="en-GB"/>
        </w:rPr>
        <w:t xml:space="preserve">judgments  nor the time period within which these judgments were rendered provide a sufficient basis to justify the allegation </w:t>
      </w:r>
      <w:r w:rsidR="00ED33D0">
        <w:rPr>
          <w:sz w:val="24"/>
          <w:lang w:val="en-GB"/>
        </w:rPr>
        <w:t>for</w:t>
      </w:r>
      <w:r w:rsidRPr="00222381">
        <w:rPr>
          <w:sz w:val="24"/>
          <w:lang w:val="en-GB"/>
        </w:rPr>
        <w:t xml:space="preserve"> a </w:t>
      </w:r>
      <w:r>
        <w:rPr>
          <w:sz w:val="24"/>
          <w:lang w:val="en-GB"/>
        </w:rPr>
        <w:t>violation</w:t>
      </w:r>
      <w:r w:rsidRPr="00222381">
        <w:rPr>
          <w:sz w:val="24"/>
          <w:lang w:val="en-GB"/>
        </w:rPr>
        <w:t xml:space="preserve"> of the  principle </w:t>
      </w:r>
      <w:r>
        <w:rPr>
          <w:sz w:val="24"/>
          <w:lang w:val="en-GB"/>
        </w:rPr>
        <w:t xml:space="preserve">of certainty </w:t>
      </w:r>
      <w:r w:rsidRPr="00222381">
        <w:rPr>
          <w:sz w:val="24"/>
          <w:lang w:val="en-GB"/>
        </w:rPr>
        <w:t>as a result of the conflicting judgments.</w:t>
      </w:r>
    </w:p>
    <w:p w:rsidR="00D229BF" w:rsidRPr="00314A8D" w:rsidRDefault="00D229BF" w:rsidP="00A06B9C">
      <w:pPr>
        <w:spacing w:line="240" w:lineRule="auto"/>
        <w:ind w:left="630"/>
        <w:rPr>
          <w:iCs/>
          <w:sz w:val="24"/>
          <w:lang w:val="en-GB"/>
        </w:rPr>
      </w:pPr>
    </w:p>
    <w:p w:rsidR="00D229BF" w:rsidRPr="00314A8D" w:rsidRDefault="00222381" w:rsidP="00A06B9C">
      <w:pPr>
        <w:spacing w:line="240" w:lineRule="auto"/>
        <w:rPr>
          <w:b/>
          <w:sz w:val="24"/>
          <w:lang w:val="en-GB"/>
        </w:rPr>
      </w:pPr>
      <w:r>
        <w:rPr>
          <w:b/>
          <w:sz w:val="24"/>
          <w:lang w:val="en-GB"/>
        </w:rPr>
        <w:t>Conclusion</w:t>
      </w:r>
    </w:p>
    <w:p w:rsidR="00D229BF" w:rsidRPr="00314A8D" w:rsidRDefault="00D229BF" w:rsidP="00A06B9C">
      <w:pPr>
        <w:spacing w:line="240" w:lineRule="auto"/>
        <w:rPr>
          <w:sz w:val="24"/>
          <w:lang w:val="en-GB"/>
        </w:rPr>
      </w:pPr>
    </w:p>
    <w:p w:rsidR="00D229BF" w:rsidRPr="00314A8D" w:rsidRDefault="00ED33D0" w:rsidP="00A06B9C">
      <w:pPr>
        <w:pStyle w:val="ListParagraph"/>
        <w:numPr>
          <w:ilvl w:val="0"/>
          <w:numId w:val="63"/>
        </w:numPr>
        <w:autoSpaceDE w:val="0"/>
        <w:autoSpaceDN w:val="0"/>
        <w:adjustRightInd w:val="0"/>
        <w:spacing w:line="240" w:lineRule="auto"/>
        <w:ind w:left="634" w:hanging="634"/>
        <w:rPr>
          <w:rFonts w:cs="Arial"/>
          <w:sz w:val="24"/>
          <w:lang w:val="en-GB"/>
        </w:rPr>
      </w:pPr>
      <w:r>
        <w:rPr>
          <w:rFonts w:cs="Tahoma"/>
          <w:bCs/>
          <w:sz w:val="24"/>
          <w:lang w:val="en-GB"/>
        </w:rPr>
        <w:t xml:space="preserve">The </w:t>
      </w:r>
      <w:r w:rsidRPr="00A06B9C">
        <w:rPr>
          <w:sz w:val="24"/>
          <w:lang w:val="en-GB"/>
        </w:rPr>
        <w:t>Court</w:t>
      </w:r>
      <w:r>
        <w:rPr>
          <w:rFonts w:cs="Tahoma"/>
          <w:bCs/>
          <w:sz w:val="24"/>
          <w:lang w:val="en-GB"/>
        </w:rPr>
        <w:t>, when</w:t>
      </w:r>
      <w:r w:rsidRPr="00ED33D0">
        <w:rPr>
          <w:rFonts w:cs="Tahoma"/>
          <w:bCs/>
          <w:sz w:val="24"/>
          <w:lang w:val="en-GB"/>
        </w:rPr>
        <w:t xml:space="preserve"> examining and </w:t>
      </w:r>
      <w:r>
        <w:rPr>
          <w:rFonts w:cs="Tahoma"/>
          <w:bCs/>
          <w:sz w:val="24"/>
          <w:lang w:val="en-GB"/>
        </w:rPr>
        <w:t xml:space="preserve">considering the </w:t>
      </w:r>
      <w:r w:rsidRPr="00ED33D0">
        <w:rPr>
          <w:rFonts w:cs="Tahoma"/>
          <w:bCs/>
          <w:sz w:val="24"/>
          <w:lang w:val="en-GB"/>
        </w:rPr>
        <w:t>Applicant</w:t>
      </w:r>
      <w:r>
        <w:rPr>
          <w:rFonts w:cs="Tahoma"/>
          <w:bCs/>
          <w:sz w:val="24"/>
          <w:lang w:val="en-GB"/>
        </w:rPr>
        <w:t>’s allegations</w:t>
      </w:r>
      <w:r w:rsidRPr="00ED33D0">
        <w:rPr>
          <w:rFonts w:cs="Tahoma"/>
          <w:bCs/>
          <w:sz w:val="24"/>
          <w:lang w:val="en-GB"/>
        </w:rPr>
        <w:t xml:space="preserve">, </w:t>
      </w:r>
      <w:r>
        <w:rPr>
          <w:rFonts w:cs="Tahoma"/>
          <w:bCs/>
          <w:sz w:val="24"/>
          <w:lang w:val="en-GB"/>
        </w:rPr>
        <w:t xml:space="preserve">by </w:t>
      </w:r>
      <w:r w:rsidRPr="00ED33D0">
        <w:rPr>
          <w:rFonts w:cs="Tahoma"/>
          <w:bCs/>
          <w:sz w:val="24"/>
          <w:lang w:val="en-GB"/>
        </w:rPr>
        <w:t xml:space="preserve">applying </w:t>
      </w:r>
      <w:r>
        <w:rPr>
          <w:rFonts w:cs="Tahoma"/>
          <w:bCs/>
          <w:sz w:val="24"/>
          <w:lang w:val="en-GB"/>
        </w:rPr>
        <w:t>on this basis the</w:t>
      </w:r>
      <w:r w:rsidRPr="00ED33D0">
        <w:rPr>
          <w:rFonts w:cs="Tahoma"/>
          <w:bCs/>
          <w:sz w:val="24"/>
          <w:lang w:val="en-GB"/>
        </w:rPr>
        <w:t xml:space="preserve"> assessment</w:t>
      </w:r>
      <w:r>
        <w:rPr>
          <w:rFonts w:cs="Tahoma"/>
          <w:bCs/>
          <w:sz w:val="24"/>
          <w:lang w:val="en-GB"/>
        </w:rPr>
        <w:t xml:space="preserve"> of</w:t>
      </w:r>
      <w:r w:rsidRPr="00ED33D0">
        <w:rPr>
          <w:rFonts w:cs="Tahoma"/>
          <w:bCs/>
          <w:sz w:val="24"/>
          <w:lang w:val="en-GB"/>
        </w:rPr>
        <w:t xml:space="preserve"> the case law of the Court and the </w:t>
      </w:r>
      <w:proofErr w:type="spellStart"/>
      <w:r w:rsidRPr="00ED33D0">
        <w:rPr>
          <w:rFonts w:cs="Tahoma"/>
          <w:bCs/>
          <w:sz w:val="24"/>
          <w:lang w:val="en-GB"/>
        </w:rPr>
        <w:t>ECtHR</w:t>
      </w:r>
      <w:proofErr w:type="spellEnd"/>
      <w:r w:rsidRPr="00ED33D0">
        <w:rPr>
          <w:rFonts w:cs="Tahoma"/>
          <w:bCs/>
          <w:sz w:val="24"/>
          <w:lang w:val="en-GB"/>
        </w:rPr>
        <w:t xml:space="preserve"> regarding the lack of</w:t>
      </w:r>
      <w:r>
        <w:rPr>
          <w:rFonts w:cs="Tahoma"/>
          <w:bCs/>
          <w:sz w:val="24"/>
          <w:lang w:val="en-GB"/>
        </w:rPr>
        <w:t xml:space="preserve"> a</w:t>
      </w:r>
      <w:r w:rsidRPr="00ED33D0">
        <w:rPr>
          <w:rFonts w:cs="Tahoma"/>
          <w:bCs/>
          <w:sz w:val="24"/>
          <w:lang w:val="en-GB"/>
        </w:rPr>
        <w:t xml:space="preserve"> reasoned </w:t>
      </w:r>
      <w:r>
        <w:rPr>
          <w:rFonts w:cs="Tahoma"/>
          <w:bCs/>
          <w:sz w:val="24"/>
          <w:lang w:val="en-GB"/>
        </w:rPr>
        <w:t>court</w:t>
      </w:r>
      <w:r w:rsidRPr="00ED33D0">
        <w:rPr>
          <w:rFonts w:cs="Tahoma"/>
          <w:bCs/>
          <w:sz w:val="24"/>
          <w:lang w:val="en-GB"/>
        </w:rPr>
        <w:t xml:space="preserve"> decision and the principle of legal certainty in terms of consistency of </w:t>
      </w:r>
      <w:r>
        <w:rPr>
          <w:rFonts w:cs="Tahoma"/>
          <w:bCs/>
          <w:sz w:val="24"/>
          <w:lang w:val="en-GB"/>
        </w:rPr>
        <w:t xml:space="preserve">the </w:t>
      </w:r>
      <w:r w:rsidRPr="00ED33D0">
        <w:rPr>
          <w:rFonts w:cs="Tahoma"/>
          <w:bCs/>
          <w:sz w:val="24"/>
          <w:lang w:val="en-GB"/>
        </w:rPr>
        <w:t>case law comes to the conclusion as follows</w:t>
      </w:r>
      <w:r w:rsidR="00FF271B" w:rsidRPr="00314A8D">
        <w:rPr>
          <w:rFonts w:cs="Tahoma"/>
          <w:bCs/>
          <w:sz w:val="24"/>
          <w:lang w:val="en-GB"/>
        </w:rPr>
        <w:t xml:space="preserve">: </w:t>
      </w:r>
    </w:p>
    <w:p w:rsidR="00D229BF" w:rsidRPr="00314A8D" w:rsidRDefault="00D229BF" w:rsidP="00A06B9C">
      <w:pPr>
        <w:spacing w:line="240" w:lineRule="auto"/>
        <w:rPr>
          <w:sz w:val="24"/>
          <w:lang w:val="en-GB"/>
        </w:rPr>
      </w:pPr>
    </w:p>
    <w:p w:rsidR="00D229BF" w:rsidRPr="00314A8D" w:rsidRDefault="00ED33D0" w:rsidP="00A06B9C">
      <w:pPr>
        <w:pStyle w:val="ListParagraph"/>
        <w:numPr>
          <w:ilvl w:val="0"/>
          <w:numId w:val="63"/>
        </w:numPr>
        <w:autoSpaceDE w:val="0"/>
        <w:autoSpaceDN w:val="0"/>
        <w:adjustRightInd w:val="0"/>
        <w:spacing w:line="240" w:lineRule="auto"/>
        <w:ind w:left="634" w:hanging="634"/>
        <w:rPr>
          <w:sz w:val="24"/>
          <w:lang w:val="en-GB"/>
        </w:rPr>
      </w:pPr>
      <w:r>
        <w:rPr>
          <w:sz w:val="24"/>
          <w:lang w:val="en-GB"/>
        </w:rPr>
        <w:t>As regards</w:t>
      </w:r>
      <w:r w:rsidRPr="00ED33D0">
        <w:rPr>
          <w:sz w:val="24"/>
          <w:lang w:val="en-GB"/>
        </w:rPr>
        <w:t xml:space="preserve"> the first </w:t>
      </w:r>
      <w:r>
        <w:rPr>
          <w:sz w:val="24"/>
          <w:lang w:val="en-GB"/>
        </w:rPr>
        <w:t>allegation</w:t>
      </w:r>
      <w:r w:rsidRPr="00ED33D0">
        <w:rPr>
          <w:sz w:val="24"/>
          <w:lang w:val="en-GB"/>
        </w:rPr>
        <w:t xml:space="preserve"> of the </w:t>
      </w:r>
      <w:r>
        <w:rPr>
          <w:sz w:val="24"/>
          <w:lang w:val="en-GB"/>
        </w:rPr>
        <w:t>A</w:t>
      </w:r>
      <w:r w:rsidRPr="00ED33D0">
        <w:rPr>
          <w:sz w:val="24"/>
          <w:lang w:val="en-GB"/>
        </w:rPr>
        <w:t xml:space="preserve">pplicant </w:t>
      </w:r>
      <w:r>
        <w:rPr>
          <w:sz w:val="24"/>
          <w:lang w:val="en-GB"/>
        </w:rPr>
        <w:t>concerning</w:t>
      </w:r>
      <w:r w:rsidRPr="00ED33D0">
        <w:rPr>
          <w:sz w:val="24"/>
          <w:lang w:val="en-GB"/>
        </w:rPr>
        <w:t xml:space="preserve"> the lack of a reasoned court decision, the Court found that in issuing the judgment Ae. no. 146/17</w:t>
      </w:r>
      <w:r>
        <w:rPr>
          <w:sz w:val="24"/>
          <w:lang w:val="en-GB"/>
        </w:rPr>
        <w:t xml:space="preserve"> </w:t>
      </w:r>
      <w:r w:rsidRPr="00ED33D0">
        <w:rPr>
          <w:sz w:val="24"/>
          <w:lang w:val="en-GB"/>
        </w:rPr>
        <w:t xml:space="preserve"> of the Court of Appeals, of 26 February 2019</w:t>
      </w:r>
      <w:r>
        <w:rPr>
          <w:sz w:val="24"/>
          <w:lang w:val="en-GB"/>
        </w:rPr>
        <w:t>,</w:t>
      </w:r>
      <w:r w:rsidRPr="00ED33D0">
        <w:rPr>
          <w:sz w:val="24"/>
          <w:lang w:val="en-GB"/>
        </w:rPr>
        <w:t xml:space="preserve"> the Court of Appeals f</w:t>
      </w:r>
      <w:r>
        <w:rPr>
          <w:sz w:val="24"/>
          <w:lang w:val="en-GB"/>
        </w:rPr>
        <w:t>ailed to justify the substantive</w:t>
      </w:r>
      <w:r w:rsidRPr="00ED33D0">
        <w:rPr>
          <w:sz w:val="24"/>
          <w:lang w:val="en-GB"/>
        </w:rPr>
        <w:t xml:space="preserve"> </w:t>
      </w:r>
      <w:r>
        <w:rPr>
          <w:sz w:val="24"/>
          <w:lang w:val="en-GB"/>
        </w:rPr>
        <w:t>allegations</w:t>
      </w:r>
      <w:r w:rsidRPr="00ED33D0">
        <w:rPr>
          <w:sz w:val="24"/>
          <w:lang w:val="en-GB"/>
        </w:rPr>
        <w:t xml:space="preserve"> of the </w:t>
      </w:r>
      <w:r>
        <w:rPr>
          <w:sz w:val="24"/>
          <w:lang w:val="en-GB"/>
        </w:rPr>
        <w:t>A</w:t>
      </w:r>
      <w:r w:rsidRPr="00ED33D0">
        <w:rPr>
          <w:sz w:val="24"/>
          <w:lang w:val="en-GB"/>
        </w:rPr>
        <w:t xml:space="preserve">pplicant, and consequently his right guaranteed by Article 31 of the Constitution </w:t>
      </w:r>
      <w:r>
        <w:rPr>
          <w:sz w:val="24"/>
          <w:lang w:val="en-GB"/>
        </w:rPr>
        <w:t>in conjunction with</w:t>
      </w:r>
      <w:r w:rsidRPr="00ED33D0">
        <w:rPr>
          <w:sz w:val="24"/>
          <w:lang w:val="en-GB"/>
        </w:rPr>
        <w:t xml:space="preserve"> paragraph 1 of </w:t>
      </w:r>
      <w:r>
        <w:rPr>
          <w:sz w:val="24"/>
          <w:lang w:val="en-GB"/>
        </w:rPr>
        <w:t>Article</w:t>
      </w:r>
      <w:r w:rsidRPr="00ED33D0">
        <w:rPr>
          <w:sz w:val="24"/>
          <w:lang w:val="en-GB"/>
        </w:rPr>
        <w:t xml:space="preserve">  6 of the ECHR</w:t>
      </w:r>
      <w:r>
        <w:rPr>
          <w:sz w:val="24"/>
          <w:lang w:val="en-GB"/>
        </w:rPr>
        <w:t>, has been violated</w:t>
      </w:r>
      <w:r w:rsidR="00FF271B" w:rsidRPr="00314A8D">
        <w:rPr>
          <w:sz w:val="24"/>
          <w:lang w:val="en-GB"/>
        </w:rPr>
        <w:t xml:space="preserve">. </w:t>
      </w:r>
    </w:p>
    <w:p w:rsidR="00D229BF" w:rsidRPr="00314A8D" w:rsidRDefault="00D229BF" w:rsidP="00A06B9C">
      <w:pPr>
        <w:pStyle w:val="ListParagraph"/>
        <w:spacing w:line="240" w:lineRule="auto"/>
        <w:rPr>
          <w:sz w:val="24"/>
          <w:lang w:val="en-GB"/>
        </w:rPr>
      </w:pPr>
    </w:p>
    <w:p w:rsidR="00D229BF" w:rsidRPr="00314A8D" w:rsidRDefault="00ED33D0" w:rsidP="00A06B9C">
      <w:pPr>
        <w:pStyle w:val="ListParagraph"/>
        <w:numPr>
          <w:ilvl w:val="0"/>
          <w:numId w:val="63"/>
        </w:numPr>
        <w:autoSpaceDE w:val="0"/>
        <w:autoSpaceDN w:val="0"/>
        <w:adjustRightInd w:val="0"/>
        <w:spacing w:line="240" w:lineRule="auto"/>
        <w:ind w:left="634" w:hanging="634"/>
        <w:rPr>
          <w:sz w:val="24"/>
          <w:lang w:val="en-GB"/>
        </w:rPr>
      </w:pPr>
      <w:r>
        <w:rPr>
          <w:sz w:val="24"/>
          <w:lang w:val="en-GB"/>
        </w:rPr>
        <w:t>As regards</w:t>
      </w:r>
      <w:r w:rsidRPr="00ED33D0">
        <w:rPr>
          <w:sz w:val="24"/>
          <w:lang w:val="en-GB"/>
        </w:rPr>
        <w:t xml:space="preserve"> the second </w:t>
      </w:r>
      <w:r>
        <w:rPr>
          <w:sz w:val="24"/>
          <w:lang w:val="en-GB"/>
        </w:rPr>
        <w:t>allegation</w:t>
      </w:r>
      <w:r w:rsidRPr="00ED33D0">
        <w:rPr>
          <w:sz w:val="24"/>
          <w:lang w:val="en-GB"/>
        </w:rPr>
        <w:t xml:space="preserve"> of the Applicant </w:t>
      </w:r>
      <w:r>
        <w:rPr>
          <w:sz w:val="24"/>
          <w:lang w:val="en-GB"/>
        </w:rPr>
        <w:t>concerning</w:t>
      </w:r>
      <w:r w:rsidRPr="00ED33D0">
        <w:rPr>
          <w:sz w:val="24"/>
          <w:lang w:val="en-GB"/>
        </w:rPr>
        <w:t xml:space="preserve"> the principle of legal certainty as a result of the con</w:t>
      </w:r>
      <w:r>
        <w:rPr>
          <w:sz w:val="24"/>
          <w:lang w:val="en-GB"/>
        </w:rPr>
        <w:t>flicting</w:t>
      </w:r>
      <w:r w:rsidRPr="00ED33D0">
        <w:rPr>
          <w:sz w:val="24"/>
          <w:lang w:val="en-GB"/>
        </w:rPr>
        <w:t xml:space="preserve"> decisions of the case law of the Court of Appeals and the Supreme Court, the Court </w:t>
      </w:r>
      <w:r>
        <w:rPr>
          <w:sz w:val="24"/>
          <w:lang w:val="en-GB"/>
        </w:rPr>
        <w:t>having</w:t>
      </w:r>
      <w:r w:rsidRPr="00ED33D0">
        <w:rPr>
          <w:sz w:val="24"/>
          <w:lang w:val="en-GB"/>
        </w:rPr>
        <w:t xml:space="preserve"> elaborat</w:t>
      </w:r>
      <w:r>
        <w:rPr>
          <w:sz w:val="24"/>
          <w:lang w:val="en-GB"/>
        </w:rPr>
        <w:t xml:space="preserve">ed on </w:t>
      </w:r>
      <w:r w:rsidRPr="00ED33D0">
        <w:rPr>
          <w:sz w:val="24"/>
          <w:lang w:val="en-GB"/>
        </w:rPr>
        <w:t xml:space="preserve">the basic principles and criteria set by the Court and the </w:t>
      </w:r>
      <w:proofErr w:type="spellStart"/>
      <w:r w:rsidRPr="00ED33D0">
        <w:rPr>
          <w:sz w:val="24"/>
          <w:lang w:val="en-GB"/>
        </w:rPr>
        <w:t>ECtHR</w:t>
      </w:r>
      <w:proofErr w:type="spellEnd"/>
      <w:r w:rsidRPr="00ED33D0">
        <w:rPr>
          <w:sz w:val="24"/>
          <w:lang w:val="en-GB"/>
        </w:rPr>
        <w:t xml:space="preserve"> in this re</w:t>
      </w:r>
      <w:r>
        <w:rPr>
          <w:sz w:val="24"/>
          <w:lang w:val="en-GB"/>
        </w:rPr>
        <w:t>spect</w:t>
      </w:r>
      <w:r w:rsidRPr="00ED33D0">
        <w:rPr>
          <w:sz w:val="24"/>
          <w:lang w:val="en-GB"/>
        </w:rPr>
        <w:t xml:space="preserve"> , and applied the same in the circumstances of the </w:t>
      </w:r>
      <w:r>
        <w:rPr>
          <w:sz w:val="24"/>
          <w:lang w:val="en-GB"/>
        </w:rPr>
        <w:t>present</w:t>
      </w:r>
      <w:r w:rsidRPr="00ED33D0">
        <w:rPr>
          <w:sz w:val="24"/>
          <w:lang w:val="en-GB"/>
        </w:rPr>
        <w:t xml:space="preserve"> case, found that </w:t>
      </w:r>
      <w:r w:rsidRPr="00222381">
        <w:rPr>
          <w:sz w:val="24"/>
          <w:lang w:val="en-GB"/>
        </w:rPr>
        <w:t>neither the number of</w:t>
      </w:r>
      <w:r>
        <w:rPr>
          <w:sz w:val="24"/>
          <w:lang w:val="en-GB"/>
        </w:rPr>
        <w:t xml:space="preserve"> the</w:t>
      </w:r>
      <w:r w:rsidRPr="00222381">
        <w:rPr>
          <w:sz w:val="24"/>
          <w:lang w:val="en-GB"/>
        </w:rPr>
        <w:t xml:space="preserve"> </w:t>
      </w:r>
      <w:r>
        <w:rPr>
          <w:sz w:val="24"/>
          <w:lang w:val="en-GB"/>
        </w:rPr>
        <w:t xml:space="preserve">alleged contradictory </w:t>
      </w:r>
      <w:r w:rsidRPr="00222381">
        <w:rPr>
          <w:sz w:val="24"/>
          <w:lang w:val="en-GB"/>
        </w:rPr>
        <w:t xml:space="preserve">judgments  nor the time period within which these judgments were rendered provide a sufficient basis to justify the allegation </w:t>
      </w:r>
      <w:r>
        <w:rPr>
          <w:sz w:val="24"/>
          <w:lang w:val="en-GB"/>
        </w:rPr>
        <w:t>for</w:t>
      </w:r>
      <w:r w:rsidRPr="00222381">
        <w:rPr>
          <w:sz w:val="24"/>
          <w:lang w:val="en-GB"/>
        </w:rPr>
        <w:t xml:space="preserve"> a </w:t>
      </w:r>
      <w:r>
        <w:rPr>
          <w:sz w:val="24"/>
          <w:lang w:val="en-GB"/>
        </w:rPr>
        <w:t>violation</w:t>
      </w:r>
      <w:r w:rsidRPr="00222381">
        <w:rPr>
          <w:sz w:val="24"/>
          <w:lang w:val="en-GB"/>
        </w:rPr>
        <w:t xml:space="preserve"> of the  principle </w:t>
      </w:r>
      <w:r>
        <w:rPr>
          <w:sz w:val="24"/>
          <w:lang w:val="en-GB"/>
        </w:rPr>
        <w:t xml:space="preserve">of certainty </w:t>
      </w:r>
      <w:r w:rsidRPr="00222381">
        <w:rPr>
          <w:sz w:val="24"/>
          <w:lang w:val="en-GB"/>
        </w:rPr>
        <w:t>as a result of the conflicting judgments</w:t>
      </w:r>
      <w:r w:rsidR="00FF271B" w:rsidRPr="00314A8D">
        <w:rPr>
          <w:sz w:val="24"/>
          <w:lang w:val="en-GB"/>
        </w:rPr>
        <w:t xml:space="preserve">. </w:t>
      </w:r>
    </w:p>
    <w:p w:rsidR="00A06B9C" w:rsidRDefault="00A06B9C">
      <w:pPr>
        <w:spacing w:line="240" w:lineRule="auto"/>
        <w:jc w:val="left"/>
        <w:rPr>
          <w:rFonts w:eastAsiaTheme="minorHAnsi" w:cstheme="minorBidi"/>
          <w:b/>
          <w:sz w:val="24"/>
          <w:lang w:val="en-GB"/>
        </w:rPr>
      </w:pPr>
    </w:p>
    <w:p w:rsidR="00B83137" w:rsidRDefault="00B83137">
      <w:pPr>
        <w:spacing w:line="240" w:lineRule="auto"/>
        <w:jc w:val="left"/>
        <w:rPr>
          <w:rFonts w:eastAsiaTheme="minorHAnsi" w:cstheme="minorBidi"/>
          <w:b/>
          <w:sz w:val="24"/>
          <w:lang w:val="en-GB"/>
        </w:rPr>
      </w:pPr>
    </w:p>
    <w:p w:rsidR="00B83137" w:rsidRDefault="00B83137">
      <w:pPr>
        <w:spacing w:line="240" w:lineRule="auto"/>
        <w:jc w:val="left"/>
        <w:rPr>
          <w:rFonts w:eastAsiaTheme="minorHAnsi" w:cstheme="minorBidi"/>
          <w:b/>
          <w:sz w:val="24"/>
          <w:lang w:val="en-GB"/>
        </w:rPr>
      </w:pPr>
    </w:p>
    <w:p w:rsidR="00B83137" w:rsidRDefault="00B83137">
      <w:pPr>
        <w:spacing w:line="240" w:lineRule="auto"/>
        <w:jc w:val="left"/>
        <w:rPr>
          <w:rFonts w:eastAsiaTheme="minorHAnsi" w:cstheme="minorBidi"/>
          <w:b/>
          <w:sz w:val="24"/>
          <w:lang w:val="en-GB"/>
        </w:rPr>
      </w:pPr>
    </w:p>
    <w:p w:rsidR="00B83137" w:rsidRDefault="00B83137">
      <w:pPr>
        <w:spacing w:line="240" w:lineRule="auto"/>
        <w:jc w:val="left"/>
        <w:rPr>
          <w:rFonts w:eastAsiaTheme="minorHAnsi" w:cstheme="minorBidi"/>
          <w:b/>
          <w:sz w:val="24"/>
          <w:lang w:val="en-GB"/>
        </w:rPr>
      </w:pPr>
    </w:p>
    <w:p w:rsidR="00B83137" w:rsidRDefault="00B83137">
      <w:pPr>
        <w:spacing w:line="240" w:lineRule="auto"/>
        <w:jc w:val="left"/>
        <w:rPr>
          <w:rFonts w:eastAsiaTheme="minorHAnsi" w:cstheme="minorBidi"/>
          <w:b/>
          <w:sz w:val="24"/>
          <w:lang w:val="en-GB"/>
        </w:rPr>
      </w:pPr>
    </w:p>
    <w:p w:rsidR="00B83137" w:rsidRDefault="00B83137">
      <w:pPr>
        <w:spacing w:line="240" w:lineRule="auto"/>
        <w:jc w:val="left"/>
        <w:rPr>
          <w:rFonts w:eastAsiaTheme="minorHAnsi" w:cstheme="minorBidi"/>
          <w:b/>
          <w:sz w:val="24"/>
          <w:lang w:val="en-GB"/>
        </w:rPr>
      </w:pPr>
    </w:p>
    <w:p w:rsidR="00B83137" w:rsidRDefault="00B83137">
      <w:pPr>
        <w:spacing w:line="240" w:lineRule="auto"/>
        <w:jc w:val="left"/>
        <w:rPr>
          <w:rFonts w:eastAsiaTheme="minorHAnsi" w:cstheme="minorBidi"/>
          <w:b/>
          <w:sz w:val="24"/>
          <w:lang w:val="en-GB"/>
        </w:rPr>
      </w:pPr>
    </w:p>
    <w:p w:rsidR="00B83137" w:rsidRDefault="00B83137">
      <w:pPr>
        <w:spacing w:line="240" w:lineRule="auto"/>
        <w:jc w:val="left"/>
        <w:rPr>
          <w:rFonts w:eastAsiaTheme="minorHAnsi" w:cstheme="minorBidi"/>
          <w:b/>
          <w:sz w:val="24"/>
          <w:lang w:val="en-GB"/>
        </w:rPr>
      </w:pPr>
    </w:p>
    <w:p w:rsidR="00B83137" w:rsidRDefault="00B83137">
      <w:pPr>
        <w:spacing w:line="240" w:lineRule="auto"/>
        <w:jc w:val="left"/>
        <w:rPr>
          <w:rFonts w:eastAsiaTheme="minorHAnsi" w:cstheme="minorBidi"/>
          <w:b/>
          <w:sz w:val="24"/>
          <w:lang w:val="en-GB"/>
        </w:rPr>
      </w:pPr>
    </w:p>
    <w:p w:rsidR="00B83137" w:rsidRDefault="00B83137">
      <w:pPr>
        <w:spacing w:line="240" w:lineRule="auto"/>
        <w:jc w:val="left"/>
        <w:rPr>
          <w:rFonts w:eastAsiaTheme="minorHAnsi" w:cstheme="minorBidi"/>
          <w:b/>
          <w:sz w:val="24"/>
          <w:lang w:val="en-GB"/>
        </w:rPr>
      </w:pPr>
    </w:p>
    <w:p w:rsidR="00B83137" w:rsidRDefault="00B83137">
      <w:pPr>
        <w:spacing w:line="240" w:lineRule="auto"/>
        <w:jc w:val="left"/>
        <w:rPr>
          <w:rFonts w:eastAsiaTheme="minorHAnsi" w:cstheme="minorBidi"/>
          <w:b/>
          <w:sz w:val="24"/>
          <w:lang w:val="en-GB"/>
        </w:rPr>
      </w:pPr>
    </w:p>
    <w:p w:rsidR="00B83137" w:rsidRDefault="00B83137">
      <w:pPr>
        <w:spacing w:line="240" w:lineRule="auto"/>
        <w:jc w:val="left"/>
        <w:rPr>
          <w:rFonts w:eastAsiaTheme="minorHAnsi" w:cstheme="minorBidi"/>
          <w:b/>
          <w:sz w:val="24"/>
          <w:lang w:val="en-GB"/>
        </w:rPr>
      </w:pPr>
    </w:p>
    <w:p w:rsidR="00B83137" w:rsidRDefault="00B83137">
      <w:pPr>
        <w:spacing w:line="240" w:lineRule="auto"/>
        <w:jc w:val="left"/>
        <w:rPr>
          <w:rFonts w:eastAsiaTheme="minorHAnsi" w:cstheme="minorBidi"/>
          <w:b/>
          <w:sz w:val="24"/>
          <w:lang w:val="en-GB"/>
        </w:rPr>
      </w:pPr>
    </w:p>
    <w:p w:rsidR="00B83137" w:rsidRDefault="00B83137">
      <w:pPr>
        <w:spacing w:line="240" w:lineRule="auto"/>
        <w:jc w:val="left"/>
        <w:rPr>
          <w:rFonts w:eastAsiaTheme="minorHAnsi" w:cstheme="minorBidi"/>
          <w:b/>
          <w:sz w:val="24"/>
          <w:lang w:val="en-GB"/>
        </w:rPr>
      </w:pPr>
    </w:p>
    <w:p w:rsidR="00B83137" w:rsidRDefault="00B83137">
      <w:pPr>
        <w:spacing w:line="240" w:lineRule="auto"/>
        <w:jc w:val="left"/>
        <w:rPr>
          <w:rFonts w:eastAsiaTheme="minorHAnsi" w:cstheme="minorBidi"/>
          <w:b/>
          <w:sz w:val="24"/>
          <w:lang w:val="en-GB"/>
        </w:rPr>
      </w:pPr>
    </w:p>
    <w:p w:rsidR="006E6F0B" w:rsidRDefault="006E6F0B" w:rsidP="00A06B9C">
      <w:pPr>
        <w:pStyle w:val="NoSpacing"/>
        <w:jc w:val="center"/>
        <w:rPr>
          <w:rFonts w:ascii="Georgia" w:hAnsi="Georgia"/>
          <w:b/>
          <w:sz w:val="24"/>
          <w:szCs w:val="24"/>
          <w:lang w:val="en-GB"/>
        </w:rPr>
      </w:pPr>
      <w:r>
        <w:rPr>
          <w:rFonts w:ascii="Georgia" w:hAnsi="Georgia"/>
          <w:b/>
          <w:sz w:val="24"/>
          <w:szCs w:val="24"/>
          <w:lang w:val="en-GB"/>
        </w:rPr>
        <w:lastRenderedPageBreak/>
        <w:t>FOR THESE REASONS</w:t>
      </w:r>
    </w:p>
    <w:p w:rsidR="006E6F0B" w:rsidRDefault="006E6F0B" w:rsidP="00A06B9C">
      <w:pPr>
        <w:pStyle w:val="NoSpacing"/>
        <w:rPr>
          <w:rFonts w:ascii="Georgia" w:hAnsi="Georgia"/>
          <w:sz w:val="24"/>
          <w:szCs w:val="24"/>
          <w:lang w:val="en-GB"/>
        </w:rPr>
      </w:pPr>
    </w:p>
    <w:p w:rsidR="006E6F0B" w:rsidRDefault="006E6F0B" w:rsidP="00A06B9C">
      <w:pPr>
        <w:pStyle w:val="NoSpacing"/>
        <w:jc w:val="both"/>
        <w:rPr>
          <w:rFonts w:ascii="Georgia" w:hAnsi="Georgia"/>
          <w:sz w:val="24"/>
          <w:szCs w:val="24"/>
          <w:lang w:val="en-GB"/>
        </w:rPr>
      </w:pPr>
      <w:r w:rsidRPr="00A1542E">
        <w:rPr>
          <w:rFonts w:ascii="Georgia" w:hAnsi="Georgia"/>
          <w:sz w:val="24"/>
          <w:szCs w:val="24"/>
          <w:lang w:val="en-GB"/>
        </w:rPr>
        <w:t>The Constitutional Court, pursuant to Article</w:t>
      </w:r>
      <w:r>
        <w:rPr>
          <w:rFonts w:ascii="Georgia" w:hAnsi="Georgia"/>
          <w:sz w:val="24"/>
          <w:szCs w:val="24"/>
          <w:lang w:val="en-GB"/>
        </w:rPr>
        <w:t xml:space="preserve"> 113.7 of the </w:t>
      </w:r>
      <w:r w:rsidRPr="00A1542E">
        <w:rPr>
          <w:rFonts w:ascii="Georgia" w:hAnsi="Georgia"/>
          <w:sz w:val="24"/>
          <w:szCs w:val="24"/>
          <w:lang w:val="en-GB"/>
        </w:rPr>
        <w:t>Constitution, Article</w:t>
      </w:r>
      <w:r>
        <w:rPr>
          <w:rFonts w:ascii="Georgia" w:hAnsi="Georgia"/>
          <w:sz w:val="24"/>
          <w:szCs w:val="24"/>
          <w:lang w:val="en-GB"/>
        </w:rPr>
        <w:t xml:space="preserve">s 20 and 47 </w:t>
      </w:r>
      <w:r w:rsidRPr="00A1542E">
        <w:rPr>
          <w:rFonts w:ascii="Georgia" w:hAnsi="Georgia"/>
          <w:sz w:val="24"/>
          <w:szCs w:val="24"/>
          <w:lang w:val="en-GB"/>
        </w:rPr>
        <w:t xml:space="preserve">of the Law and Rule </w:t>
      </w:r>
      <w:r>
        <w:rPr>
          <w:rFonts w:ascii="Georgia" w:hAnsi="Georgia"/>
          <w:sz w:val="24"/>
          <w:szCs w:val="24"/>
          <w:lang w:val="en-GB"/>
        </w:rPr>
        <w:t>59 (1)</w:t>
      </w:r>
      <w:r w:rsidRPr="00A1542E">
        <w:rPr>
          <w:rFonts w:ascii="Georgia" w:hAnsi="Georgia"/>
          <w:sz w:val="24"/>
          <w:szCs w:val="24"/>
          <w:lang w:val="en-GB"/>
        </w:rPr>
        <w:t xml:space="preserve"> o</w:t>
      </w:r>
      <w:r>
        <w:rPr>
          <w:rFonts w:ascii="Georgia" w:hAnsi="Georgia"/>
          <w:sz w:val="24"/>
          <w:szCs w:val="24"/>
          <w:lang w:val="en-GB"/>
        </w:rPr>
        <w:t>f the Rules of Procedure, on 13 May 2020, by majority of votes</w:t>
      </w:r>
    </w:p>
    <w:p w:rsidR="00881B35" w:rsidRPr="008A5273" w:rsidRDefault="006E6F0B" w:rsidP="008A5273">
      <w:pPr>
        <w:pStyle w:val="NoSpacing"/>
        <w:jc w:val="both"/>
        <w:rPr>
          <w:rFonts w:ascii="Georgia" w:hAnsi="Georgia"/>
          <w:sz w:val="24"/>
          <w:szCs w:val="24"/>
          <w:lang w:val="en-GB"/>
        </w:rPr>
      </w:pPr>
      <w:r w:rsidRPr="00A1542E">
        <w:rPr>
          <w:rFonts w:ascii="Georgia" w:hAnsi="Georgia"/>
          <w:sz w:val="24"/>
          <w:szCs w:val="24"/>
          <w:lang w:val="en-GB"/>
        </w:rPr>
        <w:t xml:space="preserve"> </w:t>
      </w:r>
    </w:p>
    <w:p w:rsidR="00D229BF" w:rsidRPr="00314A8D" w:rsidRDefault="00FF271B" w:rsidP="00A06B9C">
      <w:pPr>
        <w:spacing w:line="240" w:lineRule="auto"/>
        <w:jc w:val="center"/>
        <w:rPr>
          <w:b/>
          <w:bCs/>
          <w:caps/>
          <w:sz w:val="24"/>
          <w:lang w:val="en-GB"/>
        </w:rPr>
      </w:pPr>
      <w:r w:rsidRPr="00314A8D">
        <w:rPr>
          <w:b/>
          <w:bCs/>
          <w:caps/>
          <w:sz w:val="24"/>
          <w:lang w:val="en-GB"/>
        </w:rPr>
        <w:t xml:space="preserve"> </w:t>
      </w:r>
      <w:r w:rsidR="006E6F0B">
        <w:rPr>
          <w:b/>
          <w:bCs/>
          <w:caps/>
          <w:sz w:val="24"/>
          <w:lang w:val="en-GB"/>
        </w:rPr>
        <w:t>DECIDES</w:t>
      </w:r>
    </w:p>
    <w:p w:rsidR="00D229BF" w:rsidRPr="00314A8D" w:rsidRDefault="00D229BF" w:rsidP="008A5273">
      <w:pPr>
        <w:spacing w:line="240" w:lineRule="auto"/>
        <w:ind w:left="1440" w:hanging="630"/>
        <w:jc w:val="center"/>
        <w:rPr>
          <w:sz w:val="24"/>
          <w:lang w:val="en-GB"/>
        </w:rPr>
      </w:pPr>
    </w:p>
    <w:p w:rsidR="00D229BF" w:rsidRPr="00314A8D" w:rsidRDefault="00FF271B" w:rsidP="008A5273">
      <w:pPr>
        <w:spacing w:line="240" w:lineRule="auto"/>
        <w:ind w:left="1440" w:hanging="630"/>
        <w:rPr>
          <w:sz w:val="24"/>
          <w:lang w:val="en-GB"/>
        </w:rPr>
      </w:pPr>
      <w:r w:rsidRPr="00314A8D">
        <w:rPr>
          <w:sz w:val="24"/>
          <w:lang w:val="en-GB"/>
        </w:rPr>
        <w:t>I.</w:t>
      </w:r>
      <w:r w:rsidRPr="00314A8D">
        <w:rPr>
          <w:sz w:val="24"/>
          <w:lang w:val="en-GB"/>
        </w:rPr>
        <w:tab/>
      </w:r>
      <w:r w:rsidR="006E6F0B">
        <w:rPr>
          <w:sz w:val="24"/>
          <w:lang w:val="en-GB"/>
        </w:rPr>
        <w:t>TO DECLARE the Referral inadmissible</w:t>
      </w:r>
      <w:r w:rsidRPr="00314A8D">
        <w:rPr>
          <w:sz w:val="24"/>
          <w:lang w:val="en-GB"/>
        </w:rPr>
        <w:t>;</w:t>
      </w:r>
    </w:p>
    <w:p w:rsidR="00D229BF" w:rsidRPr="00314A8D" w:rsidRDefault="00D229BF" w:rsidP="008A5273">
      <w:pPr>
        <w:spacing w:line="240" w:lineRule="auto"/>
        <w:ind w:left="1440" w:hanging="630"/>
        <w:jc w:val="left"/>
        <w:rPr>
          <w:sz w:val="24"/>
          <w:lang w:val="en-GB"/>
        </w:rPr>
      </w:pPr>
    </w:p>
    <w:p w:rsidR="00D229BF" w:rsidRPr="00314A8D" w:rsidRDefault="00FF271B" w:rsidP="008A5273">
      <w:pPr>
        <w:spacing w:line="240" w:lineRule="auto"/>
        <w:ind w:left="1440" w:hanging="630"/>
        <w:rPr>
          <w:sz w:val="24"/>
          <w:lang w:val="en-GB"/>
        </w:rPr>
      </w:pPr>
      <w:r w:rsidRPr="00314A8D">
        <w:rPr>
          <w:sz w:val="24"/>
          <w:lang w:val="en-GB"/>
        </w:rPr>
        <w:t>II.</w:t>
      </w:r>
      <w:r w:rsidRPr="00314A8D">
        <w:rPr>
          <w:sz w:val="24"/>
          <w:lang w:val="en-GB"/>
        </w:rPr>
        <w:tab/>
      </w:r>
      <w:r w:rsidR="006E6F0B">
        <w:rPr>
          <w:sz w:val="24"/>
          <w:lang w:val="en-GB"/>
        </w:rPr>
        <w:t xml:space="preserve">TO </w:t>
      </w:r>
      <w:r w:rsidR="00005E69">
        <w:rPr>
          <w:sz w:val="24"/>
          <w:lang w:val="en-GB"/>
        </w:rPr>
        <w:t>FIND</w:t>
      </w:r>
      <w:r w:rsidR="006E6F0B" w:rsidRPr="006E6F0B">
        <w:rPr>
          <w:sz w:val="24"/>
          <w:lang w:val="en-GB"/>
        </w:rPr>
        <w:t xml:space="preserve"> that there has been a violation of Article 31 [Right to Fair and Impartial Trial] of the Constitution, in con</w:t>
      </w:r>
      <w:r w:rsidR="006E6F0B">
        <w:rPr>
          <w:sz w:val="24"/>
          <w:lang w:val="en-GB"/>
        </w:rPr>
        <w:t>junction</w:t>
      </w:r>
      <w:r w:rsidR="006E6F0B" w:rsidRPr="006E6F0B">
        <w:rPr>
          <w:sz w:val="24"/>
          <w:lang w:val="en-GB"/>
        </w:rPr>
        <w:t xml:space="preserve"> with paragraph 1 of Article 6 (Right to a </w:t>
      </w:r>
      <w:r w:rsidR="006E6F0B">
        <w:rPr>
          <w:sz w:val="24"/>
          <w:lang w:val="en-GB"/>
        </w:rPr>
        <w:t>fair trial</w:t>
      </w:r>
      <w:r w:rsidR="006E6F0B" w:rsidRPr="006E6F0B">
        <w:rPr>
          <w:sz w:val="24"/>
          <w:lang w:val="en-GB"/>
        </w:rPr>
        <w:t>) of the European Convention on Human Rights.</w:t>
      </w:r>
      <w:r w:rsidRPr="00314A8D">
        <w:rPr>
          <w:sz w:val="24"/>
          <w:lang w:val="en-GB"/>
        </w:rPr>
        <w:t>;</w:t>
      </w:r>
    </w:p>
    <w:p w:rsidR="00D229BF" w:rsidRPr="00314A8D" w:rsidRDefault="00D229BF" w:rsidP="008A5273">
      <w:pPr>
        <w:spacing w:line="240" w:lineRule="auto"/>
        <w:ind w:left="1440" w:hanging="630"/>
        <w:rPr>
          <w:sz w:val="24"/>
          <w:lang w:val="en-GB"/>
        </w:rPr>
      </w:pPr>
    </w:p>
    <w:p w:rsidR="00D229BF" w:rsidRPr="00314A8D" w:rsidRDefault="00FF271B" w:rsidP="008A5273">
      <w:pPr>
        <w:spacing w:line="240" w:lineRule="auto"/>
        <w:ind w:left="1440" w:hanging="630"/>
        <w:rPr>
          <w:sz w:val="24"/>
          <w:lang w:val="en-GB"/>
        </w:rPr>
      </w:pPr>
      <w:r w:rsidRPr="00314A8D">
        <w:rPr>
          <w:sz w:val="24"/>
          <w:lang w:val="en-GB"/>
        </w:rPr>
        <w:t>III.</w:t>
      </w:r>
      <w:r w:rsidRPr="00314A8D">
        <w:rPr>
          <w:sz w:val="24"/>
          <w:lang w:val="en-GB"/>
        </w:rPr>
        <w:tab/>
      </w:r>
      <w:r w:rsidR="006E6F0B">
        <w:rPr>
          <w:sz w:val="24"/>
          <w:lang w:val="en-GB"/>
        </w:rPr>
        <w:t>TO DECLARE invalid the</w:t>
      </w:r>
      <w:r w:rsidR="006E6F0B" w:rsidRPr="006E6F0B">
        <w:rPr>
          <w:sz w:val="24"/>
          <w:lang w:val="en-GB"/>
        </w:rPr>
        <w:t xml:space="preserve"> Judgment Ae. N</w:t>
      </w:r>
      <w:r w:rsidR="006E6F0B">
        <w:rPr>
          <w:sz w:val="24"/>
          <w:lang w:val="en-GB"/>
        </w:rPr>
        <w:t>o</w:t>
      </w:r>
      <w:r w:rsidR="006E6F0B" w:rsidRPr="006E6F0B">
        <w:rPr>
          <w:sz w:val="24"/>
          <w:lang w:val="en-GB"/>
        </w:rPr>
        <w:t>. 146/17</w:t>
      </w:r>
      <w:r w:rsidR="006E6F0B">
        <w:rPr>
          <w:sz w:val="24"/>
          <w:lang w:val="en-GB"/>
        </w:rPr>
        <w:t xml:space="preserve"> </w:t>
      </w:r>
      <w:r w:rsidR="006E6F0B" w:rsidRPr="006E6F0B">
        <w:rPr>
          <w:sz w:val="24"/>
          <w:lang w:val="en-GB"/>
        </w:rPr>
        <w:t>of the Court of Appeals, of 26 February 2019</w:t>
      </w:r>
      <w:r w:rsidRPr="00314A8D">
        <w:rPr>
          <w:sz w:val="24"/>
          <w:lang w:val="en-GB"/>
        </w:rPr>
        <w:t xml:space="preserve">; </w:t>
      </w:r>
    </w:p>
    <w:p w:rsidR="00D229BF" w:rsidRPr="00314A8D" w:rsidRDefault="00D229BF" w:rsidP="008A5273">
      <w:pPr>
        <w:spacing w:line="240" w:lineRule="auto"/>
        <w:ind w:left="1440" w:hanging="630"/>
        <w:rPr>
          <w:sz w:val="24"/>
          <w:lang w:val="en-GB"/>
        </w:rPr>
      </w:pPr>
    </w:p>
    <w:p w:rsidR="00D229BF" w:rsidRPr="00314A8D" w:rsidRDefault="00FF271B" w:rsidP="008A5273">
      <w:pPr>
        <w:spacing w:line="240" w:lineRule="auto"/>
        <w:ind w:left="1440" w:hanging="630"/>
        <w:rPr>
          <w:sz w:val="24"/>
          <w:lang w:val="en-GB"/>
        </w:rPr>
      </w:pPr>
      <w:r w:rsidRPr="00314A8D">
        <w:rPr>
          <w:sz w:val="24"/>
          <w:lang w:val="en-GB"/>
        </w:rPr>
        <w:t>IV.</w:t>
      </w:r>
      <w:r w:rsidRPr="00314A8D">
        <w:rPr>
          <w:sz w:val="24"/>
          <w:lang w:val="en-GB"/>
        </w:rPr>
        <w:tab/>
      </w:r>
      <w:r w:rsidR="006E6F0B">
        <w:rPr>
          <w:sz w:val="24"/>
          <w:lang w:val="en-GB"/>
        </w:rPr>
        <w:t>TO REMAND the Judgment</w:t>
      </w:r>
      <w:r w:rsidR="006E6F0B" w:rsidRPr="006E6F0B">
        <w:rPr>
          <w:sz w:val="24"/>
          <w:lang w:val="en-GB"/>
        </w:rPr>
        <w:t xml:space="preserve"> Ae. N</w:t>
      </w:r>
      <w:r w:rsidR="006E6F0B">
        <w:rPr>
          <w:sz w:val="24"/>
          <w:lang w:val="en-GB"/>
        </w:rPr>
        <w:t>o</w:t>
      </w:r>
      <w:r w:rsidR="006E6F0B" w:rsidRPr="006E6F0B">
        <w:rPr>
          <w:sz w:val="24"/>
          <w:lang w:val="en-GB"/>
        </w:rPr>
        <w:t xml:space="preserve">. 146/17, </w:t>
      </w:r>
      <w:r w:rsidR="006E6F0B">
        <w:rPr>
          <w:sz w:val="24"/>
          <w:lang w:val="en-GB"/>
        </w:rPr>
        <w:t>of the Court of Appeals, of</w:t>
      </w:r>
      <w:r w:rsidR="006E6F0B" w:rsidRPr="006E6F0B">
        <w:rPr>
          <w:sz w:val="24"/>
          <w:lang w:val="en-GB"/>
        </w:rPr>
        <w:t xml:space="preserve"> 26 February 2019 for reconsideration in accordance with this Judgment of the Constitutional Court</w:t>
      </w:r>
      <w:r w:rsidRPr="00314A8D">
        <w:rPr>
          <w:sz w:val="24"/>
          <w:lang w:val="en-GB"/>
        </w:rPr>
        <w:t>;</w:t>
      </w:r>
    </w:p>
    <w:p w:rsidR="00D229BF" w:rsidRPr="00314A8D" w:rsidRDefault="00D229BF" w:rsidP="008A5273">
      <w:pPr>
        <w:spacing w:line="240" w:lineRule="auto"/>
        <w:ind w:left="1440" w:hanging="630"/>
        <w:rPr>
          <w:sz w:val="24"/>
          <w:lang w:val="en-GB"/>
        </w:rPr>
      </w:pPr>
    </w:p>
    <w:p w:rsidR="00D229BF" w:rsidRPr="00314A8D" w:rsidRDefault="006E6F0B" w:rsidP="008A5273">
      <w:pPr>
        <w:pStyle w:val="ListParagraph"/>
        <w:numPr>
          <w:ilvl w:val="0"/>
          <w:numId w:val="84"/>
        </w:numPr>
        <w:spacing w:line="240" w:lineRule="auto"/>
        <w:ind w:left="1440" w:hanging="630"/>
        <w:rPr>
          <w:sz w:val="24"/>
          <w:lang w:val="en-GB"/>
        </w:rPr>
      </w:pPr>
      <w:r>
        <w:rPr>
          <w:sz w:val="24"/>
          <w:lang w:val="en-GB"/>
        </w:rPr>
        <w:t>TO OR</w:t>
      </w:r>
      <w:r w:rsidRPr="006E6F0B">
        <w:rPr>
          <w:sz w:val="24"/>
          <w:lang w:val="en-GB"/>
        </w:rPr>
        <w:t xml:space="preserve">DER the Court of Appeals to notify the Court, in accordance with Rule 66 (5) of the Rules of Procedure, </w:t>
      </w:r>
      <w:r>
        <w:rPr>
          <w:sz w:val="24"/>
          <w:lang w:val="en-GB"/>
        </w:rPr>
        <w:t>about</w:t>
      </w:r>
      <w:r w:rsidRPr="006E6F0B">
        <w:rPr>
          <w:sz w:val="24"/>
          <w:lang w:val="en-GB"/>
        </w:rPr>
        <w:t xml:space="preserve"> the measures taken to </w:t>
      </w:r>
      <w:r w:rsidR="000172DF">
        <w:rPr>
          <w:sz w:val="24"/>
          <w:lang w:val="en-GB"/>
        </w:rPr>
        <w:t>enforce</w:t>
      </w:r>
      <w:r w:rsidRPr="006E6F0B">
        <w:rPr>
          <w:sz w:val="24"/>
          <w:lang w:val="en-GB"/>
        </w:rPr>
        <w:t xml:space="preserve"> the Judgment of the Court</w:t>
      </w:r>
      <w:r w:rsidR="00FF271B" w:rsidRPr="00314A8D">
        <w:rPr>
          <w:sz w:val="24"/>
          <w:lang w:val="en-GB"/>
        </w:rPr>
        <w:t>;</w:t>
      </w:r>
    </w:p>
    <w:p w:rsidR="00D229BF" w:rsidRPr="00314A8D" w:rsidRDefault="00D229BF" w:rsidP="008A5273">
      <w:pPr>
        <w:spacing w:line="240" w:lineRule="auto"/>
        <w:ind w:left="1440" w:hanging="630"/>
        <w:rPr>
          <w:sz w:val="24"/>
          <w:lang w:val="en-GB"/>
        </w:rPr>
      </w:pPr>
    </w:p>
    <w:p w:rsidR="00D229BF" w:rsidRPr="00314A8D" w:rsidRDefault="00FF271B" w:rsidP="008A5273">
      <w:pPr>
        <w:spacing w:line="240" w:lineRule="auto"/>
        <w:ind w:left="1440" w:hanging="630"/>
        <w:rPr>
          <w:sz w:val="24"/>
          <w:lang w:val="en-GB"/>
        </w:rPr>
      </w:pPr>
      <w:r w:rsidRPr="00314A8D">
        <w:rPr>
          <w:sz w:val="24"/>
          <w:lang w:val="en-GB"/>
        </w:rPr>
        <w:t>VI.</w:t>
      </w:r>
      <w:r w:rsidRPr="00314A8D">
        <w:rPr>
          <w:sz w:val="24"/>
          <w:lang w:val="en-GB"/>
        </w:rPr>
        <w:tab/>
      </w:r>
      <w:r w:rsidR="006E6F0B">
        <w:rPr>
          <w:sz w:val="24"/>
          <w:lang w:val="en-GB"/>
        </w:rPr>
        <w:t>TO REMAIN</w:t>
      </w:r>
      <w:r w:rsidR="006E6F0B" w:rsidRPr="006E6F0B">
        <w:rPr>
          <w:sz w:val="24"/>
          <w:lang w:val="en-GB"/>
        </w:rPr>
        <w:t xml:space="preserve"> strongly engaged in this </w:t>
      </w:r>
      <w:r w:rsidR="006E6F0B">
        <w:rPr>
          <w:sz w:val="24"/>
          <w:lang w:val="en-GB"/>
        </w:rPr>
        <w:t>case</w:t>
      </w:r>
      <w:r w:rsidR="006E6F0B" w:rsidRPr="006E6F0B">
        <w:rPr>
          <w:sz w:val="24"/>
          <w:lang w:val="en-GB"/>
        </w:rPr>
        <w:t xml:space="preserve"> pending</w:t>
      </w:r>
      <w:r w:rsidR="006E6F0B">
        <w:rPr>
          <w:sz w:val="24"/>
          <w:lang w:val="en-GB"/>
        </w:rPr>
        <w:t xml:space="preserve"> the</w:t>
      </w:r>
      <w:r w:rsidR="006E6F0B" w:rsidRPr="006E6F0B">
        <w:rPr>
          <w:sz w:val="24"/>
          <w:lang w:val="en-GB"/>
        </w:rPr>
        <w:t xml:space="preserve"> compliance with this order</w:t>
      </w:r>
      <w:r w:rsidRPr="00314A8D">
        <w:rPr>
          <w:sz w:val="24"/>
          <w:lang w:val="en-GB"/>
        </w:rPr>
        <w:t>;</w:t>
      </w:r>
    </w:p>
    <w:p w:rsidR="00D229BF" w:rsidRPr="00314A8D" w:rsidRDefault="00D229BF" w:rsidP="008A5273">
      <w:pPr>
        <w:spacing w:line="240" w:lineRule="auto"/>
        <w:ind w:left="1440" w:hanging="630"/>
        <w:rPr>
          <w:sz w:val="24"/>
          <w:lang w:val="en-GB"/>
        </w:rPr>
      </w:pPr>
    </w:p>
    <w:p w:rsidR="00D229BF" w:rsidRPr="00314A8D" w:rsidRDefault="00FF271B" w:rsidP="008A5273">
      <w:pPr>
        <w:spacing w:line="240" w:lineRule="auto"/>
        <w:ind w:left="1440" w:hanging="630"/>
        <w:rPr>
          <w:sz w:val="24"/>
          <w:lang w:val="en-GB"/>
        </w:rPr>
      </w:pPr>
      <w:r w:rsidRPr="00314A8D">
        <w:rPr>
          <w:sz w:val="24"/>
          <w:lang w:val="en-GB"/>
        </w:rPr>
        <w:t>VII.</w:t>
      </w:r>
      <w:r w:rsidRPr="00314A8D">
        <w:rPr>
          <w:sz w:val="24"/>
          <w:lang w:val="en-GB"/>
        </w:rPr>
        <w:tab/>
      </w:r>
      <w:r w:rsidR="00A5537B">
        <w:rPr>
          <w:sz w:val="24"/>
          <w:lang w:val="en-GB"/>
        </w:rPr>
        <w:t>TO NOTIFY</w:t>
      </w:r>
      <w:r w:rsidR="00A5537B" w:rsidRPr="00A5537B">
        <w:rPr>
          <w:sz w:val="24"/>
          <w:lang w:val="en-GB"/>
        </w:rPr>
        <w:t xml:space="preserve"> this Judgment to the parties and, in accordance with Article 20. 4 of the Law,</w:t>
      </w:r>
      <w:r w:rsidR="00A5537B">
        <w:rPr>
          <w:sz w:val="24"/>
          <w:lang w:val="en-GB"/>
        </w:rPr>
        <w:t xml:space="preserve"> and</w:t>
      </w:r>
      <w:r w:rsidR="00A5537B" w:rsidRPr="00A5537B">
        <w:rPr>
          <w:sz w:val="24"/>
          <w:lang w:val="en-GB"/>
        </w:rPr>
        <w:t xml:space="preserve"> publish it in the Official Gazette</w:t>
      </w:r>
      <w:r w:rsidRPr="00314A8D">
        <w:rPr>
          <w:sz w:val="24"/>
          <w:lang w:val="en-GB"/>
        </w:rPr>
        <w:t xml:space="preserve">; </w:t>
      </w:r>
    </w:p>
    <w:p w:rsidR="00D229BF" w:rsidRPr="00314A8D" w:rsidRDefault="00D229BF" w:rsidP="008A5273">
      <w:pPr>
        <w:spacing w:line="240" w:lineRule="auto"/>
        <w:ind w:left="1440" w:hanging="630"/>
        <w:jc w:val="left"/>
        <w:rPr>
          <w:sz w:val="24"/>
          <w:lang w:val="en-GB"/>
        </w:rPr>
      </w:pPr>
    </w:p>
    <w:p w:rsidR="00D229BF" w:rsidRPr="00314A8D" w:rsidRDefault="00FF271B" w:rsidP="008A5273">
      <w:pPr>
        <w:spacing w:line="240" w:lineRule="auto"/>
        <w:ind w:left="1440" w:hanging="630"/>
        <w:rPr>
          <w:sz w:val="24"/>
          <w:lang w:val="en-GB"/>
        </w:rPr>
      </w:pPr>
      <w:r w:rsidRPr="00314A8D">
        <w:rPr>
          <w:sz w:val="24"/>
          <w:lang w:val="en-GB"/>
        </w:rPr>
        <w:t>IX.</w:t>
      </w:r>
      <w:r w:rsidRPr="00314A8D">
        <w:rPr>
          <w:sz w:val="24"/>
          <w:lang w:val="en-GB"/>
        </w:rPr>
        <w:tab/>
      </w:r>
      <w:r w:rsidR="00A5537B">
        <w:rPr>
          <w:sz w:val="24"/>
          <w:lang w:val="en-GB"/>
        </w:rPr>
        <w:t>TO DECLARE that this Judgment is effective immediately</w:t>
      </w:r>
      <w:r w:rsidRPr="00314A8D">
        <w:rPr>
          <w:sz w:val="24"/>
          <w:lang w:val="en-GB"/>
        </w:rPr>
        <w:t xml:space="preserve">. </w:t>
      </w:r>
    </w:p>
    <w:p w:rsidR="00D229BF" w:rsidRDefault="00D229BF" w:rsidP="00A06B9C">
      <w:pPr>
        <w:spacing w:line="240" w:lineRule="auto"/>
        <w:rPr>
          <w:sz w:val="24"/>
          <w:lang w:val="en-GB"/>
        </w:rPr>
      </w:pPr>
    </w:p>
    <w:p w:rsidR="00314562" w:rsidRPr="00314A8D" w:rsidRDefault="00314562" w:rsidP="00A06B9C">
      <w:pPr>
        <w:spacing w:line="240" w:lineRule="auto"/>
        <w:rPr>
          <w:sz w:val="24"/>
          <w:lang w:val="en-GB"/>
        </w:rPr>
      </w:pPr>
    </w:p>
    <w:p w:rsidR="00D229BF" w:rsidRDefault="00D229BF" w:rsidP="00A06B9C">
      <w:pPr>
        <w:spacing w:line="240" w:lineRule="auto"/>
        <w:ind w:left="720"/>
        <w:rPr>
          <w:i/>
          <w:sz w:val="24"/>
          <w:lang w:val="en-GB"/>
        </w:rPr>
      </w:pPr>
    </w:p>
    <w:p w:rsidR="008A5273" w:rsidRDefault="008A5273" w:rsidP="00A06B9C">
      <w:pPr>
        <w:spacing w:line="240" w:lineRule="auto"/>
        <w:ind w:left="720"/>
        <w:rPr>
          <w:i/>
          <w:sz w:val="24"/>
          <w:lang w:val="en-GB"/>
        </w:rPr>
      </w:pPr>
    </w:p>
    <w:p w:rsidR="008A5273" w:rsidRPr="00314A8D" w:rsidRDefault="008A5273" w:rsidP="00A06B9C">
      <w:pPr>
        <w:spacing w:line="240" w:lineRule="auto"/>
        <w:ind w:left="720"/>
        <w:rPr>
          <w:i/>
          <w:sz w:val="24"/>
          <w:lang w:val="en-GB"/>
        </w:rPr>
      </w:pPr>
    </w:p>
    <w:p w:rsidR="00A5537B" w:rsidRDefault="00A5537B" w:rsidP="00A06B9C">
      <w:pPr>
        <w:pStyle w:val="NoSpacing"/>
        <w:rPr>
          <w:rFonts w:ascii="Georgia" w:hAnsi="Georgia"/>
          <w:b/>
          <w:sz w:val="24"/>
          <w:szCs w:val="24"/>
          <w:lang w:val="en-GB"/>
        </w:rPr>
      </w:pPr>
      <w:r>
        <w:rPr>
          <w:rFonts w:ascii="Georgia" w:hAnsi="Georgia"/>
          <w:b/>
          <w:sz w:val="24"/>
          <w:szCs w:val="24"/>
          <w:lang w:val="en-GB"/>
        </w:rPr>
        <w:t>Judge Rapporteur</w:t>
      </w:r>
      <w:r>
        <w:rPr>
          <w:rFonts w:ascii="Georgia" w:hAnsi="Georgia"/>
          <w:b/>
          <w:sz w:val="24"/>
          <w:szCs w:val="24"/>
          <w:lang w:val="en-GB"/>
        </w:rPr>
        <w:tab/>
      </w:r>
      <w:r>
        <w:rPr>
          <w:rFonts w:ascii="Georgia" w:hAnsi="Georgia"/>
          <w:b/>
          <w:sz w:val="24"/>
          <w:szCs w:val="24"/>
          <w:lang w:val="en-GB"/>
        </w:rPr>
        <w:tab/>
        <w:t xml:space="preserve">         </w:t>
      </w:r>
      <w:r w:rsidR="008A5273">
        <w:rPr>
          <w:rFonts w:ascii="Georgia" w:hAnsi="Georgia"/>
          <w:b/>
          <w:sz w:val="24"/>
          <w:szCs w:val="24"/>
          <w:lang w:val="en-GB"/>
        </w:rPr>
        <w:tab/>
      </w:r>
      <w:r>
        <w:rPr>
          <w:rFonts w:ascii="Georgia" w:hAnsi="Georgia"/>
          <w:b/>
          <w:sz w:val="24"/>
          <w:szCs w:val="24"/>
          <w:lang w:val="en-GB"/>
        </w:rPr>
        <w:t>President of the Constitutional Court</w:t>
      </w:r>
    </w:p>
    <w:p w:rsidR="00D229BF" w:rsidRPr="00314A8D" w:rsidRDefault="00D229BF" w:rsidP="00A06B9C">
      <w:pPr>
        <w:spacing w:line="240" w:lineRule="auto"/>
        <w:rPr>
          <w:sz w:val="24"/>
          <w:lang w:val="en-GB"/>
        </w:rPr>
      </w:pPr>
    </w:p>
    <w:p w:rsidR="00D229BF" w:rsidRDefault="00D229BF" w:rsidP="00A06B9C">
      <w:pPr>
        <w:spacing w:line="240" w:lineRule="auto"/>
        <w:rPr>
          <w:sz w:val="24"/>
          <w:lang w:val="en-GB"/>
        </w:rPr>
      </w:pPr>
    </w:p>
    <w:p w:rsidR="008A5273" w:rsidRDefault="008A5273" w:rsidP="00A06B9C">
      <w:pPr>
        <w:spacing w:line="240" w:lineRule="auto"/>
        <w:rPr>
          <w:sz w:val="24"/>
          <w:lang w:val="en-GB"/>
        </w:rPr>
      </w:pPr>
    </w:p>
    <w:p w:rsidR="008A5273" w:rsidRPr="00314A8D" w:rsidRDefault="008A5273" w:rsidP="00A06B9C">
      <w:pPr>
        <w:spacing w:line="240" w:lineRule="auto"/>
        <w:rPr>
          <w:sz w:val="24"/>
          <w:lang w:val="en-GB"/>
        </w:rPr>
      </w:pPr>
    </w:p>
    <w:p w:rsidR="00D229BF" w:rsidRPr="00314A8D" w:rsidRDefault="00FF271B" w:rsidP="00A06B9C">
      <w:pPr>
        <w:spacing w:line="240" w:lineRule="auto"/>
        <w:rPr>
          <w:sz w:val="24"/>
          <w:lang w:val="en-GB"/>
        </w:rPr>
      </w:pPr>
      <w:r w:rsidRPr="00314A8D">
        <w:rPr>
          <w:sz w:val="24"/>
          <w:lang w:val="en-GB"/>
        </w:rPr>
        <w:t>Safet Hoxha</w:t>
      </w:r>
      <w:r w:rsidRPr="00314A8D">
        <w:rPr>
          <w:sz w:val="24"/>
          <w:lang w:val="en-GB"/>
        </w:rPr>
        <w:tab/>
      </w:r>
      <w:r w:rsidRPr="00314A8D">
        <w:rPr>
          <w:sz w:val="24"/>
          <w:lang w:val="en-GB"/>
        </w:rPr>
        <w:tab/>
      </w:r>
      <w:r w:rsidRPr="00314A8D">
        <w:rPr>
          <w:sz w:val="24"/>
          <w:lang w:val="en-GB"/>
        </w:rPr>
        <w:tab/>
      </w:r>
      <w:r w:rsidRPr="00314A8D">
        <w:rPr>
          <w:sz w:val="24"/>
          <w:lang w:val="en-GB"/>
        </w:rPr>
        <w:tab/>
      </w:r>
      <w:r w:rsidR="00422375">
        <w:rPr>
          <w:sz w:val="24"/>
          <w:lang w:val="en-GB"/>
        </w:rPr>
        <w:t xml:space="preserve">          </w:t>
      </w:r>
      <w:r w:rsidR="008A5273">
        <w:rPr>
          <w:sz w:val="24"/>
          <w:lang w:val="en-GB"/>
        </w:rPr>
        <w:tab/>
      </w:r>
      <w:r w:rsidRPr="00314A8D">
        <w:rPr>
          <w:sz w:val="24"/>
          <w:lang w:val="en-GB"/>
        </w:rPr>
        <w:t>Arta Rama-</w:t>
      </w:r>
      <w:proofErr w:type="spellStart"/>
      <w:r w:rsidRPr="00314A8D">
        <w:rPr>
          <w:sz w:val="24"/>
          <w:lang w:val="en-GB"/>
        </w:rPr>
        <w:t>Hajrizi</w:t>
      </w:r>
      <w:proofErr w:type="spellEnd"/>
    </w:p>
    <w:p w:rsidR="001D296B" w:rsidRDefault="001D296B" w:rsidP="00A06B9C">
      <w:pPr>
        <w:pStyle w:val="ListParagraph"/>
        <w:spacing w:line="240" w:lineRule="auto"/>
        <w:ind w:left="0"/>
        <w:jc w:val="center"/>
        <w:rPr>
          <w:bCs/>
          <w:sz w:val="24"/>
          <w:lang w:val="en-GB"/>
        </w:rPr>
      </w:pPr>
    </w:p>
    <w:p w:rsidR="008A5273" w:rsidRDefault="008A5273" w:rsidP="00A06B9C">
      <w:pPr>
        <w:pStyle w:val="ListParagraph"/>
        <w:spacing w:line="240" w:lineRule="auto"/>
        <w:ind w:left="0"/>
        <w:jc w:val="center"/>
        <w:rPr>
          <w:bCs/>
          <w:sz w:val="24"/>
          <w:lang w:val="en-GB"/>
        </w:rPr>
      </w:pPr>
    </w:p>
    <w:p w:rsidR="008A5273" w:rsidRDefault="008A5273" w:rsidP="00A06B9C">
      <w:pPr>
        <w:pStyle w:val="ListParagraph"/>
        <w:spacing w:line="240" w:lineRule="auto"/>
        <w:ind w:left="0"/>
        <w:jc w:val="center"/>
        <w:rPr>
          <w:bCs/>
          <w:sz w:val="24"/>
          <w:lang w:val="en-GB"/>
        </w:rPr>
      </w:pPr>
    </w:p>
    <w:p w:rsidR="008A5273" w:rsidRDefault="008A5273" w:rsidP="00A06B9C">
      <w:pPr>
        <w:pStyle w:val="ListParagraph"/>
        <w:spacing w:line="240" w:lineRule="auto"/>
        <w:ind w:left="0"/>
        <w:jc w:val="center"/>
        <w:rPr>
          <w:bCs/>
          <w:sz w:val="24"/>
          <w:lang w:val="en-GB"/>
        </w:rPr>
      </w:pPr>
    </w:p>
    <w:p w:rsidR="008A5273" w:rsidRDefault="008A5273" w:rsidP="00A06B9C">
      <w:pPr>
        <w:pStyle w:val="ListParagraph"/>
        <w:spacing w:line="240" w:lineRule="auto"/>
        <w:ind w:left="0"/>
        <w:jc w:val="center"/>
        <w:rPr>
          <w:bCs/>
          <w:sz w:val="24"/>
          <w:lang w:val="en-GB"/>
        </w:rPr>
      </w:pPr>
    </w:p>
    <w:p w:rsidR="008A5273" w:rsidRPr="00314A8D" w:rsidRDefault="008A5273" w:rsidP="009D5BEC">
      <w:pPr>
        <w:spacing w:line="240" w:lineRule="auto"/>
        <w:jc w:val="center"/>
        <w:rPr>
          <w:bCs/>
          <w:sz w:val="24"/>
          <w:lang w:val="en-GB"/>
        </w:rPr>
      </w:pPr>
      <w:proofErr w:type="spellStart"/>
      <w:r w:rsidRPr="0084698D">
        <w:rPr>
          <w:rFonts w:ascii="Times New Roman" w:hAnsi="Times New Roman"/>
          <w:b/>
          <w:bCs/>
          <w:i/>
          <w:sz w:val="24"/>
        </w:rPr>
        <w:t>This</w:t>
      </w:r>
      <w:proofErr w:type="spellEnd"/>
      <w:r w:rsidRPr="0084698D">
        <w:rPr>
          <w:rFonts w:ascii="Times New Roman" w:hAnsi="Times New Roman"/>
          <w:b/>
          <w:bCs/>
          <w:i/>
          <w:sz w:val="24"/>
        </w:rPr>
        <w:t xml:space="preserve"> </w:t>
      </w:r>
      <w:proofErr w:type="spellStart"/>
      <w:r w:rsidRPr="0084698D">
        <w:rPr>
          <w:rFonts w:ascii="Times New Roman" w:hAnsi="Times New Roman"/>
          <w:b/>
          <w:bCs/>
          <w:i/>
          <w:sz w:val="24"/>
        </w:rPr>
        <w:t>translation</w:t>
      </w:r>
      <w:proofErr w:type="spellEnd"/>
      <w:r w:rsidRPr="0084698D">
        <w:rPr>
          <w:rFonts w:ascii="Times New Roman" w:hAnsi="Times New Roman"/>
          <w:b/>
          <w:bCs/>
          <w:i/>
          <w:sz w:val="24"/>
        </w:rPr>
        <w:t xml:space="preserve"> </w:t>
      </w:r>
      <w:proofErr w:type="spellStart"/>
      <w:r w:rsidRPr="0084698D">
        <w:rPr>
          <w:rFonts w:ascii="Times New Roman" w:hAnsi="Times New Roman"/>
          <w:b/>
          <w:bCs/>
          <w:i/>
          <w:sz w:val="24"/>
        </w:rPr>
        <w:t>is</w:t>
      </w:r>
      <w:proofErr w:type="spellEnd"/>
      <w:r w:rsidRPr="0084698D">
        <w:rPr>
          <w:rFonts w:ascii="Times New Roman" w:hAnsi="Times New Roman"/>
          <w:b/>
          <w:bCs/>
          <w:i/>
          <w:sz w:val="24"/>
        </w:rPr>
        <w:t xml:space="preserve"> </w:t>
      </w:r>
      <w:proofErr w:type="spellStart"/>
      <w:r w:rsidRPr="0084698D">
        <w:rPr>
          <w:rFonts w:ascii="Times New Roman" w:hAnsi="Times New Roman"/>
          <w:b/>
          <w:bCs/>
          <w:i/>
          <w:sz w:val="24"/>
        </w:rPr>
        <w:t>unofficial</w:t>
      </w:r>
      <w:proofErr w:type="spellEnd"/>
      <w:r w:rsidRPr="0084698D">
        <w:rPr>
          <w:rFonts w:ascii="Times New Roman" w:hAnsi="Times New Roman"/>
          <w:b/>
          <w:bCs/>
          <w:i/>
          <w:sz w:val="24"/>
        </w:rPr>
        <w:t xml:space="preserve"> </w:t>
      </w:r>
      <w:proofErr w:type="spellStart"/>
      <w:r w:rsidRPr="0084698D">
        <w:rPr>
          <w:rFonts w:ascii="Times New Roman" w:hAnsi="Times New Roman"/>
          <w:b/>
          <w:bCs/>
          <w:i/>
          <w:sz w:val="24"/>
        </w:rPr>
        <w:t>and</w:t>
      </w:r>
      <w:proofErr w:type="spellEnd"/>
      <w:r w:rsidRPr="0084698D">
        <w:rPr>
          <w:rFonts w:ascii="Times New Roman" w:hAnsi="Times New Roman"/>
          <w:b/>
          <w:bCs/>
          <w:i/>
          <w:sz w:val="24"/>
        </w:rPr>
        <w:t xml:space="preserve"> </w:t>
      </w:r>
      <w:proofErr w:type="spellStart"/>
      <w:r w:rsidRPr="0084698D">
        <w:rPr>
          <w:rFonts w:ascii="Times New Roman" w:hAnsi="Times New Roman"/>
          <w:b/>
          <w:bCs/>
          <w:i/>
          <w:sz w:val="24"/>
        </w:rPr>
        <w:t>serves</w:t>
      </w:r>
      <w:proofErr w:type="spellEnd"/>
      <w:r w:rsidRPr="0084698D">
        <w:rPr>
          <w:rFonts w:ascii="Times New Roman" w:hAnsi="Times New Roman"/>
          <w:b/>
          <w:bCs/>
          <w:i/>
          <w:sz w:val="24"/>
        </w:rPr>
        <w:t xml:space="preserve"> </w:t>
      </w:r>
      <w:proofErr w:type="spellStart"/>
      <w:r w:rsidRPr="0084698D">
        <w:rPr>
          <w:rFonts w:ascii="Times New Roman" w:hAnsi="Times New Roman"/>
          <w:b/>
          <w:bCs/>
          <w:i/>
          <w:sz w:val="24"/>
        </w:rPr>
        <w:t>for</w:t>
      </w:r>
      <w:proofErr w:type="spellEnd"/>
      <w:r w:rsidRPr="0084698D">
        <w:rPr>
          <w:rFonts w:ascii="Times New Roman" w:hAnsi="Times New Roman"/>
          <w:b/>
          <w:bCs/>
          <w:i/>
          <w:sz w:val="24"/>
        </w:rPr>
        <w:t xml:space="preserve"> </w:t>
      </w:r>
      <w:proofErr w:type="spellStart"/>
      <w:r w:rsidRPr="0084698D">
        <w:rPr>
          <w:rFonts w:ascii="Times New Roman" w:hAnsi="Times New Roman"/>
          <w:b/>
          <w:bCs/>
          <w:i/>
          <w:sz w:val="24"/>
        </w:rPr>
        <w:t>informational</w:t>
      </w:r>
      <w:proofErr w:type="spellEnd"/>
      <w:r w:rsidRPr="0084698D">
        <w:rPr>
          <w:rFonts w:ascii="Times New Roman" w:hAnsi="Times New Roman"/>
          <w:b/>
          <w:bCs/>
          <w:i/>
          <w:sz w:val="24"/>
        </w:rPr>
        <w:t xml:space="preserve"> </w:t>
      </w:r>
      <w:proofErr w:type="spellStart"/>
      <w:r w:rsidRPr="0084698D">
        <w:rPr>
          <w:rFonts w:ascii="Times New Roman" w:hAnsi="Times New Roman"/>
          <w:b/>
          <w:bCs/>
          <w:i/>
          <w:sz w:val="24"/>
        </w:rPr>
        <w:t>purposes</w:t>
      </w:r>
      <w:proofErr w:type="spellEnd"/>
      <w:r w:rsidRPr="0084698D">
        <w:rPr>
          <w:rFonts w:ascii="Times New Roman" w:hAnsi="Times New Roman"/>
          <w:b/>
          <w:bCs/>
          <w:i/>
          <w:sz w:val="24"/>
        </w:rPr>
        <w:t xml:space="preserve"> </w:t>
      </w:r>
      <w:proofErr w:type="spellStart"/>
      <w:r w:rsidRPr="0084698D">
        <w:rPr>
          <w:rFonts w:ascii="Times New Roman" w:hAnsi="Times New Roman"/>
          <w:b/>
          <w:bCs/>
          <w:i/>
          <w:sz w:val="24"/>
        </w:rPr>
        <w:t>only</w:t>
      </w:r>
      <w:proofErr w:type="spellEnd"/>
      <w:r w:rsidRPr="0084698D">
        <w:rPr>
          <w:rFonts w:ascii="Times New Roman" w:hAnsi="Times New Roman"/>
          <w:b/>
          <w:bCs/>
          <w:i/>
          <w:sz w:val="24"/>
        </w:rPr>
        <w:t>.</w:t>
      </w:r>
    </w:p>
    <w:sectPr w:rsidR="008A5273" w:rsidRPr="00314A8D" w:rsidSect="004936F4">
      <w:footerReference w:type="default" r:id="rId8"/>
      <w:headerReference w:type="first" r:id="rId9"/>
      <w:footerReference w:type="first" r:id="rId10"/>
      <w:pgSz w:w="11907" w:h="16840" w:code="9"/>
      <w:pgMar w:top="1440" w:right="1152" w:bottom="1152" w:left="1440" w:header="1138" w:footer="6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5AB" w:rsidRDefault="00EC15AB">
      <w:r>
        <w:separator/>
      </w:r>
    </w:p>
  </w:endnote>
  <w:endnote w:type="continuationSeparator" w:id="0">
    <w:p w:rsidR="00EC15AB" w:rsidRDefault="00EC1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Malgun Gothic"/>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TimesNewRomanPSMT">
    <w:altName w:val="MS Gothic"/>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Futura Std">
    <w:altName w:val="Futura St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B5B" w:rsidRDefault="00C71B5B">
    <w:pPr>
      <w:pStyle w:val="Footer"/>
    </w:pPr>
  </w:p>
  <w:p w:rsidR="00C71B5B" w:rsidRDefault="00422375" w:rsidP="002E4083">
    <w:pPr>
      <w:pStyle w:val="Footer"/>
      <w:jc w:val="center"/>
    </w:pPr>
    <w:r>
      <w:fldChar w:fldCharType="begin"/>
    </w:r>
    <w:r>
      <w:instrText xml:space="preserve"> PAGE  \* Arabic  \* MERGEFORMAT </w:instrText>
    </w:r>
    <w:r>
      <w:fldChar w:fldCharType="separate"/>
    </w:r>
    <w:r w:rsidR="00984D46">
      <w:rPr>
        <w:noProof/>
      </w:rPr>
      <w:t>21</w:t>
    </w:r>
    <w:r>
      <w:rPr>
        <w:noProof/>
      </w:rPr>
      <w:fldChar w:fldCharType="end"/>
    </w:r>
  </w:p>
  <w:p w:rsidR="00C71B5B" w:rsidRDefault="00C71B5B" w:rsidP="002E408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925107"/>
      <w:docPartObj>
        <w:docPartGallery w:val="Page Numbers (Bottom of Page)"/>
        <w:docPartUnique/>
      </w:docPartObj>
    </w:sdtPr>
    <w:sdtEndPr>
      <w:rPr>
        <w:noProof/>
      </w:rPr>
    </w:sdtEndPr>
    <w:sdtContent>
      <w:p w:rsidR="00C71B5B" w:rsidRDefault="00422375">
        <w:pPr>
          <w:pStyle w:val="Footer"/>
          <w:jc w:val="center"/>
        </w:pPr>
        <w:r>
          <w:fldChar w:fldCharType="begin"/>
        </w:r>
        <w:r>
          <w:instrText xml:space="preserve"> PAGE   \* MERGEFORMAT </w:instrText>
        </w:r>
        <w:r>
          <w:fldChar w:fldCharType="separate"/>
        </w:r>
        <w:r w:rsidR="00984D46">
          <w:rPr>
            <w:noProof/>
          </w:rPr>
          <w:t>1</w:t>
        </w:r>
        <w:r>
          <w:rPr>
            <w:noProof/>
          </w:rPr>
          <w:fldChar w:fldCharType="end"/>
        </w:r>
      </w:p>
    </w:sdtContent>
  </w:sdt>
  <w:p w:rsidR="00C71B5B" w:rsidRDefault="00C71B5B" w:rsidP="002E408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5AB" w:rsidRDefault="00EC15AB">
      <w:r>
        <w:separator/>
      </w:r>
    </w:p>
  </w:footnote>
  <w:footnote w:type="continuationSeparator" w:id="0">
    <w:p w:rsidR="00EC15AB" w:rsidRDefault="00EC1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B5B" w:rsidRDefault="00C71B5B" w:rsidP="00597311">
    <w:pPr>
      <w:pStyle w:val="Header"/>
      <w:jc w:val="center"/>
    </w:pPr>
    <w:r>
      <w:rPr>
        <w:noProof/>
      </w:rPr>
      <w:drawing>
        <wp:anchor distT="0" distB="0" distL="114300" distR="114300" simplePos="0" relativeHeight="251657728" behindDoc="0" locked="0" layoutInCell="1" allowOverlap="1">
          <wp:simplePos x="0" y="0"/>
          <wp:positionH relativeFrom="margin">
            <wp:align>right</wp:align>
          </wp:positionH>
          <wp:positionV relativeFrom="paragraph">
            <wp:posOffset>-474345</wp:posOffset>
          </wp:positionV>
          <wp:extent cx="5910580" cy="1754505"/>
          <wp:effectExtent l="0" t="0" r="0" b="0"/>
          <wp:wrapSquare wrapText="bothSides"/>
          <wp:docPr id="17" name="Picture 17" descr="llogo_vendi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logo_vendimet"/>
                  <pic:cNvPicPr>
                    <a:picLocks noChangeAspect="1" noChangeArrowheads="1"/>
                  </pic:cNvPicPr>
                </pic:nvPicPr>
                <pic:blipFill>
                  <a:blip r:embed="rId1"/>
                  <a:srcRect/>
                  <a:stretch>
                    <a:fillRect/>
                  </a:stretch>
                </pic:blipFill>
                <pic:spPr bwMode="auto">
                  <a:xfrm>
                    <a:off x="0" y="0"/>
                    <a:ext cx="5910580" cy="17545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BC7C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05C2C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9A54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68A9E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C304B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BB2F5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EA16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CB8D28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E2DE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663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C6F3B"/>
    <w:multiLevelType w:val="hybridMultilevel"/>
    <w:tmpl w:val="B31E1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716DAF"/>
    <w:multiLevelType w:val="hybridMultilevel"/>
    <w:tmpl w:val="A8D0A85C"/>
    <w:lvl w:ilvl="0" w:tplc="0409000F">
      <w:start w:val="60"/>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CC0FD5"/>
    <w:multiLevelType w:val="hybridMultilevel"/>
    <w:tmpl w:val="03DEA41E"/>
    <w:lvl w:ilvl="0" w:tplc="9CEEF28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024B32E8"/>
    <w:multiLevelType w:val="hybridMultilevel"/>
    <w:tmpl w:val="86585900"/>
    <w:lvl w:ilvl="0" w:tplc="4712D6B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FE75FF"/>
    <w:multiLevelType w:val="hybridMultilevel"/>
    <w:tmpl w:val="2E6684D8"/>
    <w:lvl w:ilvl="0" w:tplc="6A5488D6">
      <w:start w:val="1"/>
      <w:numFmt w:val="decimal"/>
      <w:lvlText w:val="%1."/>
      <w:lvlJc w:val="left"/>
      <w:pPr>
        <w:ind w:left="360" w:hanging="360"/>
      </w:pPr>
      <w:rPr>
        <w:rFonts w:ascii="Georgia" w:hAnsi="Georgia"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0F0124"/>
    <w:multiLevelType w:val="hybridMultilevel"/>
    <w:tmpl w:val="690A0562"/>
    <w:lvl w:ilvl="0" w:tplc="DC623F8A">
      <w:start w:val="1"/>
      <w:numFmt w:val="lowerLetter"/>
      <w:lvlText w:val="%1)"/>
      <w:lvlJc w:val="left"/>
      <w:pPr>
        <w:ind w:left="720" w:hanging="360"/>
      </w:pPr>
      <w:rPr>
        <w:rFonts w:ascii="Georgia" w:eastAsia="Times New Roman" w:hAnsi="Georgia"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3A7DD0"/>
    <w:multiLevelType w:val="hybridMultilevel"/>
    <w:tmpl w:val="634A9048"/>
    <w:lvl w:ilvl="0" w:tplc="80C0C4DC">
      <w:start w:val="1"/>
      <w:numFmt w:val="decimal"/>
      <w:lvlText w:val="%1."/>
      <w:lvlJc w:val="left"/>
      <w:pPr>
        <w:tabs>
          <w:tab w:val="num" w:pos="720"/>
        </w:tabs>
        <w:ind w:left="720" w:hanging="360"/>
      </w:pPr>
      <w:rPr>
        <w:rFonts w:ascii="Georgia" w:hAnsi="Georgia" w:hint="default"/>
        <w:b w:val="0"/>
        <w:i w:val="0"/>
        <w:color w:val="000000" w:themeColor="text1"/>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7B42A06"/>
    <w:multiLevelType w:val="hybridMultilevel"/>
    <w:tmpl w:val="634A9048"/>
    <w:lvl w:ilvl="0" w:tplc="80C0C4DC">
      <w:start w:val="1"/>
      <w:numFmt w:val="decimal"/>
      <w:lvlText w:val="%1."/>
      <w:lvlJc w:val="left"/>
      <w:pPr>
        <w:tabs>
          <w:tab w:val="num" w:pos="720"/>
        </w:tabs>
        <w:ind w:left="720" w:hanging="360"/>
      </w:pPr>
      <w:rPr>
        <w:rFonts w:ascii="Georgia" w:hAnsi="Georgia" w:hint="default"/>
        <w:b w:val="0"/>
        <w:i w:val="0"/>
        <w:color w:val="000000" w:themeColor="text1"/>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7EF07BE"/>
    <w:multiLevelType w:val="hybridMultilevel"/>
    <w:tmpl w:val="F9A85084"/>
    <w:lvl w:ilvl="0" w:tplc="B1DE07B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8DD3A51"/>
    <w:multiLevelType w:val="hybridMultilevel"/>
    <w:tmpl w:val="B3E27256"/>
    <w:lvl w:ilvl="0" w:tplc="5F186E66">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0E6C74A0"/>
    <w:multiLevelType w:val="hybridMultilevel"/>
    <w:tmpl w:val="ABBCCFC6"/>
    <w:lvl w:ilvl="0" w:tplc="285CB978">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0FB00F99"/>
    <w:multiLevelType w:val="hybridMultilevel"/>
    <w:tmpl w:val="66E28A14"/>
    <w:lvl w:ilvl="0" w:tplc="8B001DD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10DB4FF7"/>
    <w:multiLevelType w:val="hybridMultilevel"/>
    <w:tmpl w:val="098E0DA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1900472"/>
    <w:multiLevelType w:val="hybridMultilevel"/>
    <w:tmpl w:val="0820EFDC"/>
    <w:lvl w:ilvl="0" w:tplc="135AEA1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15BF7224"/>
    <w:multiLevelType w:val="hybridMultilevel"/>
    <w:tmpl w:val="14F8DC86"/>
    <w:lvl w:ilvl="0" w:tplc="F22E5AEC">
      <w:start w:val="1"/>
      <w:numFmt w:val="decimal"/>
      <w:lvlText w:val="%1."/>
      <w:lvlJc w:val="left"/>
      <w:pPr>
        <w:ind w:left="45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886063"/>
    <w:multiLevelType w:val="hybridMultilevel"/>
    <w:tmpl w:val="13945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193A0EE4"/>
    <w:multiLevelType w:val="hybridMultilevel"/>
    <w:tmpl w:val="D876B096"/>
    <w:lvl w:ilvl="0" w:tplc="0409000F">
      <w:start w:val="7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B623611"/>
    <w:multiLevelType w:val="hybridMultilevel"/>
    <w:tmpl w:val="590CB138"/>
    <w:lvl w:ilvl="0" w:tplc="52ECB2FA">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A46394"/>
    <w:multiLevelType w:val="hybridMultilevel"/>
    <w:tmpl w:val="287A34E6"/>
    <w:lvl w:ilvl="0" w:tplc="B9CAEC1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15:restartNumberingAfterBreak="0">
    <w:nsid w:val="1E3478AC"/>
    <w:multiLevelType w:val="hybridMultilevel"/>
    <w:tmpl w:val="0950B1CE"/>
    <w:lvl w:ilvl="0" w:tplc="D0F60ACA">
      <w:start w:val="1"/>
      <w:numFmt w:val="decimal"/>
      <w:lvlText w:val="%1."/>
      <w:lvlJc w:val="left"/>
      <w:pPr>
        <w:ind w:left="1350" w:hanging="360"/>
      </w:pPr>
      <w:rPr>
        <w:rFonts w:hint="default"/>
        <w:b w:val="0"/>
        <w:i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EF128DF"/>
    <w:multiLevelType w:val="hybridMultilevel"/>
    <w:tmpl w:val="FFFCF604"/>
    <w:lvl w:ilvl="0" w:tplc="7850197C">
      <w:start w:val="78"/>
      <w:numFmt w:val="decimal"/>
      <w:lvlText w:val="%1."/>
      <w:lvlJc w:val="left"/>
      <w:pPr>
        <w:ind w:left="1080" w:hanging="360"/>
      </w:pPr>
      <w:rPr>
        <w:rFonts w:cs="Georgia"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1514F73"/>
    <w:multiLevelType w:val="multilevel"/>
    <w:tmpl w:val="49B40B68"/>
    <w:lvl w:ilvl="0">
      <w:start w:val="1"/>
      <w:numFmt w:val="decimal"/>
      <w:lvlText w:val="%1."/>
      <w:lvlJc w:val="left"/>
      <w:pPr>
        <w:ind w:left="540" w:hanging="360"/>
      </w:pPr>
      <w:rPr>
        <w:rFonts w:ascii="Georgia" w:hAnsi="Georgia"/>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16D0DAB"/>
    <w:multiLevelType w:val="hybridMultilevel"/>
    <w:tmpl w:val="E7E04278"/>
    <w:lvl w:ilvl="0" w:tplc="25C2CE60">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35C41CA"/>
    <w:multiLevelType w:val="hybridMultilevel"/>
    <w:tmpl w:val="3C06195A"/>
    <w:lvl w:ilvl="0" w:tplc="55D43F36">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6321713"/>
    <w:multiLevelType w:val="hybridMultilevel"/>
    <w:tmpl w:val="48820CAA"/>
    <w:lvl w:ilvl="0" w:tplc="C9BA79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87D6D63"/>
    <w:multiLevelType w:val="hybridMultilevel"/>
    <w:tmpl w:val="32405280"/>
    <w:lvl w:ilvl="0" w:tplc="55D43F36">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8CD775C"/>
    <w:multiLevelType w:val="hybridMultilevel"/>
    <w:tmpl w:val="2E2A71DA"/>
    <w:lvl w:ilvl="0" w:tplc="80C0C4DC">
      <w:start w:val="1"/>
      <w:numFmt w:val="decimal"/>
      <w:lvlText w:val="%1."/>
      <w:lvlJc w:val="left"/>
      <w:pPr>
        <w:tabs>
          <w:tab w:val="num" w:pos="720"/>
        </w:tabs>
        <w:ind w:left="720" w:hanging="360"/>
      </w:pPr>
      <w:rPr>
        <w:rFonts w:ascii="Georgia" w:hAnsi="Georgia" w:hint="default"/>
        <w:b w:val="0"/>
        <w:i w:val="0"/>
        <w:color w:val="000000" w:themeColor="text1"/>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BA0418C"/>
    <w:multiLevelType w:val="hybridMultilevel"/>
    <w:tmpl w:val="BFC6980A"/>
    <w:lvl w:ilvl="0" w:tplc="A8F67292">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8" w15:restartNumberingAfterBreak="0">
    <w:nsid w:val="2D8800DA"/>
    <w:multiLevelType w:val="hybridMultilevel"/>
    <w:tmpl w:val="F7123620"/>
    <w:lvl w:ilvl="0" w:tplc="703E8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E3C7F2A"/>
    <w:multiLevelType w:val="multilevel"/>
    <w:tmpl w:val="18B082CA"/>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2FD4C9B"/>
    <w:multiLevelType w:val="hybridMultilevel"/>
    <w:tmpl w:val="82F0C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333720B"/>
    <w:multiLevelType w:val="multilevel"/>
    <w:tmpl w:val="B80E721C"/>
    <w:lvl w:ilvl="0">
      <w:start w:val="1"/>
      <w:numFmt w:val="decimal"/>
      <w:lvlText w:val="%1."/>
      <w:lvlJc w:val="left"/>
      <w:pPr>
        <w:ind w:left="720" w:hanging="360"/>
      </w:pPr>
      <w:rPr>
        <w:rFonts w:ascii="Georgia" w:hAnsi="Georgia" w:hint="default"/>
        <w:b w:val="0"/>
        <w:i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344B570A"/>
    <w:multiLevelType w:val="hybridMultilevel"/>
    <w:tmpl w:val="8B86398E"/>
    <w:lvl w:ilvl="0" w:tplc="2542A990">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43" w15:restartNumberingAfterBreak="0">
    <w:nsid w:val="357C0BD1"/>
    <w:multiLevelType w:val="hybridMultilevel"/>
    <w:tmpl w:val="634A9048"/>
    <w:lvl w:ilvl="0" w:tplc="80C0C4DC">
      <w:start w:val="1"/>
      <w:numFmt w:val="decimal"/>
      <w:lvlText w:val="%1."/>
      <w:lvlJc w:val="left"/>
      <w:pPr>
        <w:tabs>
          <w:tab w:val="num" w:pos="720"/>
        </w:tabs>
        <w:ind w:left="720" w:hanging="360"/>
      </w:pPr>
      <w:rPr>
        <w:rFonts w:ascii="Georgia" w:hAnsi="Georgia" w:hint="default"/>
        <w:b w:val="0"/>
        <w:i w:val="0"/>
        <w:color w:val="000000" w:themeColor="text1"/>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82F11F5"/>
    <w:multiLevelType w:val="hybridMultilevel"/>
    <w:tmpl w:val="773EEAFA"/>
    <w:lvl w:ilvl="0" w:tplc="8646A7F2">
      <w:start w:val="1"/>
      <w:numFmt w:val="decimal"/>
      <w:lvlText w:val="(%1)"/>
      <w:lvlJc w:val="left"/>
      <w:pPr>
        <w:ind w:left="1331" w:hanging="360"/>
      </w:pPr>
      <w:rPr>
        <w:rFonts w:hint="default"/>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45" w15:restartNumberingAfterBreak="0">
    <w:nsid w:val="38A965F9"/>
    <w:multiLevelType w:val="hybridMultilevel"/>
    <w:tmpl w:val="1E5AAE90"/>
    <w:lvl w:ilvl="0" w:tplc="5584FD4E">
      <w:start w:val="5"/>
      <w:numFmt w:val="upperRoman"/>
      <w:lvlText w:val="%1&gt;"/>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15:restartNumberingAfterBreak="0">
    <w:nsid w:val="3BF55392"/>
    <w:multiLevelType w:val="hybridMultilevel"/>
    <w:tmpl w:val="EF981B0A"/>
    <w:lvl w:ilvl="0" w:tplc="55D43F36">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DF760C0"/>
    <w:multiLevelType w:val="hybridMultilevel"/>
    <w:tmpl w:val="634A9048"/>
    <w:lvl w:ilvl="0" w:tplc="80C0C4DC">
      <w:start w:val="1"/>
      <w:numFmt w:val="decimal"/>
      <w:lvlText w:val="%1."/>
      <w:lvlJc w:val="left"/>
      <w:pPr>
        <w:tabs>
          <w:tab w:val="num" w:pos="720"/>
        </w:tabs>
        <w:ind w:left="720" w:hanging="360"/>
      </w:pPr>
      <w:rPr>
        <w:rFonts w:ascii="Georgia" w:hAnsi="Georgia" w:hint="default"/>
        <w:b w:val="0"/>
        <w:i w:val="0"/>
        <w:color w:val="000000" w:themeColor="text1"/>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10E7B47"/>
    <w:multiLevelType w:val="hybridMultilevel"/>
    <w:tmpl w:val="6ACC73BE"/>
    <w:lvl w:ilvl="0" w:tplc="A9D247D8">
      <w:start w:val="1"/>
      <w:numFmt w:val="decimal"/>
      <w:lvlText w:val="%1."/>
      <w:lvlJc w:val="left"/>
      <w:pPr>
        <w:tabs>
          <w:tab w:val="num" w:pos="1080"/>
        </w:tabs>
        <w:ind w:left="1080" w:hanging="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40B1EF5"/>
    <w:multiLevelType w:val="hybridMultilevel"/>
    <w:tmpl w:val="DFC67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43E4790"/>
    <w:multiLevelType w:val="hybridMultilevel"/>
    <w:tmpl w:val="A084510E"/>
    <w:lvl w:ilvl="0" w:tplc="3DC6603A">
      <w:start w:val="1"/>
      <w:numFmt w:val="upperRoman"/>
      <w:lvlText w:val="%1."/>
      <w:lvlJc w:val="left"/>
      <w:pPr>
        <w:ind w:left="720" w:hanging="360"/>
      </w:pPr>
      <w:rPr>
        <w:rFonts w:hint="default"/>
      </w:rPr>
    </w:lvl>
    <w:lvl w:ilvl="1" w:tplc="041C0019" w:tentative="1">
      <w:start w:val="1"/>
      <w:numFmt w:val="lowerLetter"/>
      <w:lvlText w:val="%2."/>
      <w:lvlJc w:val="left"/>
      <w:pPr>
        <w:ind w:left="1440" w:hanging="360"/>
      </w:pPr>
    </w:lvl>
    <w:lvl w:ilvl="2" w:tplc="041C0013">
      <w:start w:val="1"/>
      <w:numFmt w:val="upperRoman"/>
      <w:lvlText w:val="%3."/>
      <w:lvlJc w:val="right"/>
      <w:pPr>
        <w:ind w:left="171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1" w15:restartNumberingAfterBreak="0">
    <w:nsid w:val="459359CE"/>
    <w:multiLevelType w:val="hybridMultilevel"/>
    <w:tmpl w:val="20F6D74E"/>
    <w:lvl w:ilvl="0" w:tplc="7BD66786">
      <w:start w:val="1"/>
      <w:numFmt w:val="decimal"/>
      <w:lvlText w:val="%1."/>
      <w:lvlJc w:val="left"/>
      <w:pPr>
        <w:tabs>
          <w:tab w:val="num" w:pos="360"/>
        </w:tabs>
        <w:ind w:left="360" w:hanging="360"/>
      </w:pPr>
      <w:rPr>
        <w:rFonts w:cs="Times New Roman" w:hint="default"/>
        <w:b w:val="0"/>
        <w:i w:val="0"/>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9A0E8364">
      <w:start w:val="1"/>
      <w:numFmt w:val="lowerLetter"/>
      <w:lvlText w:val="%4)"/>
      <w:lvlJc w:val="left"/>
      <w:pPr>
        <w:tabs>
          <w:tab w:val="num" w:pos="2520"/>
        </w:tabs>
        <w:ind w:left="2520" w:hanging="360"/>
      </w:pPr>
      <w:rPr>
        <w:rFonts w:cs="Times New Roman" w:hint="default"/>
      </w:rPr>
    </w:lvl>
    <w:lvl w:ilvl="4" w:tplc="9A0E8364">
      <w:start w:val="1"/>
      <w:numFmt w:val="lowerLetter"/>
      <w:lvlText w:val="%5)"/>
      <w:lvlJc w:val="left"/>
      <w:pPr>
        <w:tabs>
          <w:tab w:val="num" w:pos="720"/>
        </w:tabs>
        <w:ind w:left="720" w:hanging="360"/>
      </w:pPr>
      <w:rPr>
        <w:rFonts w:cs="Times New Roman" w:hint="default"/>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2" w15:restartNumberingAfterBreak="0">
    <w:nsid w:val="482E4C2E"/>
    <w:multiLevelType w:val="hybridMultilevel"/>
    <w:tmpl w:val="D99235EA"/>
    <w:lvl w:ilvl="0" w:tplc="A132A26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A641E54"/>
    <w:multiLevelType w:val="hybridMultilevel"/>
    <w:tmpl w:val="B25E39C8"/>
    <w:lvl w:ilvl="0" w:tplc="5504DFBA">
      <w:start w:val="1"/>
      <w:numFmt w:val="decimal"/>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4E554885"/>
    <w:multiLevelType w:val="hybridMultilevel"/>
    <w:tmpl w:val="634A9048"/>
    <w:lvl w:ilvl="0" w:tplc="80C0C4DC">
      <w:start w:val="1"/>
      <w:numFmt w:val="decimal"/>
      <w:lvlText w:val="%1."/>
      <w:lvlJc w:val="left"/>
      <w:pPr>
        <w:tabs>
          <w:tab w:val="num" w:pos="720"/>
        </w:tabs>
        <w:ind w:left="720" w:hanging="360"/>
      </w:pPr>
      <w:rPr>
        <w:rFonts w:ascii="Georgia" w:hAnsi="Georgia" w:hint="default"/>
        <w:b w:val="0"/>
        <w:i w:val="0"/>
        <w:color w:val="000000" w:themeColor="text1"/>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EFE203D"/>
    <w:multiLevelType w:val="hybridMultilevel"/>
    <w:tmpl w:val="66E28A14"/>
    <w:lvl w:ilvl="0" w:tplc="8B001DD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57714AE6"/>
    <w:multiLevelType w:val="multilevel"/>
    <w:tmpl w:val="1BC6D6FA"/>
    <w:lvl w:ilvl="0">
      <w:start w:val="1"/>
      <w:numFmt w:val="decimal"/>
      <w:lvlText w:val="%1."/>
      <w:lvlJc w:val="left"/>
      <w:pPr>
        <w:ind w:left="540" w:hanging="360"/>
      </w:pPr>
      <w:rPr>
        <w:rFonts w:ascii="Georgia" w:hAnsi="Georgia"/>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7B57651"/>
    <w:multiLevelType w:val="hybridMultilevel"/>
    <w:tmpl w:val="A0A66964"/>
    <w:lvl w:ilvl="0" w:tplc="28F6F348">
      <w:start w:val="1"/>
      <w:numFmt w:val="lowerRoman"/>
      <w:lvlText w:val="(%1)"/>
      <w:lvlJc w:val="left"/>
      <w:pPr>
        <w:ind w:left="1080" w:hanging="720"/>
      </w:pPr>
      <w:rPr>
        <w:rFonts w:cs="Times New Roman"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8395E57"/>
    <w:multiLevelType w:val="multilevel"/>
    <w:tmpl w:val="79EA9E0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9" w15:restartNumberingAfterBreak="0">
    <w:nsid w:val="59A26041"/>
    <w:multiLevelType w:val="hybridMultilevel"/>
    <w:tmpl w:val="65248C60"/>
    <w:lvl w:ilvl="0" w:tplc="726886DE">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0" w15:restartNumberingAfterBreak="0">
    <w:nsid w:val="5DDA4252"/>
    <w:multiLevelType w:val="hybridMultilevel"/>
    <w:tmpl w:val="21121D4C"/>
    <w:lvl w:ilvl="0" w:tplc="7BCE1F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173351B"/>
    <w:multiLevelType w:val="hybridMultilevel"/>
    <w:tmpl w:val="427CDD0C"/>
    <w:lvl w:ilvl="0" w:tplc="CAB2B28A">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1EC6882"/>
    <w:multiLevelType w:val="hybridMultilevel"/>
    <w:tmpl w:val="8180985A"/>
    <w:lvl w:ilvl="0" w:tplc="3816127C">
      <w:start w:val="2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25B7678"/>
    <w:multiLevelType w:val="hybridMultilevel"/>
    <w:tmpl w:val="E05E2AD8"/>
    <w:lvl w:ilvl="0" w:tplc="0409000F">
      <w:start w:val="1"/>
      <w:numFmt w:val="decimal"/>
      <w:lvlText w:val="%1."/>
      <w:lvlJc w:val="left"/>
      <w:pPr>
        <w:tabs>
          <w:tab w:val="num" w:pos="720"/>
        </w:tabs>
        <w:ind w:left="720" w:hanging="360"/>
      </w:pPr>
    </w:lvl>
    <w:lvl w:ilvl="1" w:tplc="188042AA">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65FD71EF"/>
    <w:multiLevelType w:val="hybridMultilevel"/>
    <w:tmpl w:val="25CA1416"/>
    <w:lvl w:ilvl="0" w:tplc="D14256F8">
      <w:start w:val="49"/>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6D673CE"/>
    <w:multiLevelType w:val="hybridMultilevel"/>
    <w:tmpl w:val="C1C2EA62"/>
    <w:lvl w:ilvl="0" w:tplc="2A94F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9FA6860"/>
    <w:multiLevelType w:val="hybridMultilevel"/>
    <w:tmpl w:val="634A9048"/>
    <w:lvl w:ilvl="0" w:tplc="80C0C4DC">
      <w:start w:val="1"/>
      <w:numFmt w:val="decimal"/>
      <w:lvlText w:val="%1."/>
      <w:lvlJc w:val="left"/>
      <w:pPr>
        <w:tabs>
          <w:tab w:val="num" w:pos="720"/>
        </w:tabs>
        <w:ind w:left="720" w:hanging="360"/>
      </w:pPr>
      <w:rPr>
        <w:rFonts w:ascii="Georgia" w:hAnsi="Georgia" w:hint="default"/>
        <w:b w:val="0"/>
        <w:i w:val="0"/>
        <w:color w:val="000000" w:themeColor="text1"/>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6A10305D"/>
    <w:multiLevelType w:val="hybridMultilevel"/>
    <w:tmpl w:val="DCFA20AA"/>
    <w:lvl w:ilvl="0" w:tplc="D1C89A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AD83DCF"/>
    <w:multiLevelType w:val="hybridMultilevel"/>
    <w:tmpl w:val="18B082CA"/>
    <w:lvl w:ilvl="0" w:tplc="1954FA44">
      <w:start w:val="1"/>
      <w:numFmt w:val="decimal"/>
      <w:lvlText w:val="%1."/>
      <w:lvlJc w:val="left"/>
      <w:pPr>
        <w:tabs>
          <w:tab w:val="num" w:pos="360"/>
        </w:tabs>
        <w:ind w:left="360" w:hanging="360"/>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0F00841"/>
    <w:multiLevelType w:val="hybridMultilevel"/>
    <w:tmpl w:val="531A639A"/>
    <w:lvl w:ilvl="0" w:tplc="A59E0776">
      <w:start w:val="1"/>
      <w:numFmt w:val="lowerRoman"/>
      <w:lvlText w:val="%1)"/>
      <w:lvlJc w:val="left"/>
      <w:pPr>
        <w:ind w:left="1800" w:hanging="72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73C1061C"/>
    <w:multiLevelType w:val="hybridMultilevel"/>
    <w:tmpl w:val="7AAA3F04"/>
    <w:lvl w:ilvl="0" w:tplc="55D43F36">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3F01165"/>
    <w:multiLevelType w:val="hybridMultilevel"/>
    <w:tmpl w:val="5F6E8392"/>
    <w:lvl w:ilvl="0" w:tplc="517EA8C6">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2" w15:restartNumberingAfterBreak="0">
    <w:nsid w:val="745245C1"/>
    <w:multiLevelType w:val="hybridMultilevel"/>
    <w:tmpl w:val="63B8229C"/>
    <w:lvl w:ilvl="0" w:tplc="814CD748">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3" w15:restartNumberingAfterBreak="0">
    <w:nsid w:val="79272D1B"/>
    <w:multiLevelType w:val="hybridMultilevel"/>
    <w:tmpl w:val="D3863716"/>
    <w:lvl w:ilvl="0" w:tplc="CEA06424">
      <w:start w:val="1"/>
      <w:numFmt w:val="decimal"/>
      <w:lvlText w:val="%1."/>
      <w:lvlJc w:val="left"/>
      <w:pPr>
        <w:tabs>
          <w:tab w:val="num" w:pos="780"/>
        </w:tabs>
        <w:ind w:left="780" w:hanging="360"/>
      </w:pPr>
      <w:rPr>
        <w:b w:val="0"/>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4" w15:restartNumberingAfterBreak="0">
    <w:nsid w:val="7A752E08"/>
    <w:multiLevelType w:val="hybridMultilevel"/>
    <w:tmpl w:val="604A7620"/>
    <w:lvl w:ilvl="0" w:tplc="3BD2624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AC4155C"/>
    <w:multiLevelType w:val="hybridMultilevel"/>
    <w:tmpl w:val="EF84644E"/>
    <w:lvl w:ilvl="0" w:tplc="3A30BFE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7BB63ACB"/>
    <w:multiLevelType w:val="hybridMultilevel"/>
    <w:tmpl w:val="9EE68EDA"/>
    <w:lvl w:ilvl="0" w:tplc="C8108CD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C2A304D"/>
    <w:multiLevelType w:val="hybridMultilevel"/>
    <w:tmpl w:val="D15AF94A"/>
    <w:lvl w:ilvl="0" w:tplc="35C0628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8" w15:restartNumberingAfterBreak="0">
    <w:nsid w:val="7C662817"/>
    <w:multiLevelType w:val="hybridMultilevel"/>
    <w:tmpl w:val="0ACA66AE"/>
    <w:lvl w:ilvl="0" w:tplc="FEA0CA50">
      <w:start w:val="1"/>
      <w:numFmt w:val="upp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74"/>
  </w:num>
  <w:num w:numId="12">
    <w:abstractNumId w:val="18"/>
  </w:num>
  <w:num w:numId="13">
    <w:abstractNumId w:val="49"/>
  </w:num>
  <w:num w:numId="14">
    <w:abstractNumId w:val="61"/>
  </w:num>
  <w:num w:numId="15">
    <w:abstractNumId w:val="65"/>
  </w:num>
  <w:num w:numId="16">
    <w:abstractNumId w:val="48"/>
  </w:num>
  <w:num w:numId="17">
    <w:abstractNumId w:val="10"/>
  </w:num>
  <w:num w:numId="18">
    <w:abstractNumId w:val="44"/>
  </w:num>
  <w:num w:numId="19">
    <w:abstractNumId w:val="40"/>
  </w:num>
  <w:num w:numId="20">
    <w:abstractNumId w:val="53"/>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4"/>
  </w:num>
  <w:num w:numId="24">
    <w:abstractNumId w:val="64"/>
  </w:num>
  <w:num w:numId="25">
    <w:abstractNumId w:val="36"/>
  </w:num>
  <w:num w:numId="26">
    <w:abstractNumId w:val="51"/>
  </w:num>
  <w:num w:numId="27">
    <w:abstractNumId w:val="15"/>
  </w:num>
  <w:num w:numId="28">
    <w:abstractNumId w:val="37"/>
  </w:num>
  <w:num w:numId="29">
    <w:abstractNumId w:val="31"/>
  </w:num>
  <w:num w:numId="30">
    <w:abstractNumId w:val="39"/>
  </w:num>
  <w:num w:numId="31">
    <w:abstractNumId w:val="56"/>
  </w:num>
  <w:num w:numId="32">
    <w:abstractNumId w:val="68"/>
  </w:num>
  <w:num w:numId="33">
    <w:abstractNumId w:val="38"/>
  </w:num>
  <w:num w:numId="34">
    <w:abstractNumId w:val="77"/>
  </w:num>
  <w:num w:numId="35">
    <w:abstractNumId w:val="19"/>
  </w:num>
  <w:num w:numId="36">
    <w:abstractNumId w:val="16"/>
  </w:num>
  <w:num w:numId="37">
    <w:abstractNumId w:val="66"/>
  </w:num>
  <w:num w:numId="38">
    <w:abstractNumId w:val="54"/>
  </w:num>
  <w:num w:numId="39">
    <w:abstractNumId w:val="22"/>
  </w:num>
  <w:num w:numId="40">
    <w:abstractNumId w:val="11"/>
  </w:num>
  <w:num w:numId="41">
    <w:abstractNumId w:val="26"/>
  </w:num>
  <w:num w:numId="42">
    <w:abstractNumId w:val="47"/>
  </w:num>
  <w:num w:numId="43">
    <w:abstractNumId w:val="62"/>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17"/>
  </w:num>
  <w:num w:numId="47">
    <w:abstractNumId w:val="43"/>
  </w:num>
  <w:num w:numId="48">
    <w:abstractNumId w:val="23"/>
  </w:num>
  <w:num w:numId="49">
    <w:abstractNumId w:val="27"/>
  </w:num>
  <w:num w:numId="50">
    <w:abstractNumId w:val="28"/>
  </w:num>
  <w:num w:numId="51">
    <w:abstractNumId w:val="33"/>
  </w:num>
  <w:num w:numId="52">
    <w:abstractNumId w:val="73"/>
  </w:num>
  <w:num w:numId="53">
    <w:abstractNumId w:val="63"/>
  </w:num>
  <w:num w:numId="54">
    <w:abstractNumId w:val="69"/>
  </w:num>
  <w:num w:numId="55">
    <w:abstractNumId w:val="24"/>
  </w:num>
  <w:num w:numId="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2"/>
  </w:num>
  <w:num w:numId="58">
    <w:abstractNumId w:val="50"/>
  </w:num>
  <w:num w:numId="59">
    <w:abstractNumId w:val="75"/>
  </w:num>
  <w:num w:numId="60">
    <w:abstractNumId w:val="42"/>
  </w:num>
  <w:num w:numId="61">
    <w:abstractNumId w:val="58"/>
  </w:num>
  <w:num w:numId="62">
    <w:abstractNumId w:val="76"/>
  </w:num>
  <w:num w:numId="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num>
  <w:num w:numId="66">
    <w:abstractNumId w:val="30"/>
  </w:num>
  <w:num w:numId="67">
    <w:abstractNumId w:val="70"/>
  </w:num>
  <w:num w:numId="68">
    <w:abstractNumId w:val="35"/>
  </w:num>
  <w:num w:numId="69">
    <w:abstractNumId w:val="30"/>
    <w:lvlOverride w:ilvl="0">
      <w:startOverride w:val="7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9"/>
  </w:num>
  <w:num w:numId="7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5"/>
  </w:num>
  <w:num w:numId="75">
    <w:abstractNumId w:val="21"/>
  </w:num>
  <w:num w:numId="76">
    <w:abstractNumId w:val="59"/>
  </w:num>
  <w:num w:numId="77">
    <w:abstractNumId w:val="78"/>
  </w:num>
  <w:num w:numId="78">
    <w:abstractNumId w:val="60"/>
  </w:num>
  <w:num w:numId="79">
    <w:abstractNumId w:val="34"/>
  </w:num>
  <w:num w:numId="80">
    <w:abstractNumId w:val="67"/>
  </w:num>
  <w:num w:numId="81">
    <w:abstractNumId w:val="71"/>
  </w:num>
  <w:num w:numId="82">
    <w:abstractNumId w:val="57"/>
  </w:num>
  <w:num w:numId="83">
    <w:abstractNumId w:val="45"/>
  </w:num>
  <w:num w:numId="84">
    <w:abstractNumId w:val="1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3AD"/>
    <w:rsid w:val="00000864"/>
    <w:rsid w:val="00000E32"/>
    <w:rsid w:val="000014C2"/>
    <w:rsid w:val="0000180D"/>
    <w:rsid w:val="00001852"/>
    <w:rsid w:val="00003A85"/>
    <w:rsid w:val="000048AB"/>
    <w:rsid w:val="000048AE"/>
    <w:rsid w:val="00004A7A"/>
    <w:rsid w:val="00005E69"/>
    <w:rsid w:val="00006E64"/>
    <w:rsid w:val="00007522"/>
    <w:rsid w:val="00007ACB"/>
    <w:rsid w:val="00007C07"/>
    <w:rsid w:val="00010E5D"/>
    <w:rsid w:val="00011814"/>
    <w:rsid w:val="000118B8"/>
    <w:rsid w:val="00011E1C"/>
    <w:rsid w:val="00012D27"/>
    <w:rsid w:val="00012E47"/>
    <w:rsid w:val="00013085"/>
    <w:rsid w:val="00013CBE"/>
    <w:rsid w:val="00014EBD"/>
    <w:rsid w:val="000158B2"/>
    <w:rsid w:val="00015988"/>
    <w:rsid w:val="000162F2"/>
    <w:rsid w:val="000172DF"/>
    <w:rsid w:val="000175F1"/>
    <w:rsid w:val="00017FCD"/>
    <w:rsid w:val="0002127D"/>
    <w:rsid w:val="000213D3"/>
    <w:rsid w:val="00021E5F"/>
    <w:rsid w:val="00023A29"/>
    <w:rsid w:val="00023C6F"/>
    <w:rsid w:val="00024AB7"/>
    <w:rsid w:val="00025BEB"/>
    <w:rsid w:val="00025E53"/>
    <w:rsid w:val="000265CF"/>
    <w:rsid w:val="000268C4"/>
    <w:rsid w:val="00026F11"/>
    <w:rsid w:val="00027153"/>
    <w:rsid w:val="000271ED"/>
    <w:rsid w:val="0003011E"/>
    <w:rsid w:val="00031458"/>
    <w:rsid w:val="00031660"/>
    <w:rsid w:val="00032BFB"/>
    <w:rsid w:val="00032C45"/>
    <w:rsid w:val="0003311E"/>
    <w:rsid w:val="00033B2F"/>
    <w:rsid w:val="00033E37"/>
    <w:rsid w:val="000340C0"/>
    <w:rsid w:val="000343DE"/>
    <w:rsid w:val="000346AB"/>
    <w:rsid w:val="000355F7"/>
    <w:rsid w:val="00035ACE"/>
    <w:rsid w:val="0003601F"/>
    <w:rsid w:val="0003603B"/>
    <w:rsid w:val="00036316"/>
    <w:rsid w:val="0004075D"/>
    <w:rsid w:val="00040B90"/>
    <w:rsid w:val="00041D8F"/>
    <w:rsid w:val="00043709"/>
    <w:rsid w:val="000439BA"/>
    <w:rsid w:val="00043C17"/>
    <w:rsid w:val="00044B0F"/>
    <w:rsid w:val="000477D4"/>
    <w:rsid w:val="0004792B"/>
    <w:rsid w:val="0004798F"/>
    <w:rsid w:val="00047CDC"/>
    <w:rsid w:val="00050BD2"/>
    <w:rsid w:val="0005132C"/>
    <w:rsid w:val="00051AC7"/>
    <w:rsid w:val="0005381C"/>
    <w:rsid w:val="00053D32"/>
    <w:rsid w:val="00054AB6"/>
    <w:rsid w:val="00054B6C"/>
    <w:rsid w:val="00054F52"/>
    <w:rsid w:val="00055155"/>
    <w:rsid w:val="000555F6"/>
    <w:rsid w:val="00055B7E"/>
    <w:rsid w:val="00055FD9"/>
    <w:rsid w:val="00056D33"/>
    <w:rsid w:val="00057ADC"/>
    <w:rsid w:val="00057FFE"/>
    <w:rsid w:val="00060035"/>
    <w:rsid w:val="0006005A"/>
    <w:rsid w:val="0006012C"/>
    <w:rsid w:val="00060841"/>
    <w:rsid w:val="000608E5"/>
    <w:rsid w:val="00061D35"/>
    <w:rsid w:val="00062608"/>
    <w:rsid w:val="000630D5"/>
    <w:rsid w:val="00063EAC"/>
    <w:rsid w:val="00064B01"/>
    <w:rsid w:val="00065EEA"/>
    <w:rsid w:val="00067C90"/>
    <w:rsid w:val="00070AD7"/>
    <w:rsid w:val="00071E20"/>
    <w:rsid w:val="00072B74"/>
    <w:rsid w:val="000749AC"/>
    <w:rsid w:val="000756AC"/>
    <w:rsid w:val="00075A1D"/>
    <w:rsid w:val="00075D07"/>
    <w:rsid w:val="00077013"/>
    <w:rsid w:val="00082B43"/>
    <w:rsid w:val="00083145"/>
    <w:rsid w:val="00083E4F"/>
    <w:rsid w:val="00084DE7"/>
    <w:rsid w:val="00085C35"/>
    <w:rsid w:val="00085E69"/>
    <w:rsid w:val="00085EDA"/>
    <w:rsid w:val="00086BC0"/>
    <w:rsid w:val="00086C96"/>
    <w:rsid w:val="00087754"/>
    <w:rsid w:val="00087DE0"/>
    <w:rsid w:val="00090D00"/>
    <w:rsid w:val="0009114F"/>
    <w:rsid w:val="000914CA"/>
    <w:rsid w:val="00093BBA"/>
    <w:rsid w:val="000948CD"/>
    <w:rsid w:val="00094CB7"/>
    <w:rsid w:val="00095540"/>
    <w:rsid w:val="0009579D"/>
    <w:rsid w:val="00095D07"/>
    <w:rsid w:val="00095E58"/>
    <w:rsid w:val="00097592"/>
    <w:rsid w:val="000A0392"/>
    <w:rsid w:val="000A2542"/>
    <w:rsid w:val="000A2D3E"/>
    <w:rsid w:val="000A2FD6"/>
    <w:rsid w:val="000A30B4"/>
    <w:rsid w:val="000A4B67"/>
    <w:rsid w:val="000A6249"/>
    <w:rsid w:val="000A6BC3"/>
    <w:rsid w:val="000A7AFE"/>
    <w:rsid w:val="000B038A"/>
    <w:rsid w:val="000B04AE"/>
    <w:rsid w:val="000B0A3C"/>
    <w:rsid w:val="000B0C14"/>
    <w:rsid w:val="000B0FCD"/>
    <w:rsid w:val="000B153D"/>
    <w:rsid w:val="000B15BA"/>
    <w:rsid w:val="000B1AFD"/>
    <w:rsid w:val="000B238B"/>
    <w:rsid w:val="000B27F9"/>
    <w:rsid w:val="000B295D"/>
    <w:rsid w:val="000B2D15"/>
    <w:rsid w:val="000B3570"/>
    <w:rsid w:val="000B4534"/>
    <w:rsid w:val="000B4576"/>
    <w:rsid w:val="000B4A4D"/>
    <w:rsid w:val="000B6B6E"/>
    <w:rsid w:val="000B6C3A"/>
    <w:rsid w:val="000B7749"/>
    <w:rsid w:val="000C0542"/>
    <w:rsid w:val="000C13F7"/>
    <w:rsid w:val="000C22C5"/>
    <w:rsid w:val="000C2E13"/>
    <w:rsid w:val="000C409C"/>
    <w:rsid w:val="000C4860"/>
    <w:rsid w:val="000C49E3"/>
    <w:rsid w:val="000C4D8E"/>
    <w:rsid w:val="000C658B"/>
    <w:rsid w:val="000C6D99"/>
    <w:rsid w:val="000C712D"/>
    <w:rsid w:val="000D01E5"/>
    <w:rsid w:val="000D065A"/>
    <w:rsid w:val="000D18E3"/>
    <w:rsid w:val="000D2382"/>
    <w:rsid w:val="000D4288"/>
    <w:rsid w:val="000D4426"/>
    <w:rsid w:val="000D4827"/>
    <w:rsid w:val="000D4C50"/>
    <w:rsid w:val="000D5044"/>
    <w:rsid w:val="000D536F"/>
    <w:rsid w:val="000D5547"/>
    <w:rsid w:val="000D5B11"/>
    <w:rsid w:val="000D5CE3"/>
    <w:rsid w:val="000D6271"/>
    <w:rsid w:val="000D752A"/>
    <w:rsid w:val="000E1D57"/>
    <w:rsid w:val="000E25E0"/>
    <w:rsid w:val="000E3B97"/>
    <w:rsid w:val="000E3F06"/>
    <w:rsid w:val="000E589A"/>
    <w:rsid w:val="000E63F5"/>
    <w:rsid w:val="000F07A9"/>
    <w:rsid w:val="000F0B5C"/>
    <w:rsid w:val="000F16DE"/>
    <w:rsid w:val="000F1CE2"/>
    <w:rsid w:val="000F24FB"/>
    <w:rsid w:val="000F371B"/>
    <w:rsid w:val="000F46BD"/>
    <w:rsid w:val="000F52E3"/>
    <w:rsid w:val="000F52FB"/>
    <w:rsid w:val="000F5373"/>
    <w:rsid w:val="000F7F56"/>
    <w:rsid w:val="0010020F"/>
    <w:rsid w:val="00100ABD"/>
    <w:rsid w:val="00102660"/>
    <w:rsid w:val="00102E67"/>
    <w:rsid w:val="00104957"/>
    <w:rsid w:val="001060FD"/>
    <w:rsid w:val="001072BC"/>
    <w:rsid w:val="00107B1C"/>
    <w:rsid w:val="00107CCD"/>
    <w:rsid w:val="00110212"/>
    <w:rsid w:val="001105D9"/>
    <w:rsid w:val="00110FFD"/>
    <w:rsid w:val="001117F1"/>
    <w:rsid w:val="00111C86"/>
    <w:rsid w:val="0011272E"/>
    <w:rsid w:val="00113496"/>
    <w:rsid w:val="00113AFC"/>
    <w:rsid w:val="001148AD"/>
    <w:rsid w:val="00115369"/>
    <w:rsid w:val="001159EA"/>
    <w:rsid w:val="00117089"/>
    <w:rsid w:val="0011759A"/>
    <w:rsid w:val="00117F0E"/>
    <w:rsid w:val="00121CE1"/>
    <w:rsid w:val="00122E83"/>
    <w:rsid w:val="00123511"/>
    <w:rsid w:val="00124015"/>
    <w:rsid w:val="0012503B"/>
    <w:rsid w:val="00125E14"/>
    <w:rsid w:val="001265C5"/>
    <w:rsid w:val="00126755"/>
    <w:rsid w:val="001271CB"/>
    <w:rsid w:val="001274EB"/>
    <w:rsid w:val="00127C8A"/>
    <w:rsid w:val="00130582"/>
    <w:rsid w:val="00130ACD"/>
    <w:rsid w:val="001310D2"/>
    <w:rsid w:val="0013113F"/>
    <w:rsid w:val="00132013"/>
    <w:rsid w:val="0013238C"/>
    <w:rsid w:val="0013347A"/>
    <w:rsid w:val="00134A01"/>
    <w:rsid w:val="00134AD7"/>
    <w:rsid w:val="00135144"/>
    <w:rsid w:val="00137A83"/>
    <w:rsid w:val="00140525"/>
    <w:rsid w:val="001408DB"/>
    <w:rsid w:val="001425C7"/>
    <w:rsid w:val="001432CE"/>
    <w:rsid w:val="00143307"/>
    <w:rsid w:val="00143570"/>
    <w:rsid w:val="0014394C"/>
    <w:rsid w:val="0014425B"/>
    <w:rsid w:val="0014485F"/>
    <w:rsid w:val="00144B3D"/>
    <w:rsid w:val="001456C7"/>
    <w:rsid w:val="001457ED"/>
    <w:rsid w:val="00145840"/>
    <w:rsid w:val="001479AD"/>
    <w:rsid w:val="00150205"/>
    <w:rsid w:val="00150354"/>
    <w:rsid w:val="00150884"/>
    <w:rsid w:val="00151ECE"/>
    <w:rsid w:val="00151FF2"/>
    <w:rsid w:val="001528E6"/>
    <w:rsid w:val="00152BA6"/>
    <w:rsid w:val="00153013"/>
    <w:rsid w:val="0015365E"/>
    <w:rsid w:val="00153A11"/>
    <w:rsid w:val="0015465C"/>
    <w:rsid w:val="00154E50"/>
    <w:rsid w:val="00155715"/>
    <w:rsid w:val="0015614A"/>
    <w:rsid w:val="001565A2"/>
    <w:rsid w:val="0015689C"/>
    <w:rsid w:val="00156FC6"/>
    <w:rsid w:val="00157EC4"/>
    <w:rsid w:val="00160868"/>
    <w:rsid w:val="00160FD3"/>
    <w:rsid w:val="001611B5"/>
    <w:rsid w:val="001619C1"/>
    <w:rsid w:val="00161C6B"/>
    <w:rsid w:val="00162758"/>
    <w:rsid w:val="001628AA"/>
    <w:rsid w:val="00163655"/>
    <w:rsid w:val="00164220"/>
    <w:rsid w:val="001642F2"/>
    <w:rsid w:val="001645A7"/>
    <w:rsid w:val="001654FA"/>
    <w:rsid w:val="00166961"/>
    <w:rsid w:val="00166E21"/>
    <w:rsid w:val="001670EB"/>
    <w:rsid w:val="001677AC"/>
    <w:rsid w:val="00167EF1"/>
    <w:rsid w:val="00171914"/>
    <w:rsid w:val="0017299C"/>
    <w:rsid w:val="00172ABE"/>
    <w:rsid w:val="0017392E"/>
    <w:rsid w:val="00174629"/>
    <w:rsid w:val="00174A69"/>
    <w:rsid w:val="0017512B"/>
    <w:rsid w:val="001752F0"/>
    <w:rsid w:val="00175793"/>
    <w:rsid w:val="001759F6"/>
    <w:rsid w:val="00175E60"/>
    <w:rsid w:val="00176C42"/>
    <w:rsid w:val="00176EA5"/>
    <w:rsid w:val="00177F66"/>
    <w:rsid w:val="00184C7C"/>
    <w:rsid w:val="00184C8F"/>
    <w:rsid w:val="00186BBB"/>
    <w:rsid w:val="00187702"/>
    <w:rsid w:val="001878A6"/>
    <w:rsid w:val="00190AAD"/>
    <w:rsid w:val="00190FA4"/>
    <w:rsid w:val="0019128C"/>
    <w:rsid w:val="001916AE"/>
    <w:rsid w:val="00191801"/>
    <w:rsid w:val="00191999"/>
    <w:rsid w:val="0019293D"/>
    <w:rsid w:val="00193E2D"/>
    <w:rsid w:val="0019410B"/>
    <w:rsid w:val="00194112"/>
    <w:rsid w:val="00194169"/>
    <w:rsid w:val="00194C78"/>
    <w:rsid w:val="00195A4B"/>
    <w:rsid w:val="00195F98"/>
    <w:rsid w:val="001960E4"/>
    <w:rsid w:val="0019620B"/>
    <w:rsid w:val="00196323"/>
    <w:rsid w:val="00196427"/>
    <w:rsid w:val="00196C05"/>
    <w:rsid w:val="00197C3E"/>
    <w:rsid w:val="001A029A"/>
    <w:rsid w:val="001A0AE3"/>
    <w:rsid w:val="001A2B7E"/>
    <w:rsid w:val="001A2BB5"/>
    <w:rsid w:val="001A65AB"/>
    <w:rsid w:val="001A6A23"/>
    <w:rsid w:val="001A7BDC"/>
    <w:rsid w:val="001B0E21"/>
    <w:rsid w:val="001B1252"/>
    <w:rsid w:val="001B19AF"/>
    <w:rsid w:val="001B19C5"/>
    <w:rsid w:val="001B1AB5"/>
    <w:rsid w:val="001B1B96"/>
    <w:rsid w:val="001B1ED1"/>
    <w:rsid w:val="001B1F27"/>
    <w:rsid w:val="001B2016"/>
    <w:rsid w:val="001B2752"/>
    <w:rsid w:val="001B2C45"/>
    <w:rsid w:val="001B2C5B"/>
    <w:rsid w:val="001B3EE0"/>
    <w:rsid w:val="001B416C"/>
    <w:rsid w:val="001B474B"/>
    <w:rsid w:val="001B4BFE"/>
    <w:rsid w:val="001B4EBC"/>
    <w:rsid w:val="001B5C51"/>
    <w:rsid w:val="001B5E29"/>
    <w:rsid w:val="001B6016"/>
    <w:rsid w:val="001B6BAE"/>
    <w:rsid w:val="001B6D7E"/>
    <w:rsid w:val="001B6E29"/>
    <w:rsid w:val="001B6F42"/>
    <w:rsid w:val="001C2F6D"/>
    <w:rsid w:val="001C2FF5"/>
    <w:rsid w:val="001C3853"/>
    <w:rsid w:val="001C42CA"/>
    <w:rsid w:val="001C4E33"/>
    <w:rsid w:val="001C6F64"/>
    <w:rsid w:val="001C779A"/>
    <w:rsid w:val="001C7937"/>
    <w:rsid w:val="001D0175"/>
    <w:rsid w:val="001D026D"/>
    <w:rsid w:val="001D0931"/>
    <w:rsid w:val="001D0FBA"/>
    <w:rsid w:val="001D183E"/>
    <w:rsid w:val="001D1E81"/>
    <w:rsid w:val="001D296B"/>
    <w:rsid w:val="001D29AD"/>
    <w:rsid w:val="001D2A24"/>
    <w:rsid w:val="001D36E7"/>
    <w:rsid w:val="001D3738"/>
    <w:rsid w:val="001D412B"/>
    <w:rsid w:val="001D41D8"/>
    <w:rsid w:val="001D51AD"/>
    <w:rsid w:val="001D5454"/>
    <w:rsid w:val="001D73A3"/>
    <w:rsid w:val="001D74A0"/>
    <w:rsid w:val="001D74B7"/>
    <w:rsid w:val="001D7926"/>
    <w:rsid w:val="001E16E5"/>
    <w:rsid w:val="001E1B95"/>
    <w:rsid w:val="001E1C72"/>
    <w:rsid w:val="001E2921"/>
    <w:rsid w:val="001E3C23"/>
    <w:rsid w:val="001E4B3C"/>
    <w:rsid w:val="001E4D9E"/>
    <w:rsid w:val="001E591E"/>
    <w:rsid w:val="001E6330"/>
    <w:rsid w:val="001E7AF3"/>
    <w:rsid w:val="001E7F1C"/>
    <w:rsid w:val="001F0F2E"/>
    <w:rsid w:val="001F24FB"/>
    <w:rsid w:val="001F2A42"/>
    <w:rsid w:val="001F369D"/>
    <w:rsid w:val="001F58CE"/>
    <w:rsid w:val="001F61DC"/>
    <w:rsid w:val="001F75C8"/>
    <w:rsid w:val="002015D0"/>
    <w:rsid w:val="00201F0E"/>
    <w:rsid w:val="00202B86"/>
    <w:rsid w:val="00203E87"/>
    <w:rsid w:val="00203F3D"/>
    <w:rsid w:val="00204B7C"/>
    <w:rsid w:val="00204D96"/>
    <w:rsid w:val="0020510D"/>
    <w:rsid w:val="00206B27"/>
    <w:rsid w:val="002070F5"/>
    <w:rsid w:val="00207AD0"/>
    <w:rsid w:val="00207CB0"/>
    <w:rsid w:val="00210060"/>
    <w:rsid w:val="00211B22"/>
    <w:rsid w:val="002125A0"/>
    <w:rsid w:val="0021621A"/>
    <w:rsid w:val="00217BD1"/>
    <w:rsid w:val="0022068F"/>
    <w:rsid w:val="00220C66"/>
    <w:rsid w:val="002212A3"/>
    <w:rsid w:val="002216C2"/>
    <w:rsid w:val="00222381"/>
    <w:rsid w:val="0022289C"/>
    <w:rsid w:val="00222C2B"/>
    <w:rsid w:val="00223102"/>
    <w:rsid w:val="00224161"/>
    <w:rsid w:val="002246A3"/>
    <w:rsid w:val="00224BAE"/>
    <w:rsid w:val="00225466"/>
    <w:rsid w:val="00225D84"/>
    <w:rsid w:val="0022608A"/>
    <w:rsid w:val="002264AA"/>
    <w:rsid w:val="002303C2"/>
    <w:rsid w:val="00231151"/>
    <w:rsid w:val="00233050"/>
    <w:rsid w:val="0023339F"/>
    <w:rsid w:val="00233445"/>
    <w:rsid w:val="0023520D"/>
    <w:rsid w:val="00236105"/>
    <w:rsid w:val="00236CFC"/>
    <w:rsid w:val="00241E0C"/>
    <w:rsid w:val="00243E35"/>
    <w:rsid w:val="00244C84"/>
    <w:rsid w:val="002455B6"/>
    <w:rsid w:val="00246566"/>
    <w:rsid w:val="00246B43"/>
    <w:rsid w:val="00247C2E"/>
    <w:rsid w:val="002500EF"/>
    <w:rsid w:val="002506C8"/>
    <w:rsid w:val="00250D01"/>
    <w:rsid w:val="00250FD6"/>
    <w:rsid w:val="00251F5A"/>
    <w:rsid w:val="00251FBF"/>
    <w:rsid w:val="00252BB5"/>
    <w:rsid w:val="00252FA5"/>
    <w:rsid w:val="00253269"/>
    <w:rsid w:val="00253BCB"/>
    <w:rsid w:val="002547FB"/>
    <w:rsid w:val="00254C85"/>
    <w:rsid w:val="002553AB"/>
    <w:rsid w:val="0025596F"/>
    <w:rsid w:val="002567CB"/>
    <w:rsid w:val="0025724E"/>
    <w:rsid w:val="00257F9C"/>
    <w:rsid w:val="00261D82"/>
    <w:rsid w:val="00261F14"/>
    <w:rsid w:val="00262E4A"/>
    <w:rsid w:val="00263294"/>
    <w:rsid w:val="0026359F"/>
    <w:rsid w:val="0026398D"/>
    <w:rsid w:val="002643B6"/>
    <w:rsid w:val="00265667"/>
    <w:rsid w:val="0026655D"/>
    <w:rsid w:val="002668DC"/>
    <w:rsid w:val="00267AFB"/>
    <w:rsid w:val="00270BD3"/>
    <w:rsid w:val="00270E10"/>
    <w:rsid w:val="002710DC"/>
    <w:rsid w:val="002727EA"/>
    <w:rsid w:val="002732BD"/>
    <w:rsid w:val="00274655"/>
    <w:rsid w:val="00275C24"/>
    <w:rsid w:val="00276E21"/>
    <w:rsid w:val="00276F64"/>
    <w:rsid w:val="002778F2"/>
    <w:rsid w:val="00280201"/>
    <w:rsid w:val="002805C0"/>
    <w:rsid w:val="00280B1E"/>
    <w:rsid w:val="0028104F"/>
    <w:rsid w:val="00281EE6"/>
    <w:rsid w:val="002821C8"/>
    <w:rsid w:val="002823ED"/>
    <w:rsid w:val="002839AD"/>
    <w:rsid w:val="00284BBD"/>
    <w:rsid w:val="00285342"/>
    <w:rsid w:val="0028563C"/>
    <w:rsid w:val="00286BFB"/>
    <w:rsid w:val="00286FAB"/>
    <w:rsid w:val="00287DC2"/>
    <w:rsid w:val="00290426"/>
    <w:rsid w:val="00290AC0"/>
    <w:rsid w:val="00291EE0"/>
    <w:rsid w:val="002926BF"/>
    <w:rsid w:val="002929A0"/>
    <w:rsid w:val="00292BCE"/>
    <w:rsid w:val="00293649"/>
    <w:rsid w:val="00293A57"/>
    <w:rsid w:val="00293B04"/>
    <w:rsid w:val="00293C46"/>
    <w:rsid w:val="00293E23"/>
    <w:rsid w:val="00294278"/>
    <w:rsid w:val="00294A1D"/>
    <w:rsid w:val="00295687"/>
    <w:rsid w:val="00295CFA"/>
    <w:rsid w:val="00297443"/>
    <w:rsid w:val="00297A3C"/>
    <w:rsid w:val="002A0916"/>
    <w:rsid w:val="002A1AD3"/>
    <w:rsid w:val="002A21E2"/>
    <w:rsid w:val="002A2D25"/>
    <w:rsid w:val="002A372F"/>
    <w:rsid w:val="002A3BAD"/>
    <w:rsid w:val="002A3FAA"/>
    <w:rsid w:val="002A3FE8"/>
    <w:rsid w:val="002A44CE"/>
    <w:rsid w:val="002B2AA0"/>
    <w:rsid w:val="002B36A7"/>
    <w:rsid w:val="002B3B47"/>
    <w:rsid w:val="002B3C1B"/>
    <w:rsid w:val="002B43B3"/>
    <w:rsid w:val="002B4BEB"/>
    <w:rsid w:val="002B5D61"/>
    <w:rsid w:val="002B5DE1"/>
    <w:rsid w:val="002B7B4E"/>
    <w:rsid w:val="002C00F7"/>
    <w:rsid w:val="002C0A61"/>
    <w:rsid w:val="002C0E21"/>
    <w:rsid w:val="002C1016"/>
    <w:rsid w:val="002C10FB"/>
    <w:rsid w:val="002C20A0"/>
    <w:rsid w:val="002C2E38"/>
    <w:rsid w:val="002C34F4"/>
    <w:rsid w:val="002C3A86"/>
    <w:rsid w:val="002C5513"/>
    <w:rsid w:val="002C563A"/>
    <w:rsid w:val="002C59B2"/>
    <w:rsid w:val="002C59EA"/>
    <w:rsid w:val="002C60EC"/>
    <w:rsid w:val="002C6424"/>
    <w:rsid w:val="002C6A65"/>
    <w:rsid w:val="002C7164"/>
    <w:rsid w:val="002C7974"/>
    <w:rsid w:val="002D1B31"/>
    <w:rsid w:val="002D24B9"/>
    <w:rsid w:val="002D3978"/>
    <w:rsid w:val="002D4B79"/>
    <w:rsid w:val="002D5297"/>
    <w:rsid w:val="002D59D3"/>
    <w:rsid w:val="002D5B19"/>
    <w:rsid w:val="002D64A6"/>
    <w:rsid w:val="002D6A85"/>
    <w:rsid w:val="002D6B31"/>
    <w:rsid w:val="002E089A"/>
    <w:rsid w:val="002E0BCD"/>
    <w:rsid w:val="002E18EA"/>
    <w:rsid w:val="002E326E"/>
    <w:rsid w:val="002E3E21"/>
    <w:rsid w:val="002E4083"/>
    <w:rsid w:val="002E4D5D"/>
    <w:rsid w:val="002E646D"/>
    <w:rsid w:val="002E73E1"/>
    <w:rsid w:val="002E7613"/>
    <w:rsid w:val="002F073E"/>
    <w:rsid w:val="002F09BE"/>
    <w:rsid w:val="002F21F5"/>
    <w:rsid w:val="002F3847"/>
    <w:rsid w:val="002F512D"/>
    <w:rsid w:val="002F52B6"/>
    <w:rsid w:val="002F6AC2"/>
    <w:rsid w:val="002F6E6C"/>
    <w:rsid w:val="003001A8"/>
    <w:rsid w:val="00300C9A"/>
    <w:rsid w:val="00301586"/>
    <w:rsid w:val="0030258F"/>
    <w:rsid w:val="00302591"/>
    <w:rsid w:val="00302BCE"/>
    <w:rsid w:val="00304088"/>
    <w:rsid w:val="00304590"/>
    <w:rsid w:val="00305D90"/>
    <w:rsid w:val="003064F5"/>
    <w:rsid w:val="003066EB"/>
    <w:rsid w:val="00306995"/>
    <w:rsid w:val="00306BCF"/>
    <w:rsid w:val="00307174"/>
    <w:rsid w:val="00307731"/>
    <w:rsid w:val="00307915"/>
    <w:rsid w:val="00307F25"/>
    <w:rsid w:val="00314480"/>
    <w:rsid w:val="00314562"/>
    <w:rsid w:val="00314A8D"/>
    <w:rsid w:val="0031557F"/>
    <w:rsid w:val="003157C2"/>
    <w:rsid w:val="00315AD9"/>
    <w:rsid w:val="00315D00"/>
    <w:rsid w:val="00316F51"/>
    <w:rsid w:val="00317951"/>
    <w:rsid w:val="00320959"/>
    <w:rsid w:val="00320CFC"/>
    <w:rsid w:val="00321234"/>
    <w:rsid w:val="00322366"/>
    <w:rsid w:val="003227D9"/>
    <w:rsid w:val="00322B8F"/>
    <w:rsid w:val="003235B4"/>
    <w:rsid w:val="00323689"/>
    <w:rsid w:val="00323AA5"/>
    <w:rsid w:val="0032403E"/>
    <w:rsid w:val="0032404D"/>
    <w:rsid w:val="0032499C"/>
    <w:rsid w:val="00324DBD"/>
    <w:rsid w:val="00327E86"/>
    <w:rsid w:val="00330003"/>
    <w:rsid w:val="00330C74"/>
    <w:rsid w:val="003317CC"/>
    <w:rsid w:val="0033249B"/>
    <w:rsid w:val="003334E2"/>
    <w:rsid w:val="0033383D"/>
    <w:rsid w:val="00333C6C"/>
    <w:rsid w:val="00334366"/>
    <w:rsid w:val="00334B25"/>
    <w:rsid w:val="003356B5"/>
    <w:rsid w:val="00340148"/>
    <w:rsid w:val="003401ED"/>
    <w:rsid w:val="00341C5C"/>
    <w:rsid w:val="0034456E"/>
    <w:rsid w:val="0034468D"/>
    <w:rsid w:val="0034538E"/>
    <w:rsid w:val="0034577F"/>
    <w:rsid w:val="003457DE"/>
    <w:rsid w:val="003463D4"/>
    <w:rsid w:val="00346543"/>
    <w:rsid w:val="00346CC5"/>
    <w:rsid w:val="00346E42"/>
    <w:rsid w:val="00347618"/>
    <w:rsid w:val="00347D7D"/>
    <w:rsid w:val="00347EFF"/>
    <w:rsid w:val="0035035F"/>
    <w:rsid w:val="003505B6"/>
    <w:rsid w:val="00351900"/>
    <w:rsid w:val="0035291D"/>
    <w:rsid w:val="003537DB"/>
    <w:rsid w:val="00354830"/>
    <w:rsid w:val="0035493A"/>
    <w:rsid w:val="00354F4B"/>
    <w:rsid w:val="00355621"/>
    <w:rsid w:val="00355718"/>
    <w:rsid w:val="00355926"/>
    <w:rsid w:val="003560D6"/>
    <w:rsid w:val="00356147"/>
    <w:rsid w:val="0035786E"/>
    <w:rsid w:val="003605A0"/>
    <w:rsid w:val="00360A32"/>
    <w:rsid w:val="00361711"/>
    <w:rsid w:val="0036329D"/>
    <w:rsid w:val="003636E4"/>
    <w:rsid w:val="00364FC0"/>
    <w:rsid w:val="00367F38"/>
    <w:rsid w:val="00367FDA"/>
    <w:rsid w:val="0037112C"/>
    <w:rsid w:val="00371186"/>
    <w:rsid w:val="003712FE"/>
    <w:rsid w:val="00371595"/>
    <w:rsid w:val="00371CF4"/>
    <w:rsid w:val="00371F97"/>
    <w:rsid w:val="00372D2A"/>
    <w:rsid w:val="003737AE"/>
    <w:rsid w:val="00374938"/>
    <w:rsid w:val="00375E15"/>
    <w:rsid w:val="00376812"/>
    <w:rsid w:val="00380BDD"/>
    <w:rsid w:val="00381889"/>
    <w:rsid w:val="00382BC5"/>
    <w:rsid w:val="00382EA3"/>
    <w:rsid w:val="003831E6"/>
    <w:rsid w:val="00383F71"/>
    <w:rsid w:val="00384FBB"/>
    <w:rsid w:val="00385F6E"/>
    <w:rsid w:val="0038749E"/>
    <w:rsid w:val="0038750D"/>
    <w:rsid w:val="003878EC"/>
    <w:rsid w:val="0038790C"/>
    <w:rsid w:val="00390761"/>
    <w:rsid w:val="00391FF9"/>
    <w:rsid w:val="00393317"/>
    <w:rsid w:val="0039382E"/>
    <w:rsid w:val="00393919"/>
    <w:rsid w:val="00393EB9"/>
    <w:rsid w:val="00394C04"/>
    <w:rsid w:val="00394FF3"/>
    <w:rsid w:val="00395E37"/>
    <w:rsid w:val="00396034"/>
    <w:rsid w:val="00396A49"/>
    <w:rsid w:val="0039779E"/>
    <w:rsid w:val="003A06F2"/>
    <w:rsid w:val="003A1357"/>
    <w:rsid w:val="003A1F77"/>
    <w:rsid w:val="003A20EE"/>
    <w:rsid w:val="003A2C55"/>
    <w:rsid w:val="003A319A"/>
    <w:rsid w:val="003A3B86"/>
    <w:rsid w:val="003A5B0A"/>
    <w:rsid w:val="003A5DDD"/>
    <w:rsid w:val="003A652D"/>
    <w:rsid w:val="003A6FCA"/>
    <w:rsid w:val="003A720A"/>
    <w:rsid w:val="003B04DB"/>
    <w:rsid w:val="003B1489"/>
    <w:rsid w:val="003B3093"/>
    <w:rsid w:val="003B4F70"/>
    <w:rsid w:val="003B59BE"/>
    <w:rsid w:val="003B5E98"/>
    <w:rsid w:val="003B6CC7"/>
    <w:rsid w:val="003B6D4D"/>
    <w:rsid w:val="003C0946"/>
    <w:rsid w:val="003C19D8"/>
    <w:rsid w:val="003C2E3E"/>
    <w:rsid w:val="003C3D74"/>
    <w:rsid w:val="003C3DAF"/>
    <w:rsid w:val="003C45AE"/>
    <w:rsid w:val="003C47B9"/>
    <w:rsid w:val="003D06EF"/>
    <w:rsid w:val="003D22D6"/>
    <w:rsid w:val="003D244B"/>
    <w:rsid w:val="003D2504"/>
    <w:rsid w:val="003D2D71"/>
    <w:rsid w:val="003D33CD"/>
    <w:rsid w:val="003D358A"/>
    <w:rsid w:val="003D3736"/>
    <w:rsid w:val="003D3DC3"/>
    <w:rsid w:val="003D4920"/>
    <w:rsid w:val="003D67D1"/>
    <w:rsid w:val="003D690C"/>
    <w:rsid w:val="003D7475"/>
    <w:rsid w:val="003D756A"/>
    <w:rsid w:val="003D7DEF"/>
    <w:rsid w:val="003E1052"/>
    <w:rsid w:val="003E18A6"/>
    <w:rsid w:val="003E22EC"/>
    <w:rsid w:val="003E2C56"/>
    <w:rsid w:val="003E3030"/>
    <w:rsid w:val="003E3597"/>
    <w:rsid w:val="003E3AB5"/>
    <w:rsid w:val="003E4025"/>
    <w:rsid w:val="003E58F9"/>
    <w:rsid w:val="003E694E"/>
    <w:rsid w:val="003E698A"/>
    <w:rsid w:val="003E79E1"/>
    <w:rsid w:val="003E7A6C"/>
    <w:rsid w:val="003F0A9B"/>
    <w:rsid w:val="003F24F2"/>
    <w:rsid w:val="003F36E8"/>
    <w:rsid w:val="003F3CF6"/>
    <w:rsid w:val="003F3D87"/>
    <w:rsid w:val="003F40DC"/>
    <w:rsid w:val="003F4150"/>
    <w:rsid w:val="003F435B"/>
    <w:rsid w:val="003F4741"/>
    <w:rsid w:val="003F4B14"/>
    <w:rsid w:val="003F51BA"/>
    <w:rsid w:val="003F5278"/>
    <w:rsid w:val="003F61F5"/>
    <w:rsid w:val="003F65E1"/>
    <w:rsid w:val="003F669F"/>
    <w:rsid w:val="003F7C54"/>
    <w:rsid w:val="003F7F32"/>
    <w:rsid w:val="00401EF1"/>
    <w:rsid w:val="00402674"/>
    <w:rsid w:val="0040284C"/>
    <w:rsid w:val="0040303C"/>
    <w:rsid w:val="0040396E"/>
    <w:rsid w:val="0040399E"/>
    <w:rsid w:val="00403BBB"/>
    <w:rsid w:val="00404107"/>
    <w:rsid w:val="004045BD"/>
    <w:rsid w:val="00404661"/>
    <w:rsid w:val="00405254"/>
    <w:rsid w:val="00406481"/>
    <w:rsid w:val="00410CC3"/>
    <w:rsid w:val="004117F1"/>
    <w:rsid w:val="0041191D"/>
    <w:rsid w:val="004127FD"/>
    <w:rsid w:val="00412E08"/>
    <w:rsid w:val="00412E17"/>
    <w:rsid w:val="004132DF"/>
    <w:rsid w:val="00413596"/>
    <w:rsid w:val="00413C0B"/>
    <w:rsid w:val="0041402F"/>
    <w:rsid w:val="004153DA"/>
    <w:rsid w:val="00415913"/>
    <w:rsid w:val="00416274"/>
    <w:rsid w:val="004168B0"/>
    <w:rsid w:val="00420677"/>
    <w:rsid w:val="004208E5"/>
    <w:rsid w:val="004215BA"/>
    <w:rsid w:val="00421806"/>
    <w:rsid w:val="00421D9E"/>
    <w:rsid w:val="00422375"/>
    <w:rsid w:val="00422FA0"/>
    <w:rsid w:val="004232BF"/>
    <w:rsid w:val="0042353D"/>
    <w:rsid w:val="00423A0B"/>
    <w:rsid w:val="00425318"/>
    <w:rsid w:val="0042596D"/>
    <w:rsid w:val="004268A7"/>
    <w:rsid w:val="00426B08"/>
    <w:rsid w:val="00426D20"/>
    <w:rsid w:val="00427B65"/>
    <w:rsid w:val="00427BAB"/>
    <w:rsid w:val="00427CC6"/>
    <w:rsid w:val="00431073"/>
    <w:rsid w:val="00431606"/>
    <w:rsid w:val="004351A9"/>
    <w:rsid w:val="00435531"/>
    <w:rsid w:val="00435751"/>
    <w:rsid w:val="0043613F"/>
    <w:rsid w:val="00437D3A"/>
    <w:rsid w:val="0044295E"/>
    <w:rsid w:val="004429E3"/>
    <w:rsid w:val="00442E49"/>
    <w:rsid w:val="00442EC2"/>
    <w:rsid w:val="0044376A"/>
    <w:rsid w:val="00443781"/>
    <w:rsid w:val="00443BB4"/>
    <w:rsid w:val="00443CED"/>
    <w:rsid w:val="00443E7B"/>
    <w:rsid w:val="004444BE"/>
    <w:rsid w:val="004448C3"/>
    <w:rsid w:val="00444CBE"/>
    <w:rsid w:val="004457BE"/>
    <w:rsid w:val="00446812"/>
    <w:rsid w:val="00446834"/>
    <w:rsid w:val="00446B08"/>
    <w:rsid w:val="00446EEC"/>
    <w:rsid w:val="00446FA8"/>
    <w:rsid w:val="00447E2E"/>
    <w:rsid w:val="00450081"/>
    <w:rsid w:val="00450570"/>
    <w:rsid w:val="004505EC"/>
    <w:rsid w:val="00450C0D"/>
    <w:rsid w:val="004516B3"/>
    <w:rsid w:val="004518E0"/>
    <w:rsid w:val="00451E37"/>
    <w:rsid w:val="00451E5E"/>
    <w:rsid w:val="00452054"/>
    <w:rsid w:val="004527EF"/>
    <w:rsid w:val="00453247"/>
    <w:rsid w:val="0045380C"/>
    <w:rsid w:val="004538BB"/>
    <w:rsid w:val="004538C5"/>
    <w:rsid w:val="00453BFC"/>
    <w:rsid w:val="00453FD0"/>
    <w:rsid w:val="00454012"/>
    <w:rsid w:val="0045478B"/>
    <w:rsid w:val="00455577"/>
    <w:rsid w:val="00455734"/>
    <w:rsid w:val="0045710A"/>
    <w:rsid w:val="004576E9"/>
    <w:rsid w:val="0046021F"/>
    <w:rsid w:val="00460986"/>
    <w:rsid w:val="00460EA1"/>
    <w:rsid w:val="004611CF"/>
    <w:rsid w:val="00461A70"/>
    <w:rsid w:val="00461E18"/>
    <w:rsid w:val="00461F04"/>
    <w:rsid w:val="004620E8"/>
    <w:rsid w:val="00463ED6"/>
    <w:rsid w:val="00465634"/>
    <w:rsid w:val="00466A70"/>
    <w:rsid w:val="00466E84"/>
    <w:rsid w:val="00467386"/>
    <w:rsid w:val="00467559"/>
    <w:rsid w:val="00467A7F"/>
    <w:rsid w:val="00467B7B"/>
    <w:rsid w:val="00467C3A"/>
    <w:rsid w:val="004707E7"/>
    <w:rsid w:val="004709C6"/>
    <w:rsid w:val="004713FA"/>
    <w:rsid w:val="00472BA3"/>
    <w:rsid w:val="00472E73"/>
    <w:rsid w:val="00473B6A"/>
    <w:rsid w:val="004745AB"/>
    <w:rsid w:val="00475FD2"/>
    <w:rsid w:val="00476313"/>
    <w:rsid w:val="00477F3E"/>
    <w:rsid w:val="004803F8"/>
    <w:rsid w:val="00480727"/>
    <w:rsid w:val="00480F64"/>
    <w:rsid w:val="0048166B"/>
    <w:rsid w:val="0048202D"/>
    <w:rsid w:val="00482A7E"/>
    <w:rsid w:val="00484591"/>
    <w:rsid w:val="004852E0"/>
    <w:rsid w:val="00485401"/>
    <w:rsid w:val="00486DD2"/>
    <w:rsid w:val="0048785A"/>
    <w:rsid w:val="00487A90"/>
    <w:rsid w:val="00487D7B"/>
    <w:rsid w:val="00490F45"/>
    <w:rsid w:val="00491091"/>
    <w:rsid w:val="00493412"/>
    <w:rsid w:val="004936F4"/>
    <w:rsid w:val="00493A65"/>
    <w:rsid w:val="004955E9"/>
    <w:rsid w:val="00495C32"/>
    <w:rsid w:val="004965C0"/>
    <w:rsid w:val="00496A09"/>
    <w:rsid w:val="0049778B"/>
    <w:rsid w:val="00497E4C"/>
    <w:rsid w:val="00497E7A"/>
    <w:rsid w:val="004A047F"/>
    <w:rsid w:val="004A09A5"/>
    <w:rsid w:val="004A126B"/>
    <w:rsid w:val="004A1272"/>
    <w:rsid w:val="004A1664"/>
    <w:rsid w:val="004A1F2E"/>
    <w:rsid w:val="004A371D"/>
    <w:rsid w:val="004A4BBB"/>
    <w:rsid w:val="004A505F"/>
    <w:rsid w:val="004A6264"/>
    <w:rsid w:val="004A6680"/>
    <w:rsid w:val="004A6C69"/>
    <w:rsid w:val="004A7590"/>
    <w:rsid w:val="004A7990"/>
    <w:rsid w:val="004B01FD"/>
    <w:rsid w:val="004B0414"/>
    <w:rsid w:val="004B0D66"/>
    <w:rsid w:val="004B109A"/>
    <w:rsid w:val="004B1869"/>
    <w:rsid w:val="004B22E5"/>
    <w:rsid w:val="004B26AE"/>
    <w:rsid w:val="004B2A81"/>
    <w:rsid w:val="004B3808"/>
    <w:rsid w:val="004B3BE5"/>
    <w:rsid w:val="004B42B6"/>
    <w:rsid w:val="004B4802"/>
    <w:rsid w:val="004B50AC"/>
    <w:rsid w:val="004B5841"/>
    <w:rsid w:val="004B5A43"/>
    <w:rsid w:val="004B5AA8"/>
    <w:rsid w:val="004B5CE6"/>
    <w:rsid w:val="004B6AA2"/>
    <w:rsid w:val="004B7326"/>
    <w:rsid w:val="004C0396"/>
    <w:rsid w:val="004C07C3"/>
    <w:rsid w:val="004C0E5A"/>
    <w:rsid w:val="004C15BF"/>
    <w:rsid w:val="004C16A9"/>
    <w:rsid w:val="004C1A9B"/>
    <w:rsid w:val="004C1C53"/>
    <w:rsid w:val="004C39E3"/>
    <w:rsid w:val="004C3E52"/>
    <w:rsid w:val="004C46BD"/>
    <w:rsid w:val="004C47BC"/>
    <w:rsid w:val="004C5243"/>
    <w:rsid w:val="004C534E"/>
    <w:rsid w:val="004C6309"/>
    <w:rsid w:val="004C6A91"/>
    <w:rsid w:val="004C730E"/>
    <w:rsid w:val="004C752F"/>
    <w:rsid w:val="004C7698"/>
    <w:rsid w:val="004D1C42"/>
    <w:rsid w:val="004D1EFE"/>
    <w:rsid w:val="004D2604"/>
    <w:rsid w:val="004D376B"/>
    <w:rsid w:val="004D3DA9"/>
    <w:rsid w:val="004D3F3D"/>
    <w:rsid w:val="004D4087"/>
    <w:rsid w:val="004D5EF0"/>
    <w:rsid w:val="004D5F3B"/>
    <w:rsid w:val="004D6539"/>
    <w:rsid w:val="004D7464"/>
    <w:rsid w:val="004D7A82"/>
    <w:rsid w:val="004D7A8A"/>
    <w:rsid w:val="004D7DE4"/>
    <w:rsid w:val="004E0B72"/>
    <w:rsid w:val="004E0CAD"/>
    <w:rsid w:val="004E2ACF"/>
    <w:rsid w:val="004E2B0A"/>
    <w:rsid w:val="004E328D"/>
    <w:rsid w:val="004E346D"/>
    <w:rsid w:val="004E3F38"/>
    <w:rsid w:val="004E6B14"/>
    <w:rsid w:val="004E7D98"/>
    <w:rsid w:val="004E7E23"/>
    <w:rsid w:val="004F0253"/>
    <w:rsid w:val="004F193F"/>
    <w:rsid w:val="004F21AE"/>
    <w:rsid w:val="004F2587"/>
    <w:rsid w:val="004F2F5C"/>
    <w:rsid w:val="004F3054"/>
    <w:rsid w:val="004F3331"/>
    <w:rsid w:val="004F48C3"/>
    <w:rsid w:val="004F48CA"/>
    <w:rsid w:val="004F4B3B"/>
    <w:rsid w:val="004F4FE5"/>
    <w:rsid w:val="004F58B9"/>
    <w:rsid w:val="004F6341"/>
    <w:rsid w:val="004F65F3"/>
    <w:rsid w:val="004F764E"/>
    <w:rsid w:val="004F7B4C"/>
    <w:rsid w:val="005020ED"/>
    <w:rsid w:val="00502170"/>
    <w:rsid w:val="005029BF"/>
    <w:rsid w:val="005030D6"/>
    <w:rsid w:val="005039C0"/>
    <w:rsid w:val="00506621"/>
    <w:rsid w:val="00506672"/>
    <w:rsid w:val="005076CB"/>
    <w:rsid w:val="00510366"/>
    <w:rsid w:val="005106F3"/>
    <w:rsid w:val="0051078C"/>
    <w:rsid w:val="00510D1F"/>
    <w:rsid w:val="0051283B"/>
    <w:rsid w:val="005144AD"/>
    <w:rsid w:val="00514964"/>
    <w:rsid w:val="005150F7"/>
    <w:rsid w:val="0051551E"/>
    <w:rsid w:val="005162B9"/>
    <w:rsid w:val="005164F2"/>
    <w:rsid w:val="00516629"/>
    <w:rsid w:val="005171C7"/>
    <w:rsid w:val="00517871"/>
    <w:rsid w:val="00517948"/>
    <w:rsid w:val="00517C4C"/>
    <w:rsid w:val="00517FB4"/>
    <w:rsid w:val="0052172E"/>
    <w:rsid w:val="00522445"/>
    <w:rsid w:val="005224A0"/>
    <w:rsid w:val="00522A09"/>
    <w:rsid w:val="005235A4"/>
    <w:rsid w:val="00524066"/>
    <w:rsid w:val="0052410F"/>
    <w:rsid w:val="00524189"/>
    <w:rsid w:val="005243AB"/>
    <w:rsid w:val="00524AC9"/>
    <w:rsid w:val="00524F92"/>
    <w:rsid w:val="0052573F"/>
    <w:rsid w:val="00526C11"/>
    <w:rsid w:val="00527ACA"/>
    <w:rsid w:val="00530021"/>
    <w:rsid w:val="00530169"/>
    <w:rsid w:val="0053039C"/>
    <w:rsid w:val="005312F9"/>
    <w:rsid w:val="005328E1"/>
    <w:rsid w:val="0053357D"/>
    <w:rsid w:val="00534368"/>
    <w:rsid w:val="00536518"/>
    <w:rsid w:val="00536733"/>
    <w:rsid w:val="005415B9"/>
    <w:rsid w:val="00542004"/>
    <w:rsid w:val="0054276C"/>
    <w:rsid w:val="00542CBB"/>
    <w:rsid w:val="00542D82"/>
    <w:rsid w:val="00542DC7"/>
    <w:rsid w:val="00543048"/>
    <w:rsid w:val="00543BF0"/>
    <w:rsid w:val="00545195"/>
    <w:rsid w:val="005464FF"/>
    <w:rsid w:val="0054692B"/>
    <w:rsid w:val="00546F37"/>
    <w:rsid w:val="00547535"/>
    <w:rsid w:val="0055188B"/>
    <w:rsid w:val="0055212D"/>
    <w:rsid w:val="00553992"/>
    <w:rsid w:val="00553AFA"/>
    <w:rsid w:val="00553F43"/>
    <w:rsid w:val="005556F3"/>
    <w:rsid w:val="00555DCA"/>
    <w:rsid w:val="005561B5"/>
    <w:rsid w:val="00557D8C"/>
    <w:rsid w:val="00561293"/>
    <w:rsid w:val="005623EF"/>
    <w:rsid w:val="005625EF"/>
    <w:rsid w:val="00563945"/>
    <w:rsid w:val="00563E3F"/>
    <w:rsid w:val="00563ECE"/>
    <w:rsid w:val="0056496F"/>
    <w:rsid w:val="00566017"/>
    <w:rsid w:val="00566DC5"/>
    <w:rsid w:val="00566DF8"/>
    <w:rsid w:val="005677B1"/>
    <w:rsid w:val="00570266"/>
    <w:rsid w:val="0057096F"/>
    <w:rsid w:val="00571EE6"/>
    <w:rsid w:val="0057513A"/>
    <w:rsid w:val="00575973"/>
    <w:rsid w:val="00575DB4"/>
    <w:rsid w:val="00575F90"/>
    <w:rsid w:val="00575FDF"/>
    <w:rsid w:val="00576317"/>
    <w:rsid w:val="0057643F"/>
    <w:rsid w:val="00580AF4"/>
    <w:rsid w:val="005814BC"/>
    <w:rsid w:val="00581ABE"/>
    <w:rsid w:val="00583031"/>
    <w:rsid w:val="00583138"/>
    <w:rsid w:val="005833B6"/>
    <w:rsid w:val="00583814"/>
    <w:rsid w:val="005839F4"/>
    <w:rsid w:val="00583E36"/>
    <w:rsid w:val="00583E98"/>
    <w:rsid w:val="00584E5A"/>
    <w:rsid w:val="005850DB"/>
    <w:rsid w:val="00585308"/>
    <w:rsid w:val="00585342"/>
    <w:rsid w:val="00585487"/>
    <w:rsid w:val="005861EE"/>
    <w:rsid w:val="00586EAD"/>
    <w:rsid w:val="00590F18"/>
    <w:rsid w:val="0059110F"/>
    <w:rsid w:val="00592DEC"/>
    <w:rsid w:val="00592E18"/>
    <w:rsid w:val="005945DE"/>
    <w:rsid w:val="00595DF2"/>
    <w:rsid w:val="00595E09"/>
    <w:rsid w:val="00596A02"/>
    <w:rsid w:val="00597311"/>
    <w:rsid w:val="0059753B"/>
    <w:rsid w:val="005A0741"/>
    <w:rsid w:val="005A1357"/>
    <w:rsid w:val="005A18B5"/>
    <w:rsid w:val="005A1A0F"/>
    <w:rsid w:val="005A2B3C"/>
    <w:rsid w:val="005A3281"/>
    <w:rsid w:val="005A48F9"/>
    <w:rsid w:val="005A4C06"/>
    <w:rsid w:val="005A4D62"/>
    <w:rsid w:val="005A501E"/>
    <w:rsid w:val="005A507C"/>
    <w:rsid w:val="005A6B6E"/>
    <w:rsid w:val="005A7AD1"/>
    <w:rsid w:val="005B07FC"/>
    <w:rsid w:val="005B0BAB"/>
    <w:rsid w:val="005B21AF"/>
    <w:rsid w:val="005B28F0"/>
    <w:rsid w:val="005B43C1"/>
    <w:rsid w:val="005B5195"/>
    <w:rsid w:val="005B53AE"/>
    <w:rsid w:val="005B5AFB"/>
    <w:rsid w:val="005B71A0"/>
    <w:rsid w:val="005C0D56"/>
    <w:rsid w:val="005C1659"/>
    <w:rsid w:val="005C1FB6"/>
    <w:rsid w:val="005C258E"/>
    <w:rsid w:val="005C2C90"/>
    <w:rsid w:val="005C2D1E"/>
    <w:rsid w:val="005C3194"/>
    <w:rsid w:val="005C56BF"/>
    <w:rsid w:val="005C6B6C"/>
    <w:rsid w:val="005C6F09"/>
    <w:rsid w:val="005C7966"/>
    <w:rsid w:val="005D0479"/>
    <w:rsid w:val="005D0EC8"/>
    <w:rsid w:val="005D0FF5"/>
    <w:rsid w:val="005D2E2B"/>
    <w:rsid w:val="005D3405"/>
    <w:rsid w:val="005D3BEF"/>
    <w:rsid w:val="005D40AF"/>
    <w:rsid w:val="005D462F"/>
    <w:rsid w:val="005D5615"/>
    <w:rsid w:val="005D5EEC"/>
    <w:rsid w:val="005D6722"/>
    <w:rsid w:val="005D72C9"/>
    <w:rsid w:val="005D767A"/>
    <w:rsid w:val="005D7DA5"/>
    <w:rsid w:val="005E0A80"/>
    <w:rsid w:val="005E1382"/>
    <w:rsid w:val="005E1787"/>
    <w:rsid w:val="005E25D2"/>
    <w:rsid w:val="005E2695"/>
    <w:rsid w:val="005E27EA"/>
    <w:rsid w:val="005E330D"/>
    <w:rsid w:val="005E3B6A"/>
    <w:rsid w:val="005E3BB6"/>
    <w:rsid w:val="005E65D7"/>
    <w:rsid w:val="005E6982"/>
    <w:rsid w:val="005E6C20"/>
    <w:rsid w:val="005E6DC6"/>
    <w:rsid w:val="005E72D8"/>
    <w:rsid w:val="005E7C4C"/>
    <w:rsid w:val="005F0E72"/>
    <w:rsid w:val="005F1D87"/>
    <w:rsid w:val="005F2A09"/>
    <w:rsid w:val="005F320F"/>
    <w:rsid w:val="005F355A"/>
    <w:rsid w:val="005F50BE"/>
    <w:rsid w:val="005F5136"/>
    <w:rsid w:val="005F546C"/>
    <w:rsid w:val="005F76CC"/>
    <w:rsid w:val="005F77A2"/>
    <w:rsid w:val="006008E0"/>
    <w:rsid w:val="00600D0D"/>
    <w:rsid w:val="00600F78"/>
    <w:rsid w:val="006010BE"/>
    <w:rsid w:val="0060118C"/>
    <w:rsid w:val="00601F53"/>
    <w:rsid w:val="006021E3"/>
    <w:rsid w:val="006032FC"/>
    <w:rsid w:val="00605470"/>
    <w:rsid w:val="00605BDF"/>
    <w:rsid w:val="0060700A"/>
    <w:rsid w:val="00607B36"/>
    <w:rsid w:val="00611082"/>
    <w:rsid w:val="0061128C"/>
    <w:rsid w:val="00611C37"/>
    <w:rsid w:val="00612122"/>
    <w:rsid w:val="00612E57"/>
    <w:rsid w:val="00613B42"/>
    <w:rsid w:val="00615046"/>
    <w:rsid w:val="00615531"/>
    <w:rsid w:val="00616C0A"/>
    <w:rsid w:val="00620A17"/>
    <w:rsid w:val="00620B2D"/>
    <w:rsid w:val="00620C6C"/>
    <w:rsid w:val="006219E2"/>
    <w:rsid w:val="00623204"/>
    <w:rsid w:val="00624680"/>
    <w:rsid w:val="00625F74"/>
    <w:rsid w:val="0062613E"/>
    <w:rsid w:val="0062741B"/>
    <w:rsid w:val="00630937"/>
    <w:rsid w:val="00632162"/>
    <w:rsid w:val="00632B46"/>
    <w:rsid w:val="00632FAF"/>
    <w:rsid w:val="0063382E"/>
    <w:rsid w:val="00633A49"/>
    <w:rsid w:val="00633A8C"/>
    <w:rsid w:val="0063432F"/>
    <w:rsid w:val="00634374"/>
    <w:rsid w:val="00634AD6"/>
    <w:rsid w:val="00636799"/>
    <w:rsid w:val="0064038A"/>
    <w:rsid w:val="006405A1"/>
    <w:rsid w:val="00640A26"/>
    <w:rsid w:val="00641996"/>
    <w:rsid w:val="00641C1A"/>
    <w:rsid w:val="00641D29"/>
    <w:rsid w:val="0064215C"/>
    <w:rsid w:val="0064281A"/>
    <w:rsid w:val="00643E72"/>
    <w:rsid w:val="00646C1D"/>
    <w:rsid w:val="00646DC7"/>
    <w:rsid w:val="00647330"/>
    <w:rsid w:val="00650117"/>
    <w:rsid w:val="00650F17"/>
    <w:rsid w:val="0065135D"/>
    <w:rsid w:val="006517A3"/>
    <w:rsid w:val="00651C42"/>
    <w:rsid w:val="00651DF1"/>
    <w:rsid w:val="00652757"/>
    <w:rsid w:val="00652B67"/>
    <w:rsid w:val="00653915"/>
    <w:rsid w:val="00653946"/>
    <w:rsid w:val="00653B0F"/>
    <w:rsid w:val="00653B74"/>
    <w:rsid w:val="0065430D"/>
    <w:rsid w:val="00654605"/>
    <w:rsid w:val="00655849"/>
    <w:rsid w:val="00655F30"/>
    <w:rsid w:val="00655F33"/>
    <w:rsid w:val="00656898"/>
    <w:rsid w:val="00657C14"/>
    <w:rsid w:val="006602F7"/>
    <w:rsid w:val="006606F2"/>
    <w:rsid w:val="00661A20"/>
    <w:rsid w:val="00661DFE"/>
    <w:rsid w:val="00661E4B"/>
    <w:rsid w:val="0066208B"/>
    <w:rsid w:val="00662144"/>
    <w:rsid w:val="00662F47"/>
    <w:rsid w:val="006655CA"/>
    <w:rsid w:val="00665AC8"/>
    <w:rsid w:val="00665E34"/>
    <w:rsid w:val="00665E8C"/>
    <w:rsid w:val="0066692A"/>
    <w:rsid w:val="00666F5B"/>
    <w:rsid w:val="00667DAC"/>
    <w:rsid w:val="00667F03"/>
    <w:rsid w:val="00671C60"/>
    <w:rsid w:val="0067240B"/>
    <w:rsid w:val="0067276F"/>
    <w:rsid w:val="006730AA"/>
    <w:rsid w:val="006731A2"/>
    <w:rsid w:val="00673759"/>
    <w:rsid w:val="0067460D"/>
    <w:rsid w:val="006746FE"/>
    <w:rsid w:val="00675E36"/>
    <w:rsid w:val="006762F9"/>
    <w:rsid w:val="00677944"/>
    <w:rsid w:val="00677DC4"/>
    <w:rsid w:val="006808B1"/>
    <w:rsid w:val="00680C24"/>
    <w:rsid w:val="0068134B"/>
    <w:rsid w:val="0068280D"/>
    <w:rsid w:val="00682DE3"/>
    <w:rsid w:val="0068382D"/>
    <w:rsid w:val="006839ED"/>
    <w:rsid w:val="00683B4D"/>
    <w:rsid w:val="00684BA1"/>
    <w:rsid w:val="006850E4"/>
    <w:rsid w:val="00686AFF"/>
    <w:rsid w:val="00686FDD"/>
    <w:rsid w:val="006874B8"/>
    <w:rsid w:val="0068785A"/>
    <w:rsid w:val="00690280"/>
    <w:rsid w:val="00690501"/>
    <w:rsid w:val="00690ED1"/>
    <w:rsid w:val="006910CE"/>
    <w:rsid w:val="00691A9E"/>
    <w:rsid w:val="0069280D"/>
    <w:rsid w:val="006930C2"/>
    <w:rsid w:val="00694028"/>
    <w:rsid w:val="006952A2"/>
    <w:rsid w:val="0069538A"/>
    <w:rsid w:val="006A2A08"/>
    <w:rsid w:val="006A2C94"/>
    <w:rsid w:val="006A331B"/>
    <w:rsid w:val="006A35DE"/>
    <w:rsid w:val="006A3810"/>
    <w:rsid w:val="006A3D56"/>
    <w:rsid w:val="006A3F26"/>
    <w:rsid w:val="006A49E1"/>
    <w:rsid w:val="006A53BE"/>
    <w:rsid w:val="006A592E"/>
    <w:rsid w:val="006A61DB"/>
    <w:rsid w:val="006A6A20"/>
    <w:rsid w:val="006A7059"/>
    <w:rsid w:val="006B072F"/>
    <w:rsid w:val="006B07FF"/>
    <w:rsid w:val="006B1A68"/>
    <w:rsid w:val="006B1CF6"/>
    <w:rsid w:val="006B2691"/>
    <w:rsid w:val="006B3A47"/>
    <w:rsid w:val="006B4168"/>
    <w:rsid w:val="006B4AD4"/>
    <w:rsid w:val="006B547C"/>
    <w:rsid w:val="006B6929"/>
    <w:rsid w:val="006B762F"/>
    <w:rsid w:val="006C3775"/>
    <w:rsid w:val="006C3C33"/>
    <w:rsid w:val="006C4752"/>
    <w:rsid w:val="006C578E"/>
    <w:rsid w:val="006C5CAF"/>
    <w:rsid w:val="006C613C"/>
    <w:rsid w:val="006C676E"/>
    <w:rsid w:val="006C67DA"/>
    <w:rsid w:val="006C6ED8"/>
    <w:rsid w:val="006C72B7"/>
    <w:rsid w:val="006D054C"/>
    <w:rsid w:val="006D09BC"/>
    <w:rsid w:val="006D0F56"/>
    <w:rsid w:val="006D1E54"/>
    <w:rsid w:val="006D2E42"/>
    <w:rsid w:val="006D3CA3"/>
    <w:rsid w:val="006D4234"/>
    <w:rsid w:val="006D5109"/>
    <w:rsid w:val="006D5272"/>
    <w:rsid w:val="006D5828"/>
    <w:rsid w:val="006D5B67"/>
    <w:rsid w:val="006D5BC1"/>
    <w:rsid w:val="006D684B"/>
    <w:rsid w:val="006E0227"/>
    <w:rsid w:val="006E0F8F"/>
    <w:rsid w:val="006E1546"/>
    <w:rsid w:val="006E2205"/>
    <w:rsid w:val="006E2E7B"/>
    <w:rsid w:val="006E3725"/>
    <w:rsid w:val="006E3F48"/>
    <w:rsid w:val="006E4692"/>
    <w:rsid w:val="006E4DE7"/>
    <w:rsid w:val="006E56CA"/>
    <w:rsid w:val="006E5CEA"/>
    <w:rsid w:val="006E6B59"/>
    <w:rsid w:val="006E6C86"/>
    <w:rsid w:val="006E6D23"/>
    <w:rsid w:val="006E6F0B"/>
    <w:rsid w:val="006E76C5"/>
    <w:rsid w:val="006E76ED"/>
    <w:rsid w:val="006F20A5"/>
    <w:rsid w:val="006F20AB"/>
    <w:rsid w:val="006F252A"/>
    <w:rsid w:val="006F28D5"/>
    <w:rsid w:val="006F2CA2"/>
    <w:rsid w:val="006F3598"/>
    <w:rsid w:val="006F363A"/>
    <w:rsid w:val="006F440E"/>
    <w:rsid w:val="006F446B"/>
    <w:rsid w:val="006F47EB"/>
    <w:rsid w:val="006F4C2E"/>
    <w:rsid w:val="006F7673"/>
    <w:rsid w:val="006F7FC6"/>
    <w:rsid w:val="007008A7"/>
    <w:rsid w:val="00700A38"/>
    <w:rsid w:val="00700CB8"/>
    <w:rsid w:val="007012D2"/>
    <w:rsid w:val="00701683"/>
    <w:rsid w:val="00702A73"/>
    <w:rsid w:val="00702B94"/>
    <w:rsid w:val="0070346C"/>
    <w:rsid w:val="00703B11"/>
    <w:rsid w:val="00703E04"/>
    <w:rsid w:val="0070443E"/>
    <w:rsid w:val="00704693"/>
    <w:rsid w:val="00706671"/>
    <w:rsid w:val="0070675B"/>
    <w:rsid w:val="00706EBA"/>
    <w:rsid w:val="00706ECB"/>
    <w:rsid w:val="007102CC"/>
    <w:rsid w:val="00710F4C"/>
    <w:rsid w:val="007119A4"/>
    <w:rsid w:val="00711AE0"/>
    <w:rsid w:val="00712B32"/>
    <w:rsid w:val="00712C3D"/>
    <w:rsid w:val="00713094"/>
    <w:rsid w:val="00713224"/>
    <w:rsid w:val="00713593"/>
    <w:rsid w:val="007135A7"/>
    <w:rsid w:val="007142F1"/>
    <w:rsid w:val="00715E9B"/>
    <w:rsid w:val="0071647E"/>
    <w:rsid w:val="007178E9"/>
    <w:rsid w:val="00721125"/>
    <w:rsid w:val="00721BDE"/>
    <w:rsid w:val="0072419B"/>
    <w:rsid w:val="00724256"/>
    <w:rsid w:val="00724B60"/>
    <w:rsid w:val="00724BFE"/>
    <w:rsid w:val="0072571A"/>
    <w:rsid w:val="00725C94"/>
    <w:rsid w:val="00725D4B"/>
    <w:rsid w:val="00727486"/>
    <w:rsid w:val="00727D12"/>
    <w:rsid w:val="00727D14"/>
    <w:rsid w:val="00730365"/>
    <w:rsid w:val="00730AC1"/>
    <w:rsid w:val="00732136"/>
    <w:rsid w:val="00732355"/>
    <w:rsid w:val="007323EA"/>
    <w:rsid w:val="00732841"/>
    <w:rsid w:val="007342F9"/>
    <w:rsid w:val="00737110"/>
    <w:rsid w:val="00737359"/>
    <w:rsid w:val="00737609"/>
    <w:rsid w:val="0073774F"/>
    <w:rsid w:val="00737ECC"/>
    <w:rsid w:val="00740077"/>
    <w:rsid w:val="007400E1"/>
    <w:rsid w:val="00741C78"/>
    <w:rsid w:val="007420E4"/>
    <w:rsid w:val="00742CBF"/>
    <w:rsid w:val="00742FFD"/>
    <w:rsid w:val="007445BD"/>
    <w:rsid w:val="00744622"/>
    <w:rsid w:val="00744AD2"/>
    <w:rsid w:val="00745210"/>
    <w:rsid w:val="00745283"/>
    <w:rsid w:val="007453E4"/>
    <w:rsid w:val="00745F23"/>
    <w:rsid w:val="007468C1"/>
    <w:rsid w:val="00746DFE"/>
    <w:rsid w:val="007471FF"/>
    <w:rsid w:val="00747D9F"/>
    <w:rsid w:val="007505EE"/>
    <w:rsid w:val="007508BB"/>
    <w:rsid w:val="00751F04"/>
    <w:rsid w:val="007539BD"/>
    <w:rsid w:val="00753CF2"/>
    <w:rsid w:val="00754445"/>
    <w:rsid w:val="00755413"/>
    <w:rsid w:val="00755546"/>
    <w:rsid w:val="007563D3"/>
    <w:rsid w:val="007568F2"/>
    <w:rsid w:val="00760041"/>
    <w:rsid w:val="00760640"/>
    <w:rsid w:val="00761B6D"/>
    <w:rsid w:val="00762595"/>
    <w:rsid w:val="00763944"/>
    <w:rsid w:val="00764762"/>
    <w:rsid w:val="00764955"/>
    <w:rsid w:val="00764A9B"/>
    <w:rsid w:val="00764C1A"/>
    <w:rsid w:val="007669A5"/>
    <w:rsid w:val="0076772E"/>
    <w:rsid w:val="00767FF9"/>
    <w:rsid w:val="00771288"/>
    <w:rsid w:val="0077164F"/>
    <w:rsid w:val="00772AFA"/>
    <w:rsid w:val="00772E55"/>
    <w:rsid w:val="00772EF1"/>
    <w:rsid w:val="007731DB"/>
    <w:rsid w:val="007733D8"/>
    <w:rsid w:val="00773A8C"/>
    <w:rsid w:val="00773CD6"/>
    <w:rsid w:val="007752B2"/>
    <w:rsid w:val="0077550F"/>
    <w:rsid w:val="00775FB3"/>
    <w:rsid w:val="00777706"/>
    <w:rsid w:val="00777D84"/>
    <w:rsid w:val="00777F74"/>
    <w:rsid w:val="00780339"/>
    <w:rsid w:val="007804EA"/>
    <w:rsid w:val="007805F0"/>
    <w:rsid w:val="007808C6"/>
    <w:rsid w:val="007810D7"/>
    <w:rsid w:val="00781724"/>
    <w:rsid w:val="00782091"/>
    <w:rsid w:val="007827D3"/>
    <w:rsid w:val="0078343B"/>
    <w:rsid w:val="00783668"/>
    <w:rsid w:val="00784277"/>
    <w:rsid w:val="007847AE"/>
    <w:rsid w:val="007847C7"/>
    <w:rsid w:val="00784E16"/>
    <w:rsid w:val="00785EA6"/>
    <w:rsid w:val="00786142"/>
    <w:rsid w:val="00786967"/>
    <w:rsid w:val="0078746C"/>
    <w:rsid w:val="0079087A"/>
    <w:rsid w:val="00790999"/>
    <w:rsid w:val="00790AA2"/>
    <w:rsid w:val="00790AB7"/>
    <w:rsid w:val="00791037"/>
    <w:rsid w:val="00792242"/>
    <w:rsid w:val="007924DE"/>
    <w:rsid w:val="007928F2"/>
    <w:rsid w:val="007932BC"/>
    <w:rsid w:val="007933AC"/>
    <w:rsid w:val="0079436A"/>
    <w:rsid w:val="00794465"/>
    <w:rsid w:val="00794FA5"/>
    <w:rsid w:val="0079506C"/>
    <w:rsid w:val="00796BE0"/>
    <w:rsid w:val="00797C66"/>
    <w:rsid w:val="00797D91"/>
    <w:rsid w:val="00797EE8"/>
    <w:rsid w:val="007A035D"/>
    <w:rsid w:val="007A09B6"/>
    <w:rsid w:val="007A1759"/>
    <w:rsid w:val="007A19ED"/>
    <w:rsid w:val="007A1B87"/>
    <w:rsid w:val="007A4A70"/>
    <w:rsid w:val="007A4D20"/>
    <w:rsid w:val="007A5F28"/>
    <w:rsid w:val="007A69BB"/>
    <w:rsid w:val="007A6FEC"/>
    <w:rsid w:val="007A723F"/>
    <w:rsid w:val="007B07A6"/>
    <w:rsid w:val="007B1EE4"/>
    <w:rsid w:val="007B2DAD"/>
    <w:rsid w:val="007B2E9D"/>
    <w:rsid w:val="007B3E1F"/>
    <w:rsid w:val="007B43E5"/>
    <w:rsid w:val="007B4B70"/>
    <w:rsid w:val="007B59EF"/>
    <w:rsid w:val="007B6741"/>
    <w:rsid w:val="007B718C"/>
    <w:rsid w:val="007B7CBD"/>
    <w:rsid w:val="007C01AC"/>
    <w:rsid w:val="007C05FC"/>
    <w:rsid w:val="007C132F"/>
    <w:rsid w:val="007C1B16"/>
    <w:rsid w:val="007C2CD9"/>
    <w:rsid w:val="007C4B7D"/>
    <w:rsid w:val="007C510A"/>
    <w:rsid w:val="007C5A6C"/>
    <w:rsid w:val="007C5FAB"/>
    <w:rsid w:val="007C6AD7"/>
    <w:rsid w:val="007C780C"/>
    <w:rsid w:val="007C7B37"/>
    <w:rsid w:val="007D05D5"/>
    <w:rsid w:val="007D13E6"/>
    <w:rsid w:val="007D2089"/>
    <w:rsid w:val="007D2341"/>
    <w:rsid w:val="007D24FC"/>
    <w:rsid w:val="007D2602"/>
    <w:rsid w:val="007D3256"/>
    <w:rsid w:val="007D4367"/>
    <w:rsid w:val="007D47FB"/>
    <w:rsid w:val="007D5496"/>
    <w:rsid w:val="007D54A1"/>
    <w:rsid w:val="007D5959"/>
    <w:rsid w:val="007D619E"/>
    <w:rsid w:val="007D6E80"/>
    <w:rsid w:val="007E0080"/>
    <w:rsid w:val="007E1072"/>
    <w:rsid w:val="007E13C6"/>
    <w:rsid w:val="007E19C3"/>
    <w:rsid w:val="007E22C8"/>
    <w:rsid w:val="007E2936"/>
    <w:rsid w:val="007E29DF"/>
    <w:rsid w:val="007E2C61"/>
    <w:rsid w:val="007E3044"/>
    <w:rsid w:val="007E3A0F"/>
    <w:rsid w:val="007E3C97"/>
    <w:rsid w:val="007E4353"/>
    <w:rsid w:val="007E4D0F"/>
    <w:rsid w:val="007E4D49"/>
    <w:rsid w:val="007E5564"/>
    <w:rsid w:val="007E5BEE"/>
    <w:rsid w:val="007E6D59"/>
    <w:rsid w:val="007E721C"/>
    <w:rsid w:val="007E7AD3"/>
    <w:rsid w:val="007E7DA0"/>
    <w:rsid w:val="007F031C"/>
    <w:rsid w:val="007F0DF2"/>
    <w:rsid w:val="007F1050"/>
    <w:rsid w:val="007F1C37"/>
    <w:rsid w:val="007F3BE1"/>
    <w:rsid w:val="007F4864"/>
    <w:rsid w:val="007F6F9A"/>
    <w:rsid w:val="007F7C03"/>
    <w:rsid w:val="007F7E52"/>
    <w:rsid w:val="00800267"/>
    <w:rsid w:val="00800938"/>
    <w:rsid w:val="00801768"/>
    <w:rsid w:val="00801F57"/>
    <w:rsid w:val="0080277B"/>
    <w:rsid w:val="00802F22"/>
    <w:rsid w:val="00803A26"/>
    <w:rsid w:val="00804683"/>
    <w:rsid w:val="008052B5"/>
    <w:rsid w:val="0080541B"/>
    <w:rsid w:val="00805B7F"/>
    <w:rsid w:val="00806397"/>
    <w:rsid w:val="00807503"/>
    <w:rsid w:val="008078A6"/>
    <w:rsid w:val="00810871"/>
    <w:rsid w:val="00810F8F"/>
    <w:rsid w:val="008121A8"/>
    <w:rsid w:val="008129CA"/>
    <w:rsid w:val="008155A5"/>
    <w:rsid w:val="00815674"/>
    <w:rsid w:val="00815FD4"/>
    <w:rsid w:val="00816A5B"/>
    <w:rsid w:val="00816A70"/>
    <w:rsid w:val="0081708A"/>
    <w:rsid w:val="00817B13"/>
    <w:rsid w:val="00820276"/>
    <w:rsid w:val="008205E0"/>
    <w:rsid w:val="00820738"/>
    <w:rsid w:val="00820D57"/>
    <w:rsid w:val="00820F5B"/>
    <w:rsid w:val="008217C5"/>
    <w:rsid w:val="00821937"/>
    <w:rsid w:val="00822946"/>
    <w:rsid w:val="00822F23"/>
    <w:rsid w:val="008233DA"/>
    <w:rsid w:val="00824232"/>
    <w:rsid w:val="0082439D"/>
    <w:rsid w:val="008245DB"/>
    <w:rsid w:val="00825A95"/>
    <w:rsid w:val="0082682A"/>
    <w:rsid w:val="00830436"/>
    <w:rsid w:val="008307CA"/>
    <w:rsid w:val="008308AC"/>
    <w:rsid w:val="008308FA"/>
    <w:rsid w:val="00830E8B"/>
    <w:rsid w:val="00830EE7"/>
    <w:rsid w:val="00834AC9"/>
    <w:rsid w:val="00834C60"/>
    <w:rsid w:val="00834EC2"/>
    <w:rsid w:val="00834F39"/>
    <w:rsid w:val="00834FD0"/>
    <w:rsid w:val="00835460"/>
    <w:rsid w:val="00836BE5"/>
    <w:rsid w:val="00837CEF"/>
    <w:rsid w:val="00840B58"/>
    <w:rsid w:val="0084215D"/>
    <w:rsid w:val="00842274"/>
    <w:rsid w:val="00843ED1"/>
    <w:rsid w:val="008440F4"/>
    <w:rsid w:val="00844EF1"/>
    <w:rsid w:val="008470DA"/>
    <w:rsid w:val="008477A8"/>
    <w:rsid w:val="00850214"/>
    <w:rsid w:val="00850B3D"/>
    <w:rsid w:val="00853013"/>
    <w:rsid w:val="0085397D"/>
    <w:rsid w:val="00854043"/>
    <w:rsid w:val="008542BF"/>
    <w:rsid w:val="0085492F"/>
    <w:rsid w:val="00854A58"/>
    <w:rsid w:val="00854C8C"/>
    <w:rsid w:val="00855009"/>
    <w:rsid w:val="00855F75"/>
    <w:rsid w:val="00856079"/>
    <w:rsid w:val="00856446"/>
    <w:rsid w:val="00856677"/>
    <w:rsid w:val="008568B6"/>
    <w:rsid w:val="00856D9A"/>
    <w:rsid w:val="008601D8"/>
    <w:rsid w:val="00860B13"/>
    <w:rsid w:val="00860EB2"/>
    <w:rsid w:val="00862383"/>
    <w:rsid w:val="008623E8"/>
    <w:rsid w:val="008624F3"/>
    <w:rsid w:val="00862ADE"/>
    <w:rsid w:val="00862C49"/>
    <w:rsid w:val="0086337F"/>
    <w:rsid w:val="008645ED"/>
    <w:rsid w:val="00864792"/>
    <w:rsid w:val="00864D61"/>
    <w:rsid w:val="008668DD"/>
    <w:rsid w:val="00867372"/>
    <w:rsid w:val="00867FCB"/>
    <w:rsid w:val="00871263"/>
    <w:rsid w:val="00871A9C"/>
    <w:rsid w:val="008736FA"/>
    <w:rsid w:val="008746DA"/>
    <w:rsid w:val="0087479C"/>
    <w:rsid w:val="008755CE"/>
    <w:rsid w:val="00876720"/>
    <w:rsid w:val="00876BD4"/>
    <w:rsid w:val="00876DE0"/>
    <w:rsid w:val="00877E7D"/>
    <w:rsid w:val="0088152A"/>
    <w:rsid w:val="00881B35"/>
    <w:rsid w:val="00881E4B"/>
    <w:rsid w:val="00882996"/>
    <w:rsid w:val="00883352"/>
    <w:rsid w:val="00885A89"/>
    <w:rsid w:val="00885AEA"/>
    <w:rsid w:val="0088623C"/>
    <w:rsid w:val="0088648A"/>
    <w:rsid w:val="00886705"/>
    <w:rsid w:val="00887102"/>
    <w:rsid w:val="0089046F"/>
    <w:rsid w:val="00890BE3"/>
    <w:rsid w:val="00890DDF"/>
    <w:rsid w:val="00892274"/>
    <w:rsid w:val="00894D34"/>
    <w:rsid w:val="00894FB5"/>
    <w:rsid w:val="00895782"/>
    <w:rsid w:val="00895B5E"/>
    <w:rsid w:val="00895C15"/>
    <w:rsid w:val="008961BE"/>
    <w:rsid w:val="00896D6B"/>
    <w:rsid w:val="008A008C"/>
    <w:rsid w:val="008A0D1F"/>
    <w:rsid w:val="008A1838"/>
    <w:rsid w:val="008A1A9E"/>
    <w:rsid w:val="008A1AD7"/>
    <w:rsid w:val="008A22E9"/>
    <w:rsid w:val="008A27EB"/>
    <w:rsid w:val="008A477A"/>
    <w:rsid w:val="008A5273"/>
    <w:rsid w:val="008A54AD"/>
    <w:rsid w:val="008A6B82"/>
    <w:rsid w:val="008A7065"/>
    <w:rsid w:val="008A726E"/>
    <w:rsid w:val="008B0E88"/>
    <w:rsid w:val="008B12ED"/>
    <w:rsid w:val="008B181F"/>
    <w:rsid w:val="008B25CB"/>
    <w:rsid w:val="008B281E"/>
    <w:rsid w:val="008B281F"/>
    <w:rsid w:val="008B2E00"/>
    <w:rsid w:val="008B2E48"/>
    <w:rsid w:val="008B34A6"/>
    <w:rsid w:val="008B34BA"/>
    <w:rsid w:val="008B5276"/>
    <w:rsid w:val="008B5665"/>
    <w:rsid w:val="008B5FC4"/>
    <w:rsid w:val="008B6EFB"/>
    <w:rsid w:val="008C12B4"/>
    <w:rsid w:val="008C1363"/>
    <w:rsid w:val="008C13EC"/>
    <w:rsid w:val="008C2375"/>
    <w:rsid w:val="008C43CC"/>
    <w:rsid w:val="008C472E"/>
    <w:rsid w:val="008C4C44"/>
    <w:rsid w:val="008C5275"/>
    <w:rsid w:val="008C531A"/>
    <w:rsid w:val="008C5FC3"/>
    <w:rsid w:val="008C65B4"/>
    <w:rsid w:val="008C6833"/>
    <w:rsid w:val="008C6D7D"/>
    <w:rsid w:val="008C71BB"/>
    <w:rsid w:val="008C7389"/>
    <w:rsid w:val="008C76E8"/>
    <w:rsid w:val="008C7843"/>
    <w:rsid w:val="008D05AE"/>
    <w:rsid w:val="008D0C73"/>
    <w:rsid w:val="008D0CD9"/>
    <w:rsid w:val="008D294E"/>
    <w:rsid w:val="008D322A"/>
    <w:rsid w:val="008D36A9"/>
    <w:rsid w:val="008D3E82"/>
    <w:rsid w:val="008D4C9E"/>
    <w:rsid w:val="008D4EF6"/>
    <w:rsid w:val="008D5D11"/>
    <w:rsid w:val="008D6397"/>
    <w:rsid w:val="008D650F"/>
    <w:rsid w:val="008D74B2"/>
    <w:rsid w:val="008D7AA0"/>
    <w:rsid w:val="008E01AF"/>
    <w:rsid w:val="008E140F"/>
    <w:rsid w:val="008E1B1E"/>
    <w:rsid w:val="008E1B65"/>
    <w:rsid w:val="008E229D"/>
    <w:rsid w:val="008E2FCF"/>
    <w:rsid w:val="008E4A04"/>
    <w:rsid w:val="008E4E8D"/>
    <w:rsid w:val="008F0183"/>
    <w:rsid w:val="008F038C"/>
    <w:rsid w:val="008F06AD"/>
    <w:rsid w:val="008F071D"/>
    <w:rsid w:val="008F0A08"/>
    <w:rsid w:val="008F16AC"/>
    <w:rsid w:val="008F1FFC"/>
    <w:rsid w:val="008F274F"/>
    <w:rsid w:val="008F2BC7"/>
    <w:rsid w:val="008F38B5"/>
    <w:rsid w:val="008F3AF7"/>
    <w:rsid w:val="008F3F52"/>
    <w:rsid w:val="008F5AC3"/>
    <w:rsid w:val="008F5B2D"/>
    <w:rsid w:val="008F6685"/>
    <w:rsid w:val="008F6804"/>
    <w:rsid w:val="008F73A4"/>
    <w:rsid w:val="008F7B1A"/>
    <w:rsid w:val="00900B81"/>
    <w:rsid w:val="0090183D"/>
    <w:rsid w:val="00901A9F"/>
    <w:rsid w:val="009031A5"/>
    <w:rsid w:val="0090325A"/>
    <w:rsid w:val="00903592"/>
    <w:rsid w:val="00903712"/>
    <w:rsid w:val="0090393F"/>
    <w:rsid w:val="00905958"/>
    <w:rsid w:val="00907E62"/>
    <w:rsid w:val="009100BE"/>
    <w:rsid w:val="00911249"/>
    <w:rsid w:val="00912086"/>
    <w:rsid w:val="00913A63"/>
    <w:rsid w:val="00914B24"/>
    <w:rsid w:val="00914B8C"/>
    <w:rsid w:val="00914F78"/>
    <w:rsid w:val="00915578"/>
    <w:rsid w:val="00915A7D"/>
    <w:rsid w:val="00915B0F"/>
    <w:rsid w:val="00915B44"/>
    <w:rsid w:val="00917C73"/>
    <w:rsid w:val="00920DF2"/>
    <w:rsid w:val="00922318"/>
    <w:rsid w:val="00922E7F"/>
    <w:rsid w:val="00923FE1"/>
    <w:rsid w:val="009240CB"/>
    <w:rsid w:val="009243EA"/>
    <w:rsid w:val="00924998"/>
    <w:rsid w:val="009249D2"/>
    <w:rsid w:val="0092523E"/>
    <w:rsid w:val="00925B76"/>
    <w:rsid w:val="00926246"/>
    <w:rsid w:val="00926811"/>
    <w:rsid w:val="00927ABD"/>
    <w:rsid w:val="009305EF"/>
    <w:rsid w:val="00931C68"/>
    <w:rsid w:val="009327F2"/>
    <w:rsid w:val="009333B1"/>
    <w:rsid w:val="009335A8"/>
    <w:rsid w:val="00933C6D"/>
    <w:rsid w:val="0093403D"/>
    <w:rsid w:val="00934DA1"/>
    <w:rsid w:val="00935110"/>
    <w:rsid w:val="00935558"/>
    <w:rsid w:val="00935A38"/>
    <w:rsid w:val="00936B05"/>
    <w:rsid w:val="00936E3F"/>
    <w:rsid w:val="0093790E"/>
    <w:rsid w:val="00937F7A"/>
    <w:rsid w:val="009404CB"/>
    <w:rsid w:val="00940637"/>
    <w:rsid w:val="00941824"/>
    <w:rsid w:val="00941BB0"/>
    <w:rsid w:val="0094239B"/>
    <w:rsid w:val="00942DB9"/>
    <w:rsid w:val="0094359D"/>
    <w:rsid w:val="00943C1A"/>
    <w:rsid w:val="00943C89"/>
    <w:rsid w:val="00945B18"/>
    <w:rsid w:val="00945CB1"/>
    <w:rsid w:val="00946BE5"/>
    <w:rsid w:val="009479CF"/>
    <w:rsid w:val="0095027F"/>
    <w:rsid w:val="009504D7"/>
    <w:rsid w:val="00950A7D"/>
    <w:rsid w:val="00951580"/>
    <w:rsid w:val="00952B54"/>
    <w:rsid w:val="00953F21"/>
    <w:rsid w:val="0095443C"/>
    <w:rsid w:val="00954538"/>
    <w:rsid w:val="00954BB9"/>
    <w:rsid w:val="00954C17"/>
    <w:rsid w:val="00956049"/>
    <w:rsid w:val="009561E4"/>
    <w:rsid w:val="00956F17"/>
    <w:rsid w:val="009573B8"/>
    <w:rsid w:val="00961C6B"/>
    <w:rsid w:val="00962099"/>
    <w:rsid w:val="00962B86"/>
    <w:rsid w:val="00963A0A"/>
    <w:rsid w:val="00966792"/>
    <w:rsid w:val="00967308"/>
    <w:rsid w:val="00967CFD"/>
    <w:rsid w:val="009701CE"/>
    <w:rsid w:val="009702DF"/>
    <w:rsid w:val="009710EF"/>
    <w:rsid w:val="00971396"/>
    <w:rsid w:val="00972015"/>
    <w:rsid w:val="009723F2"/>
    <w:rsid w:val="00972A93"/>
    <w:rsid w:val="0097329A"/>
    <w:rsid w:val="00973E0F"/>
    <w:rsid w:val="00973E38"/>
    <w:rsid w:val="0097406F"/>
    <w:rsid w:val="00974BFD"/>
    <w:rsid w:val="009754F9"/>
    <w:rsid w:val="0097550A"/>
    <w:rsid w:val="00976282"/>
    <w:rsid w:val="00977421"/>
    <w:rsid w:val="009774C1"/>
    <w:rsid w:val="009800FF"/>
    <w:rsid w:val="00980CCA"/>
    <w:rsid w:val="0098136E"/>
    <w:rsid w:val="00981500"/>
    <w:rsid w:val="00981B99"/>
    <w:rsid w:val="00981C19"/>
    <w:rsid w:val="00982D26"/>
    <w:rsid w:val="00982F16"/>
    <w:rsid w:val="009842CE"/>
    <w:rsid w:val="00984D46"/>
    <w:rsid w:val="00985182"/>
    <w:rsid w:val="009852CB"/>
    <w:rsid w:val="00985BDE"/>
    <w:rsid w:val="009876FD"/>
    <w:rsid w:val="00987C87"/>
    <w:rsid w:val="00990086"/>
    <w:rsid w:val="0099116F"/>
    <w:rsid w:val="00991301"/>
    <w:rsid w:val="00991839"/>
    <w:rsid w:val="00991A1A"/>
    <w:rsid w:val="0099232D"/>
    <w:rsid w:val="00992CF2"/>
    <w:rsid w:val="00994AF7"/>
    <w:rsid w:val="00994B66"/>
    <w:rsid w:val="00995FF1"/>
    <w:rsid w:val="00996884"/>
    <w:rsid w:val="00996CC3"/>
    <w:rsid w:val="009972FE"/>
    <w:rsid w:val="009A095E"/>
    <w:rsid w:val="009A112D"/>
    <w:rsid w:val="009A11A3"/>
    <w:rsid w:val="009A1F7A"/>
    <w:rsid w:val="009A202D"/>
    <w:rsid w:val="009A2C0D"/>
    <w:rsid w:val="009A30BA"/>
    <w:rsid w:val="009A3CE0"/>
    <w:rsid w:val="009A42D8"/>
    <w:rsid w:val="009A4608"/>
    <w:rsid w:val="009A4639"/>
    <w:rsid w:val="009A479E"/>
    <w:rsid w:val="009A55D5"/>
    <w:rsid w:val="009A5887"/>
    <w:rsid w:val="009A6258"/>
    <w:rsid w:val="009A67F7"/>
    <w:rsid w:val="009A6929"/>
    <w:rsid w:val="009B09D2"/>
    <w:rsid w:val="009B11A8"/>
    <w:rsid w:val="009B14DB"/>
    <w:rsid w:val="009B1CF0"/>
    <w:rsid w:val="009B1DE4"/>
    <w:rsid w:val="009B306B"/>
    <w:rsid w:val="009B3A7B"/>
    <w:rsid w:val="009B5CA8"/>
    <w:rsid w:val="009B68CB"/>
    <w:rsid w:val="009C096E"/>
    <w:rsid w:val="009C35F8"/>
    <w:rsid w:val="009C39A1"/>
    <w:rsid w:val="009C3B81"/>
    <w:rsid w:val="009C411D"/>
    <w:rsid w:val="009C480B"/>
    <w:rsid w:val="009C489C"/>
    <w:rsid w:val="009C50B0"/>
    <w:rsid w:val="009C71D3"/>
    <w:rsid w:val="009C721E"/>
    <w:rsid w:val="009D18BA"/>
    <w:rsid w:val="009D1E45"/>
    <w:rsid w:val="009D219B"/>
    <w:rsid w:val="009D228D"/>
    <w:rsid w:val="009D2FF4"/>
    <w:rsid w:val="009D3A09"/>
    <w:rsid w:val="009D3FEF"/>
    <w:rsid w:val="009D437E"/>
    <w:rsid w:val="009D4B5D"/>
    <w:rsid w:val="009D4E82"/>
    <w:rsid w:val="009D52F9"/>
    <w:rsid w:val="009D5BEC"/>
    <w:rsid w:val="009D5C36"/>
    <w:rsid w:val="009D691E"/>
    <w:rsid w:val="009D763B"/>
    <w:rsid w:val="009D79F1"/>
    <w:rsid w:val="009E0967"/>
    <w:rsid w:val="009E0B1C"/>
    <w:rsid w:val="009E0D34"/>
    <w:rsid w:val="009E0FF9"/>
    <w:rsid w:val="009E19D3"/>
    <w:rsid w:val="009E1F52"/>
    <w:rsid w:val="009E2355"/>
    <w:rsid w:val="009E3E79"/>
    <w:rsid w:val="009E4055"/>
    <w:rsid w:val="009E5C36"/>
    <w:rsid w:val="009E6027"/>
    <w:rsid w:val="009E6591"/>
    <w:rsid w:val="009E6E98"/>
    <w:rsid w:val="009E7337"/>
    <w:rsid w:val="009E75CB"/>
    <w:rsid w:val="009E78C0"/>
    <w:rsid w:val="009E7ADB"/>
    <w:rsid w:val="009F255A"/>
    <w:rsid w:val="009F32EF"/>
    <w:rsid w:val="009F3645"/>
    <w:rsid w:val="009F3BF2"/>
    <w:rsid w:val="009F3E0F"/>
    <w:rsid w:val="009F474E"/>
    <w:rsid w:val="009F5082"/>
    <w:rsid w:val="009F5750"/>
    <w:rsid w:val="009F622C"/>
    <w:rsid w:val="009F64B1"/>
    <w:rsid w:val="009F6781"/>
    <w:rsid w:val="009F687B"/>
    <w:rsid w:val="009F6D16"/>
    <w:rsid w:val="009F6DD4"/>
    <w:rsid w:val="009F77B9"/>
    <w:rsid w:val="00A03C95"/>
    <w:rsid w:val="00A03E6F"/>
    <w:rsid w:val="00A0415D"/>
    <w:rsid w:val="00A04868"/>
    <w:rsid w:val="00A06B9C"/>
    <w:rsid w:val="00A06CC2"/>
    <w:rsid w:val="00A072CA"/>
    <w:rsid w:val="00A07A95"/>
    <w:rsid w:val="00A10871"/>
    <w:rsid w:val="00A12197"/>
    <w:rsid w:val="00A1270F"/>
    <w:rsid w:val="00A128C4"/>
    <w:rsid w:val="00A12AD9"/>
    <w:rsid w:val="00A134F1"/>
    <w:rsid w:val="00A14E5F"/>
    <w:rsid w:val="00A15165"/>
    <w:rsid w:val="00A15494"/>
    <w:rsid w:val="00A154C6"/>
    <w:rsid w:val="00A1584C"/>
    <w:rsid w:val="00A15A83"/>
    <w:rsid w:val="00A15CDD"/>
    <w:rsid w:val="00A15D79"/>
    <w:rsid w:val="00A1704D"/>
    <w:rsid w:val="00A205E1"/>
    <w:rsid w:val="00A21998"/>
    <w:rsid w:val="00A21F8A"/>
    <w:rsid w:val="00A225E5"/>
    <w:rsid w:val="00A2286E"/>
    <w:rsid w:val="00A23145"/>
    <w:rsid w:val="00A234B6"/>
    <w:rsid w:val="00A234DD"/>
    <w:rsid w:val="00A241E5"/>
    <w:rsid w:val="00A25178"/>
    <w:rsid w:val="00A252F5"/>
    <w:rsid w:val="00A256B5"/>
    <w:rsid w:val="00A257E7"/>
    <w:rsid w:val="00A266B5"/>
    <w:rsid w:val="00A26F07"/>
    <w:rsid w:val="00A30079"/>
    <w:rsid w:val="00A3044B"/>
    <w:rsid w:val="00A30F9D"/>
    <w:rsid w:val="00A31488"/>
    <w:rsid w:val="00A316A2"/>
    <w:rsid w:val="00A32B64"/>
    <w:rsid w:val="00A33385"/>
    <w:rsid w:val="00A347BD"/>
    <w:rsid w:val="00A34894"/>
    <w:rsid w:val="00A34DD5"/>
    <w:rsid w:val="00A34E4D"/>
    <w:rsid w:val="00A3501C"/>
    <w:rsid w:val="00A35246"/>
    <w:rsid w:val="00A35F78"/>
    <w:rsid w:val="00A36335"/>
    <w:rsid w:val="00A368A1"/>
    <w:rsid w:val="00A36B48"/>
    <w:rsid w:val="00A36C96"/>
    <w:rsid w:val="00A36DDF"/>
    <w:rsid w:val="00A37322"/>
    <w:rsid w:val="00A376AC"/>
    <w:rsid w:val="00A37E08"/>
    <w:rsid w:val="00A40A2D"/>
    <w:rsid w:val="00A41AF6"/>
    <w:rsid w:val="00A41C9D"/>
    <w:rsid w:val="00A420AC"/>
    <w:rsid w:val="00A427B7"/>
    <w:rsid w:val="00A432A8"/>
    <w:rsid w:val="00A4406D"/>
    <w:rsid w:val="00A44951"/>
    <w:rsid w:val="00A44B81"/>
    <w:rsid w:val="00A47119"/>
    <w:rsid w:val="00A47396"/>
    <w:rsid w:val="00A47483"/>
    <w:rsid w:val="00A47CC2"/>
    <w:rsid w:val="00A50416"/>
    <w:rsid w:val="00A50FD6"/>
    <w:rsid w:val="00A512DE"/>
    <w:rsid w:val="00A515AC"/>
    <w:rsid w:val="00A51BE9"/>
    <w:rsid w:val="00A52625"/>
    <w:rsid w:val="00A52CC3"/>
    <w:rsid w:val="00A52F37"/>
    <w:rsid w:val="00A537C4"/>
    <w:rsid w:val="00A53863"/>
    <w:rsid w:val="00A5537B"/>
    <w:rsid w:val="00A555F5"/>
    <w:rsid w:val="00A55E76"/>
    <w:rsid w:val="00A56FDD"/>
    <w:rsid w:val="00A57227"/>
    <w:rsid w:val="00A57BDA"/>
    <w:rsid w:val="00A60CC8"/>
    <w:rsid w:val="00A621EF"/>
    <w:rsid w:val="00A6294A"/>
    <w:rsid w:val="00A63D7A"/>
    <w:rsid w:val="00A63F5A"/>
    <w:rsid w:val="00A642B2"/>
    <w:rsid w:val="00A6479D"/>
    <w:rsid w:val="00A64A9A"/>
    <w:rsid w:val="00A64D23"/>
    <w:rsid w:val="00A6588B"/>
    <w:rsid w:val="00A65AED"/>
    <w:rsid w:val="00A65DE6"/>
    <w:rsid w:val="00A66812"/>
    <w:rsid w:val="00A675A8"/>
    <w:rsid w:val="00A70677"/>
    <w:rsid w:val="00A7085D"/>
    <w:rsid w:val="00A7092E"/>
    <w:rsid w:val="00A71852"/>
    <w:rsid w:val="00A71CE7"/>
    <w:rsid w:val="00A71E9A"/>
    <w:rsid w:val="00A72856"/>
    <w:rsid w:val="00A72B4A"/>
    <w:rsid w:val="00A72CCA"/>
    <w:rsid w:val="00A73100"/>
    <w:rsid w:val="00A73137"/>
    <w:rsid w:val="00A73171"/>
    <w:rsid w:val="00A73F23"/>
    <w:rsid w:val="00A74B2E"/>
    <w:rsid w:val="00A758D8"/>
    <w:rsid w:val="00A75D43"/>
    <w:rsid w:val="00A80973"/>
    <w:rsid w:val="00A80BB4"/>
    <w:rsid w:val="00A80D67"/>
    <w:rsid w:val="00A8125B"/>
    <w:rsid w:val="00A8299C"/>
    <w:rsid w:val="00A83513"/>
    <w:rsid w:val="00A8351F"/>
    <w:rsid w:val="00A848EF"/>
    <w:rsid w:val="00A84B9B"/>
    <w:rsid w:val="00A84C4B"/>
    <w:rsid w:val="00A86020"/>
    <w:rsid w:val="00A8652C"/>
    <w:rsid w:val="00A878E1"/>
    <w:rsid w:val="00A91EF2"/>
    <w:rsid w:val="00A94447"/>
    <w:rsid w:val="00A950ED"/>
    <w:rsid w:val="00A95A06"/>
    <w:rsid w:val="00A95B9D"/>
    <w:rsid w:val="00AA0140"/>
    <w:rsid w:val="00AA01A6"/>
    <w:rsid w:val="00AA170F"/>
    <w:rsid w:val="00AA1B92"/>
    <w:rsid w:val="00AA2A42"/>
    <w:rsid w:val="00AA31BD"/>
    <w:rsid w:val="00AA47F9"/>
    <w:rsid w:val="00AA4BD1"/>
    <w:rsid w:val="00AA4CD2"/>
    <w:rsid w:val="00AA4F19"/>
    <w:rsid w:val="00AA6E00"/>
    <w:rsid w:val="00AA72D2"/>
    <w:rsid w:val="00AA7AEF"/>
    <w:rsid w:val="00AB2010"/>
    <w:rsid w:val="00AB2362"/>
    <w:rsid w:val="00AB2C4D"/>
    <w:rsid w:val="00AB3152"/>
    <w:rsid w:val="00AB49BA"/>
    <w:rsid w:val="00AB5D72"/>
    <w:rsid w:val="00AB7866"/>
    <w:rsid w:val="00AB7BC6"/>
    <w:rsid w:val="00AC05B6"/>
    <w:rsid w:val="00AC0895"/>
    <w:rsid w:val="00AC1183"/>
    <w:rsid w:val="00AC1983"/>
    <w:rsid w:val="00AC3C2D"/>
    <w:rsid w:val="00AC4521"/>
    <w:rsid w:val="00AC5751"/>
    <w:rsid w:val="00AC5E02"/>
    <w:rsid w:val="00AC5E09"/>
    <w:rsid w:val="00AC5F30"/>
    <w:rsid w:val="00AC6C57"/>
    <w:rsid w:val="00AC7D9B"/>
    <w:rsid w:val="00AD02B4"/>
    <w:rsid w:val="00AD0D77"/>
    <w:rsid w:val="00AD11C1"/>
    <w:rsid w:val="00AD13BE"/>
    <w:rsid w:val="00AD21E8"/>
    <w:rsid w:val="00AD2CFD"/>
    <w:rsid w:val="00AD3CFB"/>
    <w:rsid w:val="00AD5331"/>
    <w:rsid w:val="00AD5AFE"/>
    <w:rsid w:val="00AD7647"/>
    <w:rsid w:val="00AD7EA5"/>
    <w:rsid w:val="00AE0753"/>
    <w:rsid w:val="00AE2082"/>
    <w:rsid w:val="00AE34FB"/>
    <w:rsid w:val="00AE3C4F"/>
    <w:rsid w:val="00AE51EC"/>
    <w:rsid w:val="00AE56AA"/>
    <w:rsid w:val="00AE7809"/>
    <w:rsid w:val="00AE7B44"/>
    <w:rsid w:val="00AF04E8"/>
    <w:rsid w:val="00AF0DCB"/>
    <w:rsid w:val="00AF128F"/>
    <w:rsid w:val="00AF150B"/>
    <w:rsid w:val="00AF20E3"/>
    <w:rsid w:val="00AF2C02"/>
    <w:rsid w:val="00AF2CBC"/>
    <w:rsid w:val="00AF33DD"/>
    <w:rsid w:val="00AF3A85"/>
    <w:rsid w:val="00AF3F79"/>
    <w:rsid w:val="00AF4498"/>
    <w:rsid w:val="00AF466C"/>
    <w:rsid w:val="00AF4A13"/>
    <w:rsid w:val="00AF512E"/>
    <w:rsid w:val="00AF7823"/>
    <w:rsid w:val="00AF7C95"/>
    <w:rsid w:val="00B00D98"/>
    <w:rsid w:val="00B00EF9"/>
    <w:rsid w:val="00B00FF5"/>
    <w:rsid w:val="00B0196E"/>
    <w:rsid w:val="00B02136"/>
    <w:rsid w:val="00B02B35"/>
    <w:rsid w:val="00B02D2D"/>
    <w:rsid w:val="00B047EF"/>
    <w:rsid w:val="00B0532D"/>
    <w:rsid w:val="00B05B7B"/>
    <w:rsid w:val="00B066F9"/>
    <w:rsid w:val="00B0718B"/>
    <w:rsid w:val="00B108C5"/>
    <w:rsid w:val="00B1140F"/>
    <w:rsid w:val="00B11466"/>
    <w:rsid w:val="00B119E8"/>
    <w:rsid w:val="00B11A27"/>
    <w:rsid w:val="00B1265E"/>
    <w:rsid w:val="00B126D4"/>
    <w:rsid w:val="00B127DD"/>
    <w:rsid w:val="00B12DA8"/>
    <w:rsid w:val="00B12EE2"/>
    <w:rsid w:val="00B13061"/>
    <w:rsid w:val="00B13756"/>
    <w:rsid w:val="00B13903"/>
    <w:rsid w:val="00B13BD3"/>
    <w:rsid w:val="00B13C94"/>
    <w:rsid w:val="00B145AC"/>
    <w:rsid w:val="00B1496B"/>
    <w:rsid w:val="00B1501C"/>
    <w:rsid w:val="00B15415"/>
    <w:rsid w:val="00B15D07"/>
    <w:rsid w:val="00B15FFB"/>
    <w:rsid w:val="00B168A9"/>
    <w:rsid w:val="00B17215"/>
    <w:rsid w:val="00B17334"/>
    <w:rsid w:val="00B17E51"/>
    <w:rsid w:val="00B21B59"/>
    <w:rsid w:val="00B21F77"/>
    <w:rsid w:val="00B234E8"/>
    <w:rsid w:val="00B23790"/>
    <w:rsid w:val="00B24222"/>
    <w:rsid w:val="00B243B4"/>
    <w:rsid w:val="00B24627"/>
    <w:rsid w:val="00B253E1"/>
    <w:rsid w:val="00B254FC"/>
    <w:rsid w:val="00B26D12"/>
    <w:rsid w:val="00B26D19"/>
    <w:rsid w:val="00B26FAA"/>
    <w:rsid w:val="00B279D3"/>
    <w:rsid w:val="00B27D89"/>
    <w:rsid w:val="00B3131E"/>
    <w:rsid w:val="00B3192C"/>
    <w:rsid w:val="00B31F85"/>
    <w:rsid w:val="00B320B1"/>
    <w:rsid w:val="00B32897"/>
    <w:rsid w:val="00B32917"/>
    <w:rsid w:val="00B32F47"/>
    <w:rsid w:val="00B330AB"/>
    <w:rsid w:val="00B33E0A"/>
    <w:rsid w:val="00B348FA"/>
    <w:rsid w:val="00B349EE"/>
    <w:rsid w:val="00B352F4"/>
    <w:rsid w:val="00B35977"/>
    <w:rsid w:val="00B359ED"/>
    <w:rsid w:val="00B35A8B"/>
    <w:rsid w:val="00B35D7F"/>
    <w:rsid w:val="00B37A4A"/>
    <w:rsid w:val="00B37E0F"/>
    <w:rsid w:val="00B419FC"/>
    <w:rsid w:val="00B422D6"/>
    <w:rsid w:val="00B4382A"/>
    <w:rsid w:val="00B43C6A"/>
    <w:rsid w:val="00B44367"/>
    <w:rsid w:val="00B448BC"/>
    <w:rsid w:val="00B44BEC"/>
    <w:rsid w:val="00B44C11"/>
    <w:rsid w:val="00B4663A"/>
    <w:rsid w:val="00B470A8"/>
    <w:rsid w:val="00B504E1"/>
    <w:rsid w:val="00B51C4E"/>
    <w:rsid w:val="00B5329F"/>
    <w:rsid w:val="00B54414"/>
    <w:rsid w:val="00B54718"/>
    <w:rsid w:val="00B54EB3"/>
    <w:rsid w:val="00B55CA2"/>
    <w:rsid w:val="00B60884"/>
    <w:rsid w:val="00B6094B"/>
    <w:rsid w:val="00B62E6A"/>
    <w:rsid w:val="00B63030"/>
    <w:rsid w:val="00B6320C"/>
    <w:rsid w:val="00B6320E"/>
    <w:rsid w:val="00B6411B"/>
    <w:rsid w:val="00B65A26"/>
    <w:rsid w:val="00B65CD0"/>
    <w:rsid w:val="00B7239E"/>
    <w:rsid w:val="00B724ED"/>
    <w:rsid w:val="00B728DC"/>
    <w:rsid w:val="00B72A2D"/>
    <w:rsid w:val="00B72F5A"/>
    <w:rsid w:val="00B73045"/>
    <w:rsid w:val="00B73079"/>
    <w:rsid w:val="00B733FF"/>
    <w:rsid w:val="00B735CA"/>
    <w:rsid w:val="00B73C5C"/>
    <w:rsid w:val="00B7415C"/>
    <w:rsid w:val="00B744A0"/>
    <w:rsid w:val="00B74601"/>
    <w:rsid w:val="00B748CD"/>
    <w:rsid w:val="00B74FE7"/>
    <w:rsid w:val="00B757B3"/>
    <w:rsid w:val="00B75BF5"/>
    <w:rsid w:val="00B76286"/>
    <w:rsid w:val="00B77111"/>
    <w:rsid w:val="00B77853"/>
    <w:rsid w:val="00B77AA4"/>
    <w:rsid w:val="00B80E40"/>
    <w:rsid w:val="00B82050"/>
    <w:rsid w:val="00B83137"/>
    <w:rsid w:val="00B83450"/>
    <w:rsid w:val="00B842CA"/>
    <w:rsid w:val="00B846FF"/>
    <w:rsid w:val="00B858B7"/>
    <w:rsid w:val="00B85C8B"/>
    <w:rsid w:val="00B8690B"/>
    <w:rsid w:val="00B87A77"/>
    <w:rsid w:val="00B87EDE"/>
    <w:rsid w:val="00B91CC0"/>
    <w:rsid w:val="00B91FE8"/>
    <w:rsid w:val="00B924FB"/>
    <w:rsid w:val="00B92604"/>
    <w:rsid w:val="00B928CC"/>
    <w:rsid w:val="00B92C34"/>
    <w:rsid w:val="00B9369C"/>
    <w:rsid w:val="00B93A17"/>
    <w:rsid w:val="00B93BFB"/>
    <w:rsid w:val="00B94011"/>
    <w:rsid w:val="00B94218"/>
    <w:rsid w:val="00B951FA"/>
    <w:rsid w:val="00B95A4E"/>
    <w:rsid w:val="00B973DE"/>
    <w:rsid w:val="00B97BFC"/>
    <w:rsid w:val="00BA0A2C"/>
    <w:rsid w:val="00BA0B11"/>
    <w:rsid w:val="00BA1AA7"/>
    <w:rsid w:val="00BA26BE"/>
    <w:rsid w:val="00BA3200"/>
    <w:rsid w:val="00BA4338"/>
    <w:rsid w:val="00BA5472"/>
    <w:rsid w:val="00BA638D"/>
    <w:rsid w:val="00BA6486"/>
    <w:rsid w:val="00BA7584"/>
    <w:rsid w:val="00BA7D09"/>
    <w:rsid w:val="00BB0AD3"/>
    <w:rsid w:val="00BB2A45"/>
    <w:rsid w:val="00BB3220"/>
    <w:rsid w:val="00BB3CD7"/>
    <w:rsid w:val="00BB4001"/>
    <w:rsid w:val="00BB439E"/>
    <w:rsid w:val="00BB46F3"/>
    <w:rsid w:val="00BB652E"/>
    <w:rsid w:val="00BB71BE"/>
    <w:rsid w:val="00BC0164"/>
    <w:rsid w:val="00BC040F"/>
    <w:rsid w:val="00BC1037"/>
    <w:rsid w:val="00BC18F1"/>
    <w:rsid w:val="00BC23BA"/>
    <w:rsid w:val="00BC37F1"/>
    <w:rsid w:val="00BC4EF1"/>
    <w:rsid w:val="00BC5A75"/>
    <w:rsid w:val="00BC648C"/>
    <w:rsid w:val="00BC64AC"/>
    <w:rsid w:val="00BC670B"/>
    <w:rsid w:val="00BC6AAE"/>
    <w:rsid w:val="00BC7407"/>
    <w:rsid w:val="00BC7C36"/>
    <w:rsid w:val="00BD1098"/>
    <w:rsid w:val="00BD1359"/>
    <w:rsid w:val="00BD1398"/>
    <w:rsid w:val="00BD156C"/>
    <w:rsid w:val="00BD1B00"/>
    <w:rsid w:val="00BD2A02"/>
    <w:rsid w:val="00BD34C1"/>
    <w:rsid w:val="00BD35F3"/>
    <w:rsid w:val="00BD3D83"/>
    <w:rsid w:val="00BD663C"/>
    <w:rsid w:val="00BD68B9"/>
    <w:rsid w:val="00BD7846"/>
    <w:rsid w:val="00BE0594"/>
    <w:rsid w:val="00BE10D3"/>
    <w:rsid w:val="00BE2BF4"/>
    <w:rsid w:val="00BE36D7"/>
    <w:rsid w:val="00BE3901"/>
    <w:rsid w:val="00BE3AAC"/>
    <w:rsid w:val="00BE3C53"/>
    <w:rsid w:val="00BE47A5"/>
    <w:rsid w:val="00BE4D2E"/>
    <w:rsid w:val="00BE6E87"/>
    <w:rsid w:val="00BF185D"/>
    <w:rsid w:val="00BF1EEB"/>
    <w:rsid w:val="00BF2010"/>
    <w:rsid w:val="00BF239C"/>
    <w:rsid w:val="00BF4E4C"/>
    <w:rsid w:val="00BF5358"/>
    <w:rsid w:val="00BF70BA"/>
    <w:rsid w:val="00BF718B"/>
    <w:rsid w:val="00C0026E"/>
    <w:rsid w:val="00C0066E"/>
    <w:rsid w:val="00C00A3E"/>
    <w:rsid w:val="00C02847"/>
    <w:rsid w:val="00C02FE0"/>
    <w:rsid w:val="00C03701"/>
    <w:rsid w:val="00C03FE2"/>
    <w:rsid w:val="00C04FFA"/>
    <w:rsid w:val="00C05568"/>
    <w:rsid w:val="00C0559E"/>
    <w:rsid w:val="00C06580"/>
    <w:rsid w:val="00C067ED"/>
    <w:rsid w:val="00C06F24"/>
    <w:rsid w:val="00C0795D"/>
    <w:rsid w:val="00C10321"/>
    <w:rsid w:val="00C10E96"/>
    <w:rsid w:val="00C1176C"/>
    <w:rsid w:val="00C11EDE"/>
    <w:rsid w:val="00C12707"/>
    <w:rsid w:val="00C138C8"/>
    <w:rsid w:val="00C13946"/>
    <w:rsid w:val="00C142EC"/>
    <w:rsid w:val="00C14387"/>
    <w:rsid w:val="00C152CF"/>
    <w:rsid w:val="00C15B2A"/>
    <w:rsid w:val="00C15FED"/>
    <w:rsid w:val="00C16856"/>
    <w:rsid w:val="00C16E11"/>
    <w:rsid w:val="00C177A9"/>
    <w:rsid w:val="00C2064A"/>
    <w:rsid w:val="00C20ACF"/>
    <w:rsid w:val="00C21E5B"/>
    <w:rsid w:val="00C2259D"/>
    <w:rsid w:val="00C23A5A"/>
    <w:rsid w:val="00C249C1"/>
    <w:rsid w:val="00C24BBF"/>
    <w:rsid w:val="00C25B8C"/>
    <w:rsid w:val="00C2612E"/>
    <w:rsid w:val="00C2725E"/>
    <w:rsid w:val="00C27445"/>
    <w:rsid w:val="00C27472"/>
    <w:rsid w:val="00C27558"/>
    <w:rsid w:val="00C27841"/>
    <w:rsid w:val="00C305EB"/>
    <w:rsid w:val="00C310C8"/>
    <w:rsid w:val="00C31F98"/>
    <w:rsid w:val="00C32D2B"/>
    <w:rsid w:val="00C32E1D"/>
    <w:rsid w:val="00C3364B"/>
    <w:rsid w:val="00C354F1"/>
    <w:rsid w:val="00C37984"/>
    <w:rsid w:val="00C40A19"/>
    <w:rsid w:val="00C41E70"/>
    <w:rsid w:val="00C4361F"/>
    <w:rsid w:val="00C44939"/>
    <w:rsid w:val="00C44A54"/>
    <w:rsid w:val="00C45308"/>
    <w:rsid w:val="00C45734"/>
    <w:rsid w:val="00C46624"/>
    <w:rsid w:val="00C508B5"/>
    <w:rsid w:val="00C5090E"/>
    <w:rsid w:val="00C50A4A"/>
    <w:rsid w:val="00C50C82"/>
    <w:rsid w:val="00C50EB8"/>
    <w:rsid w:val="00C51C0C"/>
    <w:rsid w:val="00C51ED7"/>
    <w:rsid w:val="00C52F58"/>
    <w:rsid w:val="00C53800"/>
    <w:rsid w:val="00C53FC9"/>
    <w:rsid w:val="00C547CB"/>
    <w:rsid w:val="00C55026"/>
    <w:rsid w:val="00C552B3"/>
    <w:rsid w:val="00C56276"/>
    <w:rsid w:val="00C56E1B"/>
    <w:rsid w:val="00C57AAE"/>
    <w:rsid w:val="00C57F6D"/>
    <w:rsid w:val="00C6270C"/>
    <w:rsid w:val="00C62FB2"/>
    <w:rsid w:val="00C6395B"/>
    <w:rsid w:val="00C63E9F"/>
    <w:rsid w:val="00C64120"/>
    <w:rsid w:val="00C65C7D"/>
    <w:rsid w:val="00C66858"/>
    <w:rsid w:val="00C6685C"/>
    <w:rsid w:val="00C66CFE"/>
    <w:rsid w:val="00C67E7E"/>
    <w:rsid w:val="00C67FD2"/>
    <w:rsid w:val="00C707B0"/>
    <w:rsid w:val="00C7129F"/>
    <w:rsid w:val="00C71840"/>
    <w:rsid w:val="00C71B5B"/>
    <w:rsid w:val="00C736AC"/>
    <w:rsid w:val="00C74100"/>
    <w:rsid w:val="00C74A79"/>
    <w:rsid w:val="00C75389"/>
    <w:rsid w:val="00C760FC"/>
    <w:rsid w:val="00C76E2E"/>
    <w:rsid w:val="00C775EC"/>
    <w:rsid w:val="00C775F5"/>
    <w:rsid w:val="00C8045E"/>
    <w:rsid w:val="00C8155C"/>
    <w:rsid w:val="00C828D1"/>
    <w:rsid w:val="00C82EA8"/>
    <w:rsid w:val="00C82EFA"/>
    <w:rsid w:val="00C83A05"/>
    <w:rsid w:val="00C83AD8"/>
    <w:rsid w:val="00C83AE6"/>
    <w:rsid w:val="00C83DA4"/>
    <w:rsid w:val="00C8595C"/>
    <w:rsid w:val="00C85B1D"/>
    <w:rsid w:val="00C86224"/>
    <w:rsid w:val="00C86991"/>
    <w:rsid w:val="00C872D5"/>
    <w:rsid w:val="00C872FC"/>
    <w:rsid w:val="00C873C5"/>
    <w:rsid w:val="00C874EB"/>
    <w:rsid w:val="00C9065B"/>
    <w:rsid w:val="00C918F5"/>
    <w:rsid w:val="00C9247E"/>
    <w:rsid w:val="00C934CA"/>
    <w:rsid w:val="00C93950"/>
    <w:rsid w:val="00C945F1"/>
    <w:rsid w:val="00C94E03"/>
    <w:rsid w:val="00C96860"/>
    <w:rsid w:val="00C969CA"/>
    <w:rsid w:val="00C96B80"/>
    <w:rsid w:val="00C978B9"/>
    <w:rsid w:val="00C97FA6"/>
    <w:rsid w:val="00CA176C"/>
    <w:rsid w:val="00CA392D"/>
    <w:rsid w:val="00CA3954"/>
    <w:rsid w:val="00CA3AE3"/>
    <w:rsid w:val="00CA44B0"/>
    <w:rsid w:val="00CA50C7"/>
    <w:rsid w:val="00CA528D"/>
    <w:rsid w:val="00CA60E0"/>
    <w:rsid w:val="00CA6D6E"/>
    <w:rsid w:val="00CA6EF9"/>
    <w:rsid w:val="00CB0032"/>
    <w:rsid w:val="00CB00C8"/>
    <w:rsid w:val="00CB00CC"/>
    <w:rsid w:val="00CB085C"/>
    <w:rsid w:val="00CB0F6B"/>
    <w:rsid w:val="00CB1398"/>
    <w:rsid w:val="00CB14FC"/>
    <w:rsid w:val="00CB3005"/>
    <w:rsid w:val="00CB3480"/>
    <w:rsid w:val="00CB3F43"/>
    <w:rsid w:val="00CB5A49"/>
    <w:rsid w:val="00CB70EB"/>
    <w:rsid w:val="00CB7953"/>
    <w:rsid w:val="00CB7EE1"/>
    <w:rsid w:val="00CC05F6"/>
    <w:rsid w:val="00CC0746"/>
    <w:rsid w:val="00CC08F2"/>
    <w:rsid w:val="00CC13EA"/>
    <w:rsid w:val="00CC1647"/>
    <w:rsid w:val="00CC1973"/>
    <w:rsid w:val="00CC1FB0"/>
    <w:rsid w:val="00CC2778"/>
    <w:rsid w:val="00CC3EA3"/>
    <w:rsid w:val="00CC5053"/>
    <w:rsid w:val="00CC5A6A"/>
    <w:rsid w:val="00CC5E8B"/>
    <w:rsid w:val="00CC6004"/>
    <w:rsid w:val="00CC67B0"/>
    <w:rsid w:val="00CC681A"/>
    <w:rsid w:val="00CC6B2A"/>
    <w:rsid w:val="00CD0113"/>
    <w:rsid w:val="00CD134D"/>
    <w:rsid w:val="00CD1E40"/>
    <w:rsid w:val="00CD1F26"/>
    <w:rsid w:val="00CD31B1"/>
    <w:rsid w:val="00CD3D53"/>
    <w:rsid w:val="00CD400C"/>
    <w:rsid w:val="00CD408A"/>
    <w:rsid w:val="00CD4C1A"/>
    <w:rsid w:val="00CD5262"/>
    <w:rsid w:val="00CD54A9"/>
    <w:rsid w:val="00CD6150"/>
    <w:rsid w:val="00CD69F4"/>
    <w:rsid w:val="00CD6ADE"/>
    <w:rsid w:val="00CD7099"/>
    <w:rsid w:val="00CD71B1"/>
    <w:rsid w:val="00CE15E9"/>
    <w:rsid w:val="00CE1605"/>
    <w:rsid w:val="00CE18B0"/>
    <w:rsid w:val="00CE199C"/>
    <w:rsid w:val="00CE1EC6"/>
    <w:rsid w:val="00CE29EB"/>
    <w:rsid w:val="00CE2AEC"/>
    <w:rsid w:val="00CE35CC"/>
    <w:rsid w:val="00CE409B"/>
    <w:rsid w:val="00CE4258"/>
    <w:rsid w:val="00CE502E"/>
    <w:rsid w:val="00CE5224"/>
    <w:rsid w:val="00CE5D59"/>
    <w:rsid w:val="00CE5DED"/>
    <w:rsid w:val="00CE6750"/>
    <w:rsid w:val="00CE6F3E"/>
    <w:rsid w:val="00CF08DD"/>
    <w:rsid w:val="00CF0F87"/>
    <w:rsid w:val="00CF1289"/>
    <w:rsid w:val="00CF1437"/>
    <w:rsid w:val="00CF1679"/>
    <w:rsid w:val="00CF33DE"/>
    <w:rsid w:val="00CF3CAE"/>
    <w:rsid w:val="00CF3EC5"/>
    <w:rsid w:val="00CF4AD6"/>
    <w:rsid w:val="00CF4D35"/>
    <w:rsid w:val="00CF557F"/>
    <w:rsid w:val="00CF621D"/>
    <w:rsid w:val="00CF7668"/>
    <w:rsid w:val="00D01B17"/>
    <w:rsid w:val="00D0274B"/>
    <w:rsid w:val="00D0338F"/>
    <w:rsid w:val="00D0392E"/>
    <w:rsid w:val="00D04FAB"/>
    <w:rsid w:val="00D06EAE"/>
    <w:rsid w:val="00D07C84"/>
    <w:rsid w:val="00D10012"/>
    <w:rsid w:val="00D10204"/>
    <w:rsid w:val="00D10C05"/>
    <w:rsid w:val="00D10F33"/>
    <w:rsid w:val="00D12265"/>
    <w:rsid w:val="00D12660"/>
    <w:rsid w:val="00D12B0A"/>
    <w:rsid w:val="00D12E3D"/>
    <w:rsid w:val="00D13B48"/>
    <w:rsid w:val="00D13BC2"/>
    <w:rsid w:val="00D143C1"/>
    <w:rsid w:val="00D15AFC"/>
    <w:rsid w:val="00D15B0B"/>
    <w:rsid w:val="00D167C0"/>
    <w:rsid w:val="00D16ADC"/>
    <w:rsid w:val="00D16BEA"/>
    <w:rsid w:val="00D173F2"/>
    <w:rsid w:val="00D17711"/>
    <w:rsid w:val="00D17AD4"/>
    <w:rsid w:val="00D205BC"/>
    <w:rsid w:val="00D21AE3"/>
    <w:rsid w:val="00D229BF"/>
    <w:rsid w:val="00D23CCA"/>
    <w:rsid w:val="00D244BA"/>
    <w:rsid w:val="00D260FD"/>
    <w:rsid w:val="00D261E9"/>
    <w:rsid w:val="00D26692"/>
    <w:rsid w:val="00D26918"/>
    <w:rsid w:val="00D26986"/>
    <w:rsid w:val="00D27874"/>
    <w:rsid w:val="00D3096F"/>
    <w:rsid w:val="00D30D50"/>
    <w:rsid w:val="00D32400"/>
    <w:rsid w:val="00D32745"/>
    <w:rsid w:val="00D32A5F"/>
    <w:rsid w:val="00D336A9"/>
    <w:rsid w:val="00D33A07"/>
    <w:rsid w:val="00D33AF2"/>
    <w:rsid w:val="00D34669"/>
    <w:rsid w:val="00D400B8"/>
    <w:rsid w:val="00D41348"/>
    <w:rsid w:val="00D41E00"/>
    <w:rsid w:val="00D436C0"/>
    <w:rsid w:val="00D43F5C"/>
    <w:rsid w:val="00D4537D"/>
    <w:rsid w:val="00D4574B"/>
    <w:rsid w:val="00D45932"/>
    <w:rsid w:val="00D45BC1"/>
    <w:rsid w:val="00D46779"/>
    <w:rsid w:val="00D47216"/>
    <w:rsid w:val="00D511BC"/>
    <w:rsid w:val="00D51677"/>
    <w:rsid w:val="00D52117"/>
    <w:rsid w:val="00D524D6"/>
    <w:rsid w:val="00D53906"/>
    <w:rsid w:val="00D53AA4"/>
    <w:rsid w:val="00D54828"/>
    <w:rsid w:val="00D552CE"/>
    <w:rsid w:val="00D555A8"/>
    <w:rsid w:val="00D5592B"/>
    <w:rsid w:val="00D5597E"/>
    <w:rsid w:val="00D56CF2"/>
    <w:rsid w:val="00D6066D"/>
    <w:rsid w:val="00D607DD"/>
    <w:rsid w:val="00D616FB"/>
    <w:rsid w:val="00D61F9F"/>
    <w:rsid w:val="00D643DF"/>
    <w:rsid w:val="00D66384"/>
    <w:rsid w:val="00D714DC"/>
    <w:rsid w:val="00D7156E"/>
    <w:rsid w:val="00D716B0"/>
    <w:rsid w:val="00D72687"/>
    <w:rsid w:val="00D7273F"/>
    <w:rsid w:val="00D72AF0"/>
    <w:rsid w:val="00D7346B"/>
    <w:rsid w:val="00D73B5E"/>
    <w:rsid w:val="00D73B70"/>
    <w:rsid w:val="00D73D47"/>
    <w:rsid w:val="00D740D3"/>
    <w:rsid w:val="00D75AA2"/>
    <w:rsid w:val="00D75D0C"/>
    <w:rsid w:val="00D76BCB"/>
    <w:rsid w:val="00D77005"/>
    <w:rsid w:val="00D80508"/>
    <w:rsid w:val="00D81F36"/>
    <w:rsid w:val="00D822F0"/>
    <w:rsid w:val="00D83CB4"/>
    <w:rsid w:val="00D84302"/>
    <w:rsid w:val="00D84860"/>
    <w:rsid w:val="00D86207"/>
    <w:rsid w:val="00D91B87"/>
    <w:rsid w:val="00D929DD"/>
    <w:rsid w:val="00D9300C"/>
    <w:rsid w:val="00D93128"/>
    <w:rsid w:val="00D93D32"/>
    <w:rsid w:val="00D946AC"/>
    <w:rsid w:val="00D94EB1"/>
    <w:rsid w:val="00D95020"/>
    <w:rsid w:val="00D967FD"/>
    <w:rsid w:val="00D96ED9"/>
    <w:rsid w:val="00D975F8"/>
    <w:rsid w:val="00DA0E54"/>
    <w:rsid w:val="00DA1B7F"/>
    <w:rsid w:val="00DA39A0"/>
    <w:rsid w:val="00DA3F4B"/>
    <w:rsid w:val="00DA5666"/>
    <w:rsid w:val="00DA6590"/>
    <w:rsid w:val="00DA6A99"/>
    <w:rsid w:val="00DA6BBD"/>
    <w:rsid w:val="00DA77AC"/>
    <w:rsid w:val="00DA7A84"/>
    <w:rsid w:val="00DB048A"/>
    <w:rsid w:val="00DB0696"/>
    <w:rsid w:val="00DB0BDA"/>
    <w:rsid w:val="00DB3DA2"/>
    <w:rsid w:val="00DB4F1D"/>
    <w:rsid w:val="00DB584E"/>
    <w:rsid w:val="00DB5E8A"/>
    <w:rsid w:val="00DB6390"/>
    <w:rsid w:val="00DB78F9"/>
    <w:rsid w:val="00DC064F"/>
    <w:rsid w:val="00DC0FAA"/>
    <w:rsid w:val="00DC10CC"/>
    <w:rsid w:val="00DC1813"/>
    <w:rsid w:val="00DC1D32"/>
    <w:rsid w:val="00DC1D61"/>
    <w:rsid w:val="00DC3097"/>
    <w:rsid w:val="00DC5120"/>
    <w:rsid w:val="00DC53EC"/>
    <w:rsid w:val="00DC54BE"/>
    <w:rsid w:val="00DC625E"/>
    <w:rsid w:val="00DC6304"/>
    <w:rsid w:val="00DC69B5"/>
    <w:rsid w:val="00DD0AA5"/>
    <w:rsid w:val="00DD1188"/>
    <w:rsid w:val="00DD128F"/>
    <w:rsid w:val="00DD1734"/>
    <w:rsid w:val="00DD1B40"/>
    <w:rsid w:val="00DD1F4A"/>
    <w:rsid w:val="00DD2A46"/>
    <w:rsid w:val="00DD2E89"/>
    <w:rsid w:val="00DD34A2"/>
    <w:rsid w:val="00DD3CAC"/>
    <w:rsid w:val="00DD4EC8"/>
    <w:rsid w:val="00DD6138"/>
    <w:rsid w:val="00DD6174"/>
    <w:rsid w:val="00DD6B4D"/>
    <w:rsid w:val="00DD7060"/>
    <w:rsid w:val="00DD737B"/>
    <w:rsid w:val="00DE0C83"/>
    <w:rsid w:val="00DE0D5D"/>
    <w:rsid w:val="00DE1344"/>
    <w:rsid w:val="00DE1418"/>
    <w:rsid w:val="00DE142F"/>
    <w:rsid w:val="00DE16D5"/>
    <w:rsid w:val="00DE1B57"/>
    <w:rsid w:val="00DE2342"/>
    <w:rsid w:val="00DE2C38"/>
    <w:rsid w:val="00DE4586"/>
    <w:rsid w:val="00DE463C"/>
    <w:rsid w:val="00DE4B1F"/>
    <w:rsid w:val="00DE70CE"/>
    <w:rsid w:val="00DE7589"/>
    <w:rsid w:val="00DF03E2"/>
    <w:rsid w:val="00DF3814"/>
    <w:rsid w:val="00DF39EA"/>
    <w:rsid w:val="00DF3A0B"/>
    <w:rsid w:val="00DF60CD"/>
    <w:rsid w:val="00DF6D5B"/>
    <w:rsid w:val="00DF742B"/>
    <w:rsid w:val="00E00E4A"/>
    <w:rsid w:val="00E021FA"/>
    <w:rsid w:val="00E029A5"/>
    <w:rsid w:val="00E032B9"/>
    <w:rsid w:val="00E0375F"/>
    <w:rsid w:val="00E03C6A"/>
    <w:rsid w:val="00E05D2C"/>
    <w:rsid w:val="00E0645B"/>
    <w:rsid w:val="00E06AEF"/>
    <w:rsid w:val="00E06FAF"/>
    <w:rsid w:val="00E070B8"/>
    <w:rsid w:val="00E074B5"/>
    <w:rsid w:val="00E10B98"/>
    <w:rsid w:val="00E11820"/>
    <w:rsid w:val="00E123AD"/>
    <w:rsid w:val="00E12C0E"/>
    <w:rsid w:val="00E12E76"/>
    <w:rsid w:val="00E12E9F"/>
    <w:rsid w:val="00E133F8"/>
    <w:rsid w:val="00E1364A"/>
    <w:rsid w:val="00E14CF1"/>
    <w:rsid w:val="00E14EF3"/>
    <w:rsid w:val="00E1579A"/>
    <w:rsid w:val="00E161BF"/>
    <w:rsid w:val="00E16325"/>
    <w:rsid w:val="00E163E8"/>
    <w:rsid w:val="00E16AD9"/>
    <w:rsid w:val="00E207EC"/>
    <w:rsid w:val="00E21AB5"/>
    <w:rsid w:val="00E21B21"/>
    <w:rsid w:val="00E2216B"/>
    <w:rsid w:val="00E221C4"/>
    <w:rsid w:val="00E22510"/>
    <w:rsid w:val="00E231E6"/>
    <w:rsid w:val="00E23C67"/>
    <w:rsid w:val="00E23D98"/>
    <w:rsid w:val="00E24AAA"/>
    <w:rsid w:val="00E26509"/>
    <w:rsid w:val="00E267AB"/>
    <w:rsid w:val="00E27422"/>
    <w:rsid w:val="00E30B02"/>
    <w:rsid w:val="00E320DA"/>
    <w:rsid w:val="00E329F9"/>
    <w:rsid w:val="00E32CB4"/>
    <w:rsid w:val="00E32D72"/>
    <w:rsid w:val="00E3367D"/>
    <w:rsid w:val="00E33F21"/>
    <w:rsid w:val="00E34486"/>
    <w:rsid w:val="00E348CF"/>
    <w:rsid w:val="00E35A65"/>
    <w:rsid w:val="00E365A9"/>
    <w:rsid w:val="00E37188"/>
    <w:rsid w:val="00E374A2"/>
    <w:rsid w:val="00E4031A"/>
    <w:rsid w:val="00E42160"/>
    <w:rsid w:val="00E4232F"/>
    <w:rsid w:val="00E42C75"/>
    <w:rsid w:val="00E4374F"/>
    <w:rsid w:val="00E43FB1"/>
    <w:rsid w:val="00E4435C"/>
    <w:rsid w:val="00E46C3E"/>
    <w:rsid w:val="00E47D86"/>
    <w:rsid w:val="00E507EB"/>
    <w:rsid w:val="00E514FD"/>
    <w:rsid w:val="00E516B4"/>
    <w:rsid w:val="00E517F9"/>
    <w:rsid w:val="00E540DC"/>
    <w:rsid w:val="00E55465"/>
    <w:rsid w:val="00E569FC"/>
    <w:rsid w:val="00E56BC6"/>
    <w:rsid w:val="00E57A69"/>
    <w:rsid w:val="00E6009D"/>
    <w:rsid w:val="00E6022C"/>
    <w:rsid w:val="00E60238"/>
    <w:rsid w:val="00E629F7"/>
    <w:rsid w:val="00E63548"/>
    <w:rsid w:val="00E644AE"/>
    <w:rsid w:val="00E64B3A"/>
    <w:rsid w:val="00E65D07"/>
    <w:rsid w:val="00E66DBF"/>
    <w:rsid w:val="00E709A3"/>
    <w:rsid w:val="00E70E46"/>
    <w:rsid w:val="00E716AB"/>
    <w:rsid w:val="00E71AEF"/>
    <w:rsid w:val="00E724BC"/>
    <w:rsid w:val="00E725CC"/>
    <w:rsid w:val="00E72EF4"/>
    <w:rsid w:val="00E73416"/>
    <w:rsid w:val="00E756F7"/>
    <w:rsid w:val="00E84145"/>
    <w:rsid w:val="00E85B4B"/>
    <w:rsid w:val="00E865CC"/>
    <w:rsid w:val="00E86879"/>
    <w:rsid w:val="00E87A3A"/>
    <w:rsid w:val="00E90430"/>
    <w:rsid w:val="00E907A4"/>
    <w:rsid w:val="00E90C88"/>
    <w:rsid w:val="00E90DA9"/>
    <w:rsid w:val="00E90DC3"/>
    <w:rsid w:val="00E9106B"/>
    <w:rsid w:val="00E91A27"/>
    <w:rsid w:val="00E927CD"/>
    <w:rsid w:val="00E92915"/>
    <w:rsid w:val="00E945E8"/>
    <w:rsid w:val="00E95081"/>
    <w:rsid w:val="00E951A9"/>
    <w:rsid w:val="00E95ABD"/>
    <w:rsid w:val="00E95FFA"/>
    <w:rsid w:val="00E960D9"/>
    <w:rsid w:val="00E962DE"/>
    <w:rsid w:val="00E96563"/>
    <w:rsid w:val="00E965DE"/>
    <w:rsid w:val="00E97FB8"/>
    <w:rsid w:val="00EA01B2"/>
    <w:rsid w:val="00EA0348"/>
    <w:rsid w:val="00EA0880"/>
    <w:rsid w:val="00EA0D13"/>
    <w:rsid w:val="00EA0FC2"/>
    <w:rsid w:val="00EA1473"/>
    <w:rsid w:val="00EA14B0"/>
    <w:rsid w:val="00EA2189"/>
    <w:rsid w:val="00EA25A5"/>
    <w:rsid w:val="00EA2A57"/>
    <w:rsid w:val="00EA30E1"/>
    <w:rsid w:val="00EA4554"/>
    <w:rsid w:val="00EA4892"/>
    <w:rsid w:val="00EB1550"/>
    <w:rsid w:val="00EB16FB"/>
    <w:rsid w:val="00EB407C"/>
    <w:rsid w:val="00EB414E"/>
    <w:rsid w:val="00EB6A94"/>
    <w:rsid w:val="00EB7257"/>
    <w:rsid w:val="00EC12FE"/>
    <w:rsid w:val="00EC15AB"/>
    <w:rsid w:val="00EC19BE"/>
    <w:rsid w:val="00EC208E"/>
    <w:rsid w:val="00EC292D"/>
    <w:rsid w:val="00EC37B3"/>
    <w:rsid w:val="00EC3EE9"/>
    <w:rsid w:val="00EC3FEF"/>
    <w:rsid w:val="00EC4D9B"/>
    <w:rsid w:val="00EC4F72"/>
    <w:rsid w:val="00EC58E3"/>
    <w:rsid w:val="00EC5B19"/>
    <w:rsid w:val="00EC6532"/>
    <w:rsid w:val="00EC6825"/>
    <w:rsid w:val="00EC6EB4"/>
    <w:rsid w:val="00EC6F70"/>
    <w:rsid w:val="00EC7305"/>
    <w:rsid w:val="00EC747A"/>
    <w:rsid w:val="00EC7BE7"/>
    <w:rsid w:val="00ED016A"/>
    <w:rsid w:val="00ED0877"/>
    <w:rsid w:val="00ED1546"/>
    <w:rsid w:val="00ED1638"/>
    <w:rsid w:val="00ED1B57"/>
    <w:rsid w:val="00ED33D0"/>
    <w:rsid w:val="00ED3F4F"/>
    <w:rsid w:val="00ED46A4"/>
    <w:rsid w:val="00ED4BA5"/>
    <w:rsid w:val="00ED4C5E"/>
    <w:rsid w:val="00ED52FD"/>
    <w:rsid w:val="00ED53AA"/>
    <w:rsid w:val="00ED59B5"/>
    <w:rsid w:val="00ED6F61"/>
    <w:rsid w:val="00EE0395"/>
    <w:rsid w:val="00EE1508"/>
    <w:rsid w:val="00EE1CE0"/>
    <w:rsid w:val="00EE1EB5"/>
    <w:rsid w:val="00EE3F16"/>
    <w:rsid w:val="00EE3F21"/>
    <w:rsid w:val="00EE41B0"/>
    <w:rsid w:val="00EE439D"/>
    <w:rsid w:val="00EE453A"/>
    <w:rsid w:val="00EE4FA1"/>
    <w:rsid w:val="00EE628F"/>
    <w:rsid w:val="00EE7173"/>
    <w:rsid w:val="00EE7517"/>
    <w:rsid w:val="00EE757B"/>
    <w:rsid w:val="00EF0017"/>
    <w:rsid w:val="00EF0C48"/>
    <w:rsid w:val="00EF206B"/>
    <w:rsid w:val="00EF22D9"/>
    <w:rsid w:val="00EF2B25"/>
    <w:rsid w:val="00EF317A"/>
    <w:rsid w:val="00EF3401"/>
    <w:rsid w:val="00EF3791"/>
    <w:rsid w:val="00EF3959"/>
    <w:rsid w:val="00EF47D2"/>
    <w:rsid w:val="00EF4A4D"/>
    <w:rsid w:val="00EF4B53"/>
    <w:rsid w:val="00F00830"/>
    <w:rsid w:val="00F00A58"/>
    <w:rsid w:val="00F00E5F"/>
    <w:rsid w:val="00F02A9B"/>
    <w:rsid w:val="00F0325F"/>
    <w:rsid w:val="00F0329F"/>
    <w:rsid w:val="00F04660"/>
    <w:rsid w:val="00F046A6"/>
    <w:rsid w:val="00F04F31"/>
    <w:rsid w:val="00F05A0C"/>
    <w:rsid w:val="00F05BA9"/>
    <w:rsid w:val="00F05ED4"/>
    <w:rsid w:val="00F06028"/>
    <w:rsid w:val="00F077C7"/>
    <w:rsid w:val="00F07B3E"/>
    <w:rsid w:val="00F102DC"/>
    <w:rsid w:val="00F104A3"/>
    <w:rsid w:val="00F10857"/>
    <w:rsid w:val="00F115D2"/>
    <w:rsid w:val="00F1228D"/>
    <w:rsid w:val="00F12727"/>
    <w:rsid w:val="00F136E4"/>
    <w:rsid w:val="00F14414"/>
    <w:rsid w:val="00F14F01"/>
    <w:rsid w:val="00F16037"/>
    <w:rsid w:val="00F16240"/>
    <w:rsid w:val="00F20108"/>
    <w:rsid w:val="00F20BE0"/>
    <w:rsid w:val="00F20E49"/>
    <w:rsid w:val="00F24479"/>
    <w:rsid w:val="00F24735"/>
    <w:rsid w:val="00F2641E"/>
    <w:rsid w:val="00F2646D"/>
    <w:rsid w:val="00F266A9"/>
    <w:rsid w:val="00F2727D"/>
    <w:rsid w:val="00F278FF"/>
    <w:rsid w:val="00F27AF4"/>
    <w:rsid w:val="00F30254"/>
    <w:rsid w:val="00F302A1"/>
    <w:rsid w:val="00F303D6"/>
    <w:rsid w:val="00F30770"/>
    <w:rsid w:val="00F30A22"/>
    <w:rsid w:val="00F310F8"/>
    <w:rsid w:val="00F31598"/>
    <w:rsid w:val="00F31646"/>
    <w:rsid w:val="00F323FA"/>
    <w:rsid w:val="00F32ECD"/>
    <w:rsid w:val="00F3389A"/>
    <w:rsid w:val="00F33A0F"/>
    <w:rsid w:val="00F33D0D"/>
    <w:rsid w:val="00F348E7"/>
    <w:rsid w:val="00F353E7"/>
    <w:rsid w:val="00F3558A"/>
    <w:rsid w:val="00F35D72"/>
    <w:rsid w:val="00F3641C"/>
    <w:rsid w:val="00F37ECB"/>
    <w:rsid w:val="00F40988"/>
    <w:rsid w:val="00F4148F"/>
    <w:rsid w:val="00F425A8"/>
    <w:rsid w:val="00F42899"/>
    <w:rsid w:val="00F43091"/>
    <w:rsid w:val="00F4318B"/>
    <w:rsid w:val="00F43999"/>
    <w:rsid w:val="00F4601D"/>
    <w:rsid w:val="00F466FE"/>
    <w:rsid w:val="00F46F2B"/>
    <w:rsid w:val="00F4772F"/>
    <w:rsid w:val="00F5125D"/>
    <w:rsid w:val="00F531A2"/>
    <w:rsid w:val="00F5393B"/>
    <w:rsid w:val="00F53A43"/>
    <w:rsid w:val="00F53DF8"/>
    <w:rsid w:val="00F5423A"/>
    <w:rsid w:val="00F557F5"/>
    <w:rsid w:val="00F5673E"/>
    <w:rsid w:val="00F56F9B"/>
    <w:rsid w:val="00F60C53"/>
    <w:rsid w:val="00F60EB8"/>
    <w:rsid w:val="00F6181A"/>
    <w:rsid w:val="00F619CA"/>
    <w:rsid w:val="00F620A1"/>
    <w:rsid w:val="00F6211A"/>
    <w:rsid w:val="00F62360"/>
    <w:rsid w:val="00F627E5"/>
    <w:rsid w:val="00F62B45"/>
    <w:rsid w:val="00F62F80"/>
    <w:rsid w:val="00F6331D"/>
    <w:rsid w:val="00F635F8"/>
    <w:rsid w:val="00F63AF6"/>
    <w:rsid w:val="00F64E71"/>
    <w:rsid w:val="00F6782A"/>
    <w:rsid w:val="00F67B8F"/>
    <w:rsid w:val="00F67C6C"/>
    <w:rsid w:val="00F704CC"/>
    <w:rsid w:val="00F7151E"/>
    <w:rsid w:val="00F715FD"/>
    <w:rsid w:val="00F738B0"/>
    <w:rsid w:val="00F75661"/>
    <w:rsid w:val="00F75F47"/>
    <w:rsid w:val="00F77412"/>
    <w:rsid w:val="00F77471"/>
    <w:rsid w:val="00F81001"/>
    <w:rsid w:val="00F81E79"/>
    <w:rsid w:val="00F827B1"/>
    <w:rsid w:val="00F8321D"/>
    <w:rsid w:val="00F833C1"/>
    <w:rsid w:val="00F85CB5"/>
    <w:rsid w:val="00F8635B"/>
    <w:rsid w:val="00F863B2"/>
    <w:rsid w:val="00F87565"/>
    <w:rsid w:val="00F875CA"/>
    <w:rsid w:val="00F875EC"/>
    <w:rsid w:val="00F878A0"/>
    <w:rsid w:val="00F90415"/>
    <w:rsid w:val="00F9094D"/>
    <w:rsid w:val="00F91802"/>
    <w:rsid w:val="00F91F31"/>
    <w:rsid w:val="00F921A4"/>
    <w:rsid w:val="00F92BB6"/>
    <w:rsid w:val="00F93609"/>
    <w:rsid w:val="00F95565"/>
    <w:rsid w:val="00FA020F"/>
    <w:rsid w:val="00FA03E6"/>
    <w:rsid w:val="00FA048F"/>
    <w:rsid w:val="00FA05A3"/>
    <w:rsid w:val="00FA1182"/>
    <w:rsid w:val="00FA21CE"/>
    <w:rsid w:val="00FA244C"/>
    <w:rsid w:val="00FA249B"/>
    <w:rsid w:val="00FA3E62"/>
    <w:rsid w:val="00FA46A4"/>
    <w:rsid w:val="00FA4ED2"/>
    <w:rsid w:val="00FA4FA4"/>
    <w:rsid w:val="00FA5C6D"/>
    <w:rsid w:val="00FA707F"/>
    <w:rsid w:val="00FA7330"/>
    <w:rsid w:val="00FB2CFD"/>
    <w:rsid w:val="00FB3A6B"/>
    <w:rsid w:val="00FB3E1F"/>
    <w:rsid w:val="00FB3EA5"/>
    <w:rsid w:val="00FB5573"/>
    <w:rsid w:val="00FB56E4"/>
    <w:rsid w:val="00FB63E5"/>
    <w:rsid w:val="00FB74DE"/>
    <w:rsid w:val="00FB76F2"/>
    <w:rsid w:val="00FC00AC"/>
    <w:rsid w:val="00FC030B"/>
    <w:rsid w:val="00FC16D2"/>
    <w:rsid w:val="00FC1E17"/>
    <w:rsid w:val="00FC2CFF"/>
    <w:rsid w:val="00FC3AF5"/>
    <w:rsid w:val="00FC3BFA"/>
    <w:rsid w:val="00FC5A79"/>
    <w:rsid w:val="00FC5FFF"/>
    <w:rsid w:val="00FC6C02"/>
    <w:rsid w:val="00FC71E7"/>
    <w:rsid w:val="00FC7636"/>
    <w:rsid w:val="00FC7725"/>
    <w:rsid w:val="00FC7B91"/>
    <w:rsid w:val="00FD0538"/>
    <w:rsid w:val="00FD06C3"/>
    <w:rsid w:val="00FD0D84"/>
    <w:rsid w:val="00FD0D8F"/>
    <w:rsid w:val="00FD0F57"/>
    <w:rsid w:val="00FD1352"/>
    <w:rsid w:val="00FD2B1C"/>
    <w:rsid w:val="00FD476C"/>
    <w:rsid w:val="00FD47EF"/>
    <w:rsid w:val="00FD4BD1"/>
    <w:rsid w:val="00FD55AC"/>
    <w:rsid w:val="00FD6975"/>
    <w:rsid w:val="00FD7719"/>
    <w:rsid w:val="00FD796A"/>
    <w:rsid w:val="00FE1DFF"/>
    <w:rsid w:val="00FE226D"/>
    <w:rsid w:val="00FE22A5"/>
    <w:rsid w:val="00FE293E"/>
    <w:rsid w:val="00FE2AB1"/>
    <w:rsid w:val="00FE354D"/>
    <w:rsid w:val="00FE4B28"/>
    <w:rsid w:val="00FE56C3"/>
    <w:rsid w:val="00FE58AA"/>
    <w:rsid w:val="00FE6545"/>
    <w:rsid w:val="00FF0703"/>
    <w:rsid w:val="00FF0ACC"/>
    <w:rsid w:val="00FF0B8B"/>
    <w:rsid w:val="00FF12C1"/>
    <w:rsid w:val="00FF2333"/>
    <w:rsid w:val="00FF271B"/>
    <w:rsid w:val="00FF35AA"/>
    <w:rsid w:val="00FF3684"/>
    <w:rsid w:val="00FF449C"/>
    <w:rsid w:val="00FF645C"/>
    <w:rsid w:val="00FF68D9"/>
    <w:rsid w:val="00FF7204"/>
    <w:rsid w:val="00FF79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699176D-299C-489F-B8B2-92D1AD9E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F4A"/>
    <w:pPr>
      <w:spacing w:line="288" w:lineRule="auto"/>
      <w:jc w:val="both"/>
    </w:pPr>
    <w:rPr>
      <w:rFonts w:ascii="Georgia" w:hAnsi="Georgia"/>
      <w:sz w:val="22"/>
      <w:szCs w:val="24"/>
      <w:lang w:val="sq-AL"/>
    </w:rPr>
  </w:style>
  <w:style w:type="paragraph" w:styleId="Heading1">
    <w:name w:val="heading 1"/>
    <w:basedOn w:val="Normal"/>
    <w:next w:val="Normal"/>
    <w:link w:val="Heading1Char"/>
    <w:qFormat/>
    <w:rsid w:val="00CB7EE1"/>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CB7EE1"/>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CB7EE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EE1"/>
    <w:pPr>
      <w:spacing w:before="240" w:after="60"/>
      <w:jc w:val="center"/>
      <w:outlineLvl w:val="0"/>
    </w:pPr>
    <w:rPr>
      <w:rFonts w:cs="Arial"/>
      <w:b/>
      <w:bCs/>
      <w:kern w:val="28"/>
      <w:sz w:val="32"/>
      <w:szCs w:val="32"/>
    </w:rPr>
  </w:style>
  <w:style w:type="paragraph" w:styleId="Header">
    <w:name w:val="header"/>
    <w:basedOn w:val="Normal"/>
    <w:link w:val="HeaderChar"/>
    <w:uiPriority w:val="99"/>
    <w:rsid w:val="002E4083"/>
    <w:pPr>
      <w:tabs>
        <w:tab w:val="center" w:pos="4320"/>
        <w:tab w:val="right" w:pos="8640"/>
      </w:tabs>
      <w:spacing w:line="240" w:lineRule="auto"/>
    </w:pPr>
    <w:rPr>
      <w:lang w:val="en-US"/>
    </w:rPr>
  </w:style>
  <w:style w:type="paragraph" w:styleId="Footer">
    <w:name w:val="footer"/>
    <w:basedOn w:val="Normal"/>
    <w:link w:val="FooterChar"/>
    <w:uiPriority w:val="99"/>
    <w:rsid w:val="002E4083"/>
    <w:pPr>
      <w:tabs>
        <w:tab w:val="center" w:pos="4320"/>
        <w:tab w:val="right" w:pos="8640"/>
      </w:tabs>
      <w:spacing w:line="240" w:lineRule="auto"/>
    </w:pPr>
    <w:rPr>
      <w:sz w:val="20"/>
      <w:lang w:val="en-US"/>
    </w:rPr>
  </w:style>
  <w:style w:type="character" w:customStyle="1" w:styleId="HeaderChar">
    <w:name w:val="Header Char"/>
    <w:link w:val="Header"/>
    <w:uiPriority w:val="99"/>
    <w:locked/>
    <w:rsid w:val="002E4083"/>
    <w:rPr>
      <w:rFonts w:ascii="Georgia" w:hAnsi="Georgia"/>
      <w:sz w:val="22"/>
      <w:szCs w:val="24"/>
      <w:lang w:val="en-US" w:eastAsia="en-US" w:bidi="ar-SA"/>
    </w:rPr>
  </w:style>
  <w:style w:type="character" w:customStyle="1" w:styleId="FooterChar">
    <w:name w:val="Footer Char"/>
    <w:link w:val="Footer"/>
    <w:uiPriority w:val="99"/>
    <w:locked/>
    <w:rsid w:val="002E4083"/>
    <w:rPr>
      <w:rFonts w:ascii="Georgia" w:hAnsi="Georgia"/>
      <w:szCs w:val="24"/>
      <w:lang w:val="en-US" w:eastAsia="en-US" w:bidi="ar-SA"/>
    </w:rPr>
  </w:style>
  <w:style w:type="character" w:styleId="PageNumber">
    <w:name w:val="page number"/>
    <w:basedOn w:val="DefaultParagraphFont"/>
    <w:rsid w:val="002E4083"/>
  </w:style>
  <w:style w:type="character" w:styleId="Hyperlink">
    <w:name w:val="Hyperlink"/>
    <w:uiPriority w:val="99"/>
    <w:rsid w:val="00A848EF"/>
    <w:rPr>
      <w:color w:val="0000FF"/>
      <w:u w:val="single"/>
    </w:rPr>
  </w:style>
  <w:style w:type="paragraph" w:styleId="ListParagraph">
    <w:name w:val="List Paragraph"/>
    <w:basedOn w:val="Normal"/>
    <w:link w:val="ListParagraphChar"/>
    <w:uiPriority w:val="34"/>
    <w:qFormat/>
    <w:rsid w:val="00791037"/>
    <w:pPr>
      <w:ind w:left="720"/>
    </w:pPr>
  </w:style>
  <w:style w:type="paragraph" w:styleId="BalloonText">
    <w:name w:val="Balloon Text"/>
    <w:basedOn w:val="Normal"/>
    <w:link w:val="BalloonTextChar"/>
    <w:uiPriority w:val="99"/>
    <w:rsid w:val="007D3256"/>
    <w:pPr>
      <w:spacing w:line="240" w:lineRule="auto"/>
    </w:pPr>
    <w:rPr>
      <w:rFonts w:ascii="Tahoma" w:hAnsi="Tahoma"/>
      <w:sz w:val="16"/>
      <w:szCs w:val="16"/>
    </w:rPr>
  </w:style>
  <w:style w:type="character" w:customStyle="1" w:styleId="BalloonTextChar">
    <w:name w:val="Balloon Text Char"/>
    <w:link w:val="BalloonText"/>
    <w:uiPriority w:val="99"/>
    <w:rsid w:val="007D3256"/>
    <w:rPr>
      <w:rFonts w:ascii="Tahoma" w:hAnsi="Tahoma" w:cs="Tahoma"/>
      <w:sz w:val="16"/>
      <w:szCs w:val="16"/>
      <w:lang w:val="sq-AL"/>
    </w:rPr>
  </w:style>
  <w:style w:type="character" w:styleId="CommentReference">
    <w:name w:val="annotation reference"/>
    <w:uiPriority w:val="99"/>
    <w:rsid w:val="00CE6750"/>
    <w:rPr>
      <w:sz w:val="16"/>
      <w:szCs w:val="16"/>
    </w:rPr>
  </w:style>
  <w:style w:type="paragraph" w:styleId="CommentText">
    <w:name w:val="annotation text"/>
    <w:basedOn w:val="Normal"/>
    <w:link w:val="CommentTextChar"/>
    <w:rsid w:val="00CE6750"/>
    <w:rPr>
      <w:sz w:val="20"/>
      <w:szCs w:val="20"/>
    </w:rPr>
  </w:style>
  <w:style w:type="character" w:customStyle="1" w:styleId="CommentTextChar">
    <w:name w:val="Comment Text Char"/>
    <w:link w:val="CommentText"/>
    <w:rsid w:val="00CE6750"/>
    <w:rPr>
      <w:rFonts w:ascii="Georgia" w:hAnsi="Georgia"/>
      <w:lang w:val="sq-AL"/>
    </w:rPr>
  </w:style>
  <w:style w:type="paragraph" w:styleId="CommentSubject">
    <w:name w:val="annotation subject"/>
    <w:basedOn w:val="CommentText"/>
    <w:next w:val="CommentText"/>
    <w:link w:val="CommentSubjectChar"/>
    <w:uiPriority w:val="99"/>
    <w:rsid w:val="00CE6750"/>
    <w:rPr>
      <w:b/>
      <w:bCs/>
    </w:rPr>
  </w:style>
  <w:style w:type="character" w:customStyle="1" w:styleId="CommentSubjectChar">
    <w:name w:val="Comment Subject Char"/>
    <w:link w:val="CommentSubject"/>
    <w:uiPriority w:val="99"/>
    <w:rsid w:val="00CE6750"/>
    <w:rPr>
      <w:rFonts w:ascii="Georgia" w:hAnsi="Georgia"/>
      <w:b/>
      <w:bCs/>
      <w:lang w:val="sq-AL"/>
    </w:rPr>
  </w:style>
  <w:style w:type="character" w:customStyle="1" w:styleId="ListParagraphChar">
    <w:name w:val="List Paragraph Char"/>
    <w:link w:val="ListParagraph"/>
    <w:uiPriority w:val="34"/>
    <w:locked/>
    <w:rsid w:val="00CB5A49"/>
    <w:rPr>
      <w:rFonts w:ascii="Georgia" w:hAnsi="Georgia"/>
      <w:sz w:val="22"/>
      <w:szCs w:val="24"/>
    </w:rPr>
  </w:style>
  <w:style w:type="character" w:styleId="Emphasis">
    <w:name w:val="Emphasis"/>
    <w:uiPriority w:val="20"/>
    <w:qFormat/>
    <w:rsid w:val="007C2CD9"/>
    <w:rPr>
      <w:i/>
      <w:iCs/>
    </w:rPr>
  </w:style>
  <w:style w:type="paragraph" w:customStyle="1" w:styleId="ListeParagraf">
    <w:name w:val="Liste Paragraf"/>
    <w:basedOn w:val="Normal"/>
    <w:link w:val="ListeParagrafChar"/>
    <w:uiPriority w:val="34"/>
    <w:qFormat/>
    <w:rsid w:val="00822946"/>
    <w:pPr>
      <w:ind w:left="720"/>
    </w:pPr>
    <w:rPr>
      <w:sz w:val="20"/>
    </w:rPr>
  </w:style>
  <w:style w:type="character" w:customStyle="1" w:styleId="ListeParagrafChar">
    <w:name w:val="Liste Paragraf Char"/>
    <w:link w:val="ListeParagraf"/>
    <w:uiPriority w:val="34"/>
    <w:rsid w:val="00822946"/>
    <w:rPr>
      <w:rFonts w:ascii="Georgia" w:hAnsi="Georgia"/>
      <w:szCs w:val="24"/>
      <w:lang w:val="sq-AL"/>
    </w:rPr>
  </w:style>
  <w:style w:type="paragraph" w:styleId="Revision">
    <w:name w:val="Revision"/>
    <w:hidden/>
    <w:uiPriority w:val="99"/>
    <w:semiHidden/>
    <w:rsid w:val="00822946"/>
    <w:rPr>
      <w:rFonts w:ascii="Georgia" w:hAnsi="Georgia"/>
      <w:sz w:val="22"/>
      <w:szCs w:val="24"/>
      <w:lang w:val="sq-AL"/>
    </w:rPr>
  </w:style>
  <w:style w:type="paragraph" w:customStyle="1" w:styleId="Default">
    <w:name w:val="Default"/>
    <w:rsid w:val="009E1F52"/>
    <w:pPr>
      <w:autoSpaceDE w:val="0"/>
      <w:autoSpaceDN w:val="0"/>
      <w:adjustRightInd w:val="0"/>
    </w:pPr>
    <w:rPr>
      <w:rFonts w:ascii="Georgia" w:eastAsia="MS Mincho" w:hAnsi="Georgia" w:cs="Georgia"/>
      <w:color w:val="000000"/>
      <w:sz w:val="24"/>
      <w:szCs w:val="24"/>
    </w:rPr>
  </w:style>
  <w:style w:type="character" w:customStyle="1" w:styleId="hps">
    <w:name w:val="hps"/>
    <w:basedOn w:val="DefaultParagraphFont"/>
    <w:rsid w:val="009E1F52"/>
  </w:style>
  <w:style w:type="paragraph" w:customStyle="1" w:styleId="ColorfulList-Accent11">
    <w:name w:val="Colorful List - Accent 11"/>
    <w:basedOn w:val="Normal"/>
    <w:link w:val="ColorfulList-Accent1Char"/>
    <w:qFormat/>
    <w:rsid w:val="009E1F52"/>
    <w:pPr>
      <w:ind w:left="720" w:hanging="547"/>
    </w:pPr>
    <w:rPr>
      <w:rFonts w:eastAsia="Times New Roman"/>
      <w:sz w:val="20"/>
    </w:rPr>
  </w:style>
  <w:style w:type="character" w:customStyle="1" w:styleId="ColorfulList-Accent1Char">
    <w:name w:val="Colorful List - Accent 1 Char"/>
    <w:link w:val="ColorfulList-Accent11"/>
    <w:rsid w:val="009E1F52"/>
    <w:rPr>
      <w:rFonts w:ascii="Georgia" w:eastAsia="Times New Roman" w:hAnsi="Georgia"/>
      <w:szCs w:val="24"/>
      <w:lang w:val="sq-AL"/>
    </w:rPr>
  </w:style>
  <w:style w:type="character" w:customStyle="1" w:styleId="st">
    <w:name w:val="st"/>
    <w:basedOn w:val="DefaultParagraphFont"/>
    <w:rsid w:val="009E1F52"/>
  </w:style>
  <w:style w:type="character" w:customStyle="1" w:styleId="shorttext">
    <w:name w:val="short_text"/>
    <w:basedOn w:val="DefaultParagraphFont"/>
    <w:uiPriority w:val="99"/>
    <w:rsid w:val="009E1F52"/>
  </w:style>
  <w:style w:type="paragraph" w:styleId="BodyText">
    <w:name w:val="Body Text"/>
    <w:basedOn w:val="Normal"/>
    <w:link w:val="BodyTextChar"/>
    <w:rsid w:val="00060841"/>
    <w:pPr>
      <w:spacing w:after="120" w:line="240" w:lineRule="auto"/>
      <w:jc w:val="left"/>
    </w:pPr>
    <w:rPr>
      <w:rFonts w:ascii="Arial" w:eastAsia="Times New Roman" w:hAnsi="Arial"/>
      <w:i/>
      <w:iCs/>
      <w:sz w:val="20"/>
      <w:lang w:val="hr-HR"/>
    </w:rPr>
  </w:style>
  <w:style w:type="character" w:customStyle="1" w:styleId="BodyTextChar">
    <w:name w:val="Body Text Char"/>
    <w:basedOn w:val="DefaultParagraphFont"/>
    <w:link w:val="BodyText"/>
    <w:rsid w:val="00060841"/>
    <w:rPr>
      <w:rFonts w:ascii="Arial" w:eastAsia="Times New Roman" w:hAnsi="Arial"/>
      <w:i/>
      <w:iCs/>
      <w:szCs w:val="24"/>
      <w:lang w:val="hr-HR"/>
    </w:rPr>
  </w:style>
  <w:style w:type="character" w:customStyle="1" w:styleId="highlight">
    <w:name w:val="highlight"/>
    <w:basedOn w:val="DefaultParagraphFont"/>
    <w:rsid w:val="005328E1"/>
  </w:style>
  <w:style w:type="character" w:customStyle="1" w:styleId="sb8d990e2">
    <w:name w:val="sb8d990e2"/>
    <w:basedOn w:val="DefaultParagraphFont"/>
    <w:rsid w:val="0035786E"/>
  </w:style>
  <w:style w:type="paragraph" w:styleId="EndnoteText">
    <w:name w:val="endnote text"/>
    <w:basedOn w:val="Normal"/>
    <w:link w:val="EndnoteTextChar"/>
    <w:semiHidden/>
    <w:unhideWhenUsed/>
    <w:rsid w:val="00EF2B25"/>
    <w:pPr>
      <w:spacing w:line="240" w:lineRule="auto"/>
    </w:pPr>
    <w:rPr>
      <w:sz w:val="20"/>
      <w:szCs w:val="20"/>
    </w:rPr>
  </w:style>
  <w:style w:type="character" w:customStyle="1" w:styleId="EndnoteTextChar">
    <w:name w:val="Endnote Text Char"/>
    <w:basedOn w:val="DefaultParagraphFont"/>
    <w:link w:val="EndnoteText"/>
    <w:semiHidden/>
    <w:rsid w:val="00EF2B25"/>
    <w:rPr>
      <w:rFonts w:ascii="Georgia" w:hAnsi="Georgia"/>
      <w:lang w:val="sq-AL"/>
    </w:rPr>
  </w:style>
  <w:style w:type="character" w:styleId="EndnoteReference">
    <w:name w:val="endnote reference"/>
    <w:basedOn w:val="DefaultParagraphFont"/>
    <w:semiHidden/>
    <w:unhideWhenUsed/>
    <w:rsid w:val="00EF2B25"/>
    <w:rPr>
      <w:vertAlign w:val="superscript"/>
    </w:rPr>
  </w:style>
  <w:style w:type="character" w:customStyle="1" w:styleId="s6b621b36">
    <w:name w:val="s6b621b36"/>
    <w:basedOn w:val="DefaultParagraphFont"/>
    <w:rsid w:val="00555DCA"/>
  </w:style>
  <w:style w:type="paragraph" w:customStyle="1" w:styleId="100">
    <w:name w:val="100"/>
    <w:basedOn w:val="Normal"/>
    <w:rsid w:val="00920DF2"/>
    <w:pPr>
      <w:tabs>
        <w:tab w:val="num" w:pos="810"/>
      </w:tabs>
      <w:ind w:left="810" w:hanging="720"/>
    </w:pPr>
    <w:rPr>
      <w:rFonts w:eastAsia="Times New Roman"/>
    </w:rPr>
  </w:style>
  <w:style w:type="paragraph" w:customStyle="1" w:styleId="s32b251d">
    <w:name w:val="s32b251d"/>
    <w:basedOn w:val="Normal"/>
    <w:uiPriority w:val="99"/>
    <w:rsid w:val="00D54828"/>
    <w:pPr>
      <w:spacing w:before="100" w:beforeAutospacing="1" w:after="100" w:afterAutospacing="1" w:line="240" w:lineRule="auto"/>
      <w:jc w:val="left"/>
    </w:pPr>
    <w:rPr>
      <w:rFonts w:ascii="Times New Roman" w:eastAsia="Times New Roman" w:hAnsi="Times New Roman"/>
      <w:sz w:val="24"/>
      <w:lang w:val="en-US"/>
    </w:rPr>
  </w:style>
  <w:style w:type="character" w:customStyle="1" w:styleId="sae070d1d">
    <w:name w:val="sae070d1d"/>
    <w:rsid w:val="00D54828"/>
  </w:style>
  <w:style w:type="paragraph" w:customStyle="1" w:styleId="s30eec3f8">
    <w:name w:val="s30eec3f8"/>
    <w:basedOn w:val="Normal"/>
    <w:rsid w:val="00D54828"/>
    <w:pPr>
      <w:spacing w:before="100" w:beforeAutospacing="1" w:after="100" w:afterAutospacing="1" w:line="240" w:lineRule="auto"/>
      <w:jc w:val="left"/>
    </w:pPr>
    <w:rPr>
      <w:rFonts w:ascii="Times New Roman" w:eastAsia="Times New Roman" w:hAnsi="Times New Roman"/>
      <w:sz w:val="24"/>
      <w:lang w:val="en-US"/>
    </w:rPr>
  </w:style>
  <w:style w:type="character" w:customStyle="1" w:styleId="s7d2086b4">
    <w:name w:val="s7d2086b4"/>
    <w:rsid w:val="00D54828"/>
  </w:style>
  <w:style w:type="character" w:customStyle="1" w:styleId="s23c0e8e7">
    <w:name w:val="s23c0e8e7"/>
    <w:rsid w:val="00D54828"/>
  </w:style>
  <w:style w:type="character" w:customStyle="1" w:styleId="s508a6721">
    <w:name w:val="s508a6721"/>
    <w:rsid w:val="00D54828"/>
  </w:style>
  <w:style w:type="character" w:customStyle="1" w:styleId="s1a844bc0">
    <w:name w:val="s1a844bc0"/>
    <w:rsid w:val="00D54828"/>
  </w:style>
  <w:style w:type="character" w:customStyle="1" w:styleId="Heading1Char">
    <w:name w:val="Heading 1 Char"/>
    <w:basedOn w:val="DefaultParagraphFont"/>
    <w:link w:val="Heading1"/>
    <w:rsid w:val="0053039C"/>
    <w:rPr>
      <w:rFonts w:ascii="Georgia" w:hAnsi="Georgia" w:cs="Arial"/>
      <w:b/>
      <w:bCs/>
      <w:kern w:val="32"/>
      <w:sz w:val="32"/>
      <w:szCs w:val="32"/>
      <w:lang w:val="sq-AL"/>
    </w:rPr>
  </w:style>
  <w:style w:type="character" w:customStyle="1" w:styleId="Heading2Char">
    <w:name w:val="Heading 2 Char"/>
    <w:basedOn w:val="DefaultParagraphFont"/>
    <w:link w:val="Heading2"/>
    <w:rsid w:val="0053039C"/>
    <w:rPr>
      <w:rFonts w:ascii="Georgia" w:hAnsi="Georgia" w:cs="Arial"/>
      <w:b/>
      <w:bCs/>
      <w:i/>
      <w:iCs/>
      <w:sz w:val="28"/>
      <w:szCs w:val="28"/>
      <w:lang w:val="sq-AL"/>
    </w:rPr>
  </w:style>
  <w:style w:type="character" w:customStyle="1" w:styleId="Heading3Char">
    <w:name w:val="Heading 3 Char"/>
    <w:basedOn w:val="DefaultParagraphFont"/>
    <w:link w:val="Heading3"/>
    <w:rsid w:val="0053039C"/>
    <w:rPr>
      <w:rFonts w:ascii="Georgia" w:hAnsi="Georgia" w:cs="Arial"/>
      <w:b/>
      <w:bCs/>
      <w:sz w:val="26"/>
      <w:szCs w:val="26"/>
      <w:lang w:val="sq-AL"/>
    </w:rPr>
  </w:style>
  <w:style w:type="character" w:customStyle="1" w:styleId="TitleChar">
    <w:name w:val="Title Char"/>
    <w:basedOn w:val="DefaultParagraphFont"/>
    <w:link w:val="Title"/>
    <w:rsid w:val="0053039C"/>
    <w:rPr>
      <w:rFonts w:ascii="Georgia" w:hAnsi="Georgia" w:cs="Arial"/>
      <w:b/>
      <w:bCs/>
      <w:kern w:val="28"/>
      <w:sz w:val="32"/>
      <w:szCs w:val="32"/>
      <w:lang w:val="sq-AL"/>
    </w:rPr>
  </w:style>
  <w:style w:type="paragraph" w:customStyle="1" w:styleId="ju-005fpara-002cleft-002cfirst-0020line-003a-0020-00200-0020cm">
    <w:name w:val="ju-005fpara-002cleft-002cfirst-0020line-003a-0020-00200-0020cm"/>
    <w:basedOn w:val="Normal"/>
    <w:rsid w:val="00D229BF"/>
    <w:pPr>
      <w:spacing w:after="135" w:line="240" w:lineRule="auto"/>
      <w:jc w:val="left"/>
    </w:pPr>
    <w:rPr>
      <w:rFonts w:ascii="Times New Roman" w:eastAsia="Times New Roman" w:hAnsi="Times New Roman"/>
      <w:sz w:val="24"/>
      <w:lang w:val="en-US"/>
    </w:rPr>
  </w:style>
  <w:style w:type="character" w:customStyle="1" w:styleId="ju-005fpara-002cleft-002cfirst-0020line-003a-0020-00200-0020cm--char">
    <w:name w:val="ju-005fpara-002cleft-002cfirst-0020line-003a-0020-00200-0020cm--char"/>
    <w:basedOn w:val="DefaultParagraphFont"/>
    <w:rsid w:val="00D229BF"/>
  </w:style>
  <w:style w:type="paragraph" w:styleId="NoSpacing">
    <w:name w:val="No Spacing"/>
    <w:uiPriority w:val="1"/>
    <w:qFormat/>
    <w:rsid w:val="006E6F0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9952">
      <w:bodyDiv w:val="1"/>
      <w:marLeft w:val="0"/>
      <w:marRight w:val="0"/>
      <w:marTop w:val="0"/>
      <w:marBottom w:val="0"/>
      <w:divBdr>
        <w:top w:val="none" w:sz="0" w:space="0" w:color="auto"/>
        <w:left w:val="none" w:sz="0" w:space="0" w:color="auto"/>
        <w:bottom w:val="none" w:sz="0" w:space="0" w:color="auto"/>
        <w:right w:val="none" w:sz="0" w:space="0" w:color="auto"/>
      </w:divBdr>
    </w:div>
    <w:div w:id="61368376">
      <w:bodyDiv w:val="1"/>
      <w:marLeft w:val="0"/>
      <w:marRight w:val="0"/>
      <w:marTop w:val="0"/>
      <w:marBottom w:val="0"/>
      <w:divBdr>
        <w:top w:val="none" w:sz="0" w:space="0" w:color="auto"/>
        <w:left w:val="none" w:sz="0" w:space="0" w:color="auto"/>
        <w:bottom w:val="none" w:sz="0" w:space="0" w:color="auto"/>
        <w:right w:val="none" w:sz="0" w:space="0" w:color="auto"/>
      </w:divBdr>
      <w:divsChild>
        <w:div w:id="664282015">
          <w:marLeft w:val="0"/>
          <w:marRight w:val="0"/>
          <w:marTop w:val="0"/>
          <w:marBottom w:val="0"/>
          <w:divBdr>
            <w:top w:val="none" w:sz="0" w:space="0" w:color="auto"/>
            <w:left w:val="none" w:sz="0" w:space="0" w:color="auto"/>
            <w:bottom w:val="none" w:sz="0" w:space="0" w:color="auto"/>
            <w:right w:val="none" w:sz="0" w:space="0" w:color="auto"/>
          </w:divBdr>
        </w:div>
        <w:div w:id="498812179">
          <w:marLeft w:val="0"/>
          <w:marRight w:val="0"/>
          <w:marTop w:val="0"/>
          <w:marBottom w:val="0"/>
          <w:divBdr>
            <w:top w:val="none" w:sz="0" w:space="0" w:color="auto"/>
            <w:left w:val="none" w:sz="0" w:space="0" w:color="auto"/>
            <w:bottom w:val="none" w:sz="0" w:space="0" w:color="auto"/>
            <w:right w:val="none" w:sz="0" w:space="0" w:color="auto"/>
          </w:divBdr>
        </w:div>
        <w:div w:id="390928481">
          <w:marLeft w:val="0"/>
          <w:marRight w:val="0"/>
          <w:marTop w:val="0"/>
          <w:marBottom w:val="0"/>
          <w:divBdr>
            <w:top w:val="none" w:sz="0" w:space="0" w:color="auto"/>
            <w:left w:val="none" w:sz="0" w:space="0" w:color="auto"/>
            <w:bottom w:val="none" w:sz="0" w:space="0" w:color="auto"/>
            <w:right w:val="none" w:sz="0" w:space="0" w:color="auto"/>
          </w:divBdr>
        </w:div>
        <w:div w:id="1076704044">
          <w:marLeft w:val="0"/>
          <w:marRight w:val="0"/>
          <w:marTop w:val="0"/>
          <w:marBottom w:val="0"/>
          <w:divBdr>
            <w:top w:val="none" w:sz="0" w:space="0" w:color="auto"/>
            <w:left w:val="none" w:sz="0" w:space="0" w:color="auto"/>
            <w:bottom w:val="none" w:sz="0" w:space="0" w:color="auto"/>
            <w:right w:val="none" w:sz="0" w:space="0" w:color="auto"/>
          </w:divBdr>
        </w:div>
        <w:div w:id="936058235">
          <w:marLeft w:val="0"/>
          <w:marRight w:val="0"/>
          <w:marTop w:val="0"/>
          <w:marBottom w:val="0"/>
          <w:divBdr>
            <w:top w:val="none" w:sz="0" w:space="0" w:color="auto"/>
            <w:left w:val="none" w:sz="0" w:space="0" w:color="auto"/>
            <w:bottom w:val="none" w:sz="0" w:space="0" w:color="auto"/>
            <w:right w:val="none" w:sz="0" w:space="0" w:color="auto"/>
          </w:divBdr>
        </w:div>
        <w:div w:id="2036152676">
          <w:marLeft w:val="0"/>
          <w:marRight w:val="0"/>
          <w:marTop w:val="0"/>
          <w:marBottom w:val="0"/>
          <w:divBdr>
            <w:top w:val="none" w:sz="0" w:space="0" w:color="auto"/>
            <w:left w:val="none" w:sz="0" w:space="0" w:color="auto"/>
            <w:bottom w:val="none" w:sz="0" w:space="0" w:color="auto"/>
            <w:right w:val="none" w:sz="0" w:space="0" w:color="auto"/>
          </w:divBdr>
        </w:div>
        <w:div w:id="1515025817">
          <w:marLeft w:val="0"/>
          <w:marRight w:val="0"/>
          <w:marTop w:val="0"/>
          <w:marBottom w:val="0"/>
          <w:divBdr>
            <w:top w:val="none" w:sz="0" w:space="0" w:color="auto"/>
            <w:left w:val="none" w:sz="0" w:space="0" w:color="auto"/>
            <w:bottom w:val="none" w:sz="0" w:space="0" w:color="auto"/>
            <w:right w:val="none" w:sz="0" w:space="0" w:color="auto"/>
          </w:divBdr>
        </w:div>
        <w:div w:id="348220574">
          <w:marLeft w:val="0"/>
          <w:marRight w:val="0"/>
          <w:marTop w:val="0"/>
          <w:marBottom w:val="0"/>
          <w:divBdr>
            <w:top w:val="none" w:sz="0" w:space="0" w:color="auto"/>
            <w:left w:val="none" w:sz="0" w:space="0" w:color="auto"/>
            <w:bottom w:val="none" w:sz="0" w:space="0" w:color="auto"/>
            <w:right w:val="none" w:sz="0" w:space="0" w:color="auto"/>
          </w:divBdr>
        </w:div>
        <w:div w:id="363799106">
          <w:marLeft w:val="0"/>
          <w:marRight w:val="0"/>
          <w:marTop w:val="0"/>
          <w:marBottom w:val="0"/>
          <w:divBdr>
            <w:top w:val="none" w:sz="0" w:space="0" w:color="auto"/>
            <w:left w:val="none" w:sz="0" w:space="0" w:color="auto"/>
            <w:bottom w:val="none" w:sz="0" w:space="0" w:color="auto"/>
            <w:right w:val="none" w:sz="0" w:space="0" w:color="auto"/>
          </w:divBdr>
        </w:div>
        <w:div w:id="1421830138">
          <w:marLeft w:val="0"/>
          <w:marRight w:val="0"/>
          <w:marTop w:val="0"/>
          <w:marBottom w:val="0"/>
          <w:divBdr>
            <w:top w:val="none" w:sz="0" w:space="0" w:color="auto"/>
            <w:left w:val="none" w:sz="0" w:space="0" w:color="auto"/>
            <w:bottom w:val="none" w:sz="0" w:space="0" w:color="auto"/>
            <w:right w:val="none" w:sz="0" w:space="0" w:color="auto"/>
          </w:divBdr>
        </w:div>
        <w:div w:id="307785327">
          <w:marLeft w:val="0"/>
          <w:marRight w:val="0"/>
          <w:marTop w:val="0"/>
          <w:marBottom w:val="0"/>
          <w:divBdr>
            <w:top w:val="none" w:sz="0" w:space="0" w:color="auto"/>
            <w:left w:val="none" w:sz="0" w:space="0" w:color="auto"/>
            <w:bottom w:val="none" w:sz="0" w:space="0" w:color="auto"/>
            <w:right w:val="none" w:sz="0" w:space="0" w:color="auto"/>
          </w:divBdr>
        </w:div>
        <w:div w:id="1214660496">
          <w:marLeft w:val="0"/>
          <w:marRight w:val="0"/>
          <w:marTop w:val="0"/>
          <w:marBottom w:val="0"/>
          <w:divBdr>
            <w:top w:val="none" w:sz="0" w:space="0" w:color="auto"/>
            <w:left w:val="none" w:sz="0" w:space="0" w:color="auto"/>
            <w:bottom w:val="none" w:sz="0" w:space="0" w:color="auto"/>
            <w:right w:val="none" w:sz="0" w:space="0" w:color="auto"/>
          </w:divBdr>
        </w:div>
      </w:divsChild>
    </w:div>
    <w:div w:id="83915418">
      <w:bodyDiv w:val="1"/>
      <w:marLeft w:val="0"/>
      <w:marRight w:val="0"/>
      <w:marTop w:val="0"/>
      <w:marBottom w:val="0"/>
      <w:divBdr>
        <w:top w:val="none" w:sz="0" w:space="0" w:color="auto"/>
        <w:left w:val="none" w:sz="0" w:space="0" w:color="auto"/>
        <w:bottom w:val="none" w:sz="0" w:space="0" w:color="auto"/>
        <w:right w:val="none" w:sz="0" w:space="0" w:color="auto"/>
      </w:divBdr>
      <w:divsChild>
        <w:div w:id="779956738">
          <w:marLeft w:val="0"/>
          <w:marRight w:val="0"/>
          <w:marTop w:val="0"/>
          <w:marBottom w:val="0"/>
          <w:divBdr>
            <w:top w:val="none" w:sz="0" w:space="0" w:color="auto"/>
            <w:left w:val="none" w:sz="0" w:space="0" w:color="auto"/>
            <w:bottom w:val="none" w:sz="0" w:space="0" w:color="auto"/>
            <w:right w:val="none" w:sz="0" w:space="0" w:color="auto"/>
          </w:divBdr>
          <w:divsChild>
            <w:div w:id="1099526944">
              <w:marLeft w:val="0"/>
              <w:marRight w:val="0"/>
              <w:marTop w:val="0"/>
              <w:marBottom w:val="0"/>
              <w:divBdr>
                <w:top w:val="none" w:sz="0" w:space="0" w:color="auto"/>
                <w:left w:val="none" w:sz="0" w:space="0" w:color="auto"/>
                <w:bottom w:val="none" w:sz="0" w:space="0" w:color="auto"/>
                <w:right w:val="none" w:sz="0" w:space="0" w:color="auto"/>
              </w:divBdr>
              <w:divsChild>
                <w:div w:id="2117208954">
                  <w:marLeft w:val="0"/>
                  <w:marRight w:val="0"/>
                  <w:marTop w:val="0"/>
                  <w:marBottom w:val="0"/>
                  <w:divBdr>
                    <w:top w:val="none" w:sz="0" w:space="0" w:color="auto"/>
                    <w:left w:val="none" w:sz="0" w:space="0" w:color="auto"/>
                    <w:bottom w:val="none" w:sz="0" w:space="0" w:color="auto"/>
                    <w:right w:val="none" w:sz="0" w:space="0" w:color="auto"/>
                  </w:divBdr>
                  <w:divsChild>
                    <w:div w:id="609974717">
                      <w:marLeft w:val="0"/>
                      <w:marRight w:val="0"/>
                      <w:marTop w:val="0"/>
                      <w:marBottom w:val="0"/>
                      <w:divBdr>
                        <w:top w:val="none" w:sz="0" w:space="0" w:color="auto"/>
                        <w:left w:val="none" w:sz="0" w:space="0" w:color="auto"/>
                        <w:bottom w:val="none" w:sz="0" w:space="0" w:color="auto"/>
                        <w:right w:val="none" w:sz="0" w:space="0" w:color="auto"/>
                      </w:divBdr>
                      <w:divsChild>
                        <w:div w:id="1586720330">
                          <w:marLeft w:val="0"/>
                          <w:marRight w:val="0"/>
                          <w:marTop w:val="0"/>
                          <w:marBottom w:val="0"/>
                          <w:divBdr>
                            <w:top w:val="none" w:sz="0" w:space="0" w:color="auto"/>
                            <w:left w:val="none" w:sz="0" w:space="0" w:color="auto"/>
                            <w:bottom w:val="none" w:sz="0" w:space="0" w:color="auto"/>
                            <w:right w:val="none" w:sz="0" w:space="0" w:color="auto"/>
                          </w:divBdr>
                          <w:divsChild>
                            <w:div w:id="709188904">
                              <w:marLeft w:val="0"/>
                              <w:marRight w:val="0"/>
                              <w:marTop w:val="0"/>
                              <w:marBottom w:val="0"/>
                              <w:divBdr>
                                <w:top w:val="none" w:sz="0" w:space="0" w:color="auto"/>
                                <w:left w:val="none" w:sz="0" w:space="0" w:color="auto"/>
                                <w:bottom w:val="none" w:sz="0" w:space="0" w:color="auto"/>
                                <w:right w:val="none" w:sz="0" w:space="0" w:color="auto"/>
                              </w:divBdr>
                              <w:divsChild>
                                <w:div w:id="1031959681">
                                  <w:marLeft w:val="0"/>
                                  <w:marRight w:val="0"/>
                                  <w:marTop w:val="0"/>
                                  <w:marBottom w:val="0"/>
                                  <w:divBdr>
                                    <w:top w:val="none" w:sz="0" w:space="0" w:color="auto"/>
                                    <w:left w:val="none" w:sz="0" w:space="0" w:color="auto"/>
                                    <w:bottom w:val="none" w:sz="0" w:space="0" w:color="auto"/>
                                    <w:right w:val="none" w:sz="0" w:space="0" w:color="auto"/>
                                  </w:divBdr>
                                  <w:divsChild>
                                    <w:div w:id="976303967">
                                      <w:marLeft w:val="0"/>
                                      <w:marRight w:val="0"/>
                                      <w:marTop w:val="0"/>
                                      <w:marBottom w:val="0"/>
                                      <w:divBdr>
                                        <w:top w:val="none" w:sz="0" w:space="0" w:color="auto"/>
                                        <w:left w:val="none" w:sz="0" w:space="0" w:color="auto"/>
                                        <w:bottom w:val="none" w:sz="0" w:space="0" w:color="auto"/>
                                        <w:right w:val="none" w:sz="0" w:space="0" w:color="auto"/>
                                      </w:divBdr>
                                      <w:divsChild>
                                        <w:div w:id="1127435101">
                                          <w:marLeft w:val="0"/>
                                          <w:marRight w:val="0"/>
                                          <w:marTop w:val="0"/>
                                          <w:marBottom w:val="0"/>
                                          <w:divBdr>
                                            <w:top w:val="none" w:sz="0" w:space="0" w:color="auto"/>
                                            <w:left w:val="none" w:sz="0" w:space="0" w:color="auto"/>
                                            <w:bottom w:val="none" w:sz="0" w:space="0" w:color="auto"/>
                                            <w:right w:val="none" w:sz="0" w:space="0" w:color="auto"/>
                                          </w:divBdr>
                                          <w:divsChild>
                                            <w:div w:id="340351714">
                                              <w:marLeft w:val="0"/>
                                              <w:marRight w:val="0"/>
                                              <w:marTop w:val="0"/>
                                              <w:marBottom w:val="0"/>
                                              <w:divBdr>
                                                <w:top w:val="none" w:sz="0" w:space="0" w:color="auto"/>
                                                <w:left w:val="none" w:sz="0" w:space="0" w:color="auto"/>
                                                <w:bottom w:val="none" w:sz="0" w:space="0" w:color="auto"/>
                                                <w:right w:val="none" w:sz="0" w:space="0" w:color="auto"/>
                                              </w:divBdr>
                                              <w:divsChild>
                                                <w:div w:id="100539488">
                                                  <w:marLeft w:val="0"/>
                                                  <w:marRight w:val="0"/>
                                                  <w:marTop w:val="0"/>
                                                  <w:marBottom w:val="0"/>
                                                  <w:divBdr>
                                                    <w:top w:val="none" w:sz="0" w:space="0" w:color="auto"/>
                                                    <w:left w:val="none" w:sz="0" w:space="0" w:color="auto"/>
                                                    <w:bottom w:val="none" w:sz="0" w:space="0" w:color="auto"/>
                                                    <w:right w:val="none" w:sz="0" w:space="0" w:color="auto"/>
                                                  </w:divBdr>
                                                </w:div>
                                              </w:divsChild>
                                            </w:div>
                                            <w:div w:id="880287621">
                                              <w:marLeft w:val="0"/>
                                              <w:marRight w:val="0"/>
                                              <w:marTop w:val="0"/>
                                              <w:marBottom w:val="0"/>
                                              <w:divBdr>
                                                <w:top w:val="none" w:sz="0" w:space="0" w:color="auto"/>
                                                <w:left w:val="none" w:sz="0" w:space="0" w:color="auto"/>
                                                <w:bottom w:val="none" w:sz="0" w:space="0" w:color="auto"/>
                                                <w:right w:val="none" w:sz="0" w:space="0" w:color="auto"/>
                                              </w:divBdr>
                                            </w:div>
                                            <w:div w:id="850031486">
                                              <w:marLeft w:val="0"/>
                                              <w:marRight w:val="0"/>
                                              <w:marTop w:val="0"/>
                                              <w:marBottom w:val="0"/>
                                              <w:divBdr>
                                                <w:top w:val="none" w:sz="0" w:space="0" w:color="auto"/>
                                                <w:left w:val="none" w:sz="0" w:space="0" w:color="auto"/>
                                                <w:bottom w:val="none" w:sz="0" w:space="0" w:color="auto"/>
                                                <w:right w:val="none" w:sz="0" w:space="0" w:color="auto"/>
                                              </w:divBdr>
                                            </w:div>
                                            <w:div w:id="2005548165">
                                              <w:marLeft w:val="0"/>
                                              <w:marRight w:val="0"/>
                                              <w:marTop w:val="0"/>
                                              <w:marBottom w:val="0"/>
                                              <w:divBdr>
                                                <w:top w:val="none" w:sz="0" w:space="0" w:color="auto"/>
                                                <w:left w:val="none" w:sz="0" w:space="0" w:color="auto"/>
                                                <w:bottom w:val="none" w:sz="0" w:space="0" w:color="auto"/>
                                                <w:right w:val="none" w:sz="0" w:space="0" w:color="auto"/>
                                              </w:divBdr>
                                              <w:divsChild>
                                                <w:div w:id="108430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6544881">
      <w:bodyDiv w:val="1"/>
      <w:marLeft w:val="0"/>
      <w:marRight w:val="0"/>
      <w:marTop w:val="0"/>
      <w:marBottom w:val="0"/>
      <w:divBdr>
        <w:top w:val="none" w:sz="0" w:space="0" w:color="auto"/>
        <w:left w:val="none" w:sz="0" w:space="0" w:color="auto"/>
        <w:bottom w:val="none" w:sz="0" w:space="0" w:color="auto"/>
        <w:right w:val="none" w:sz="0" w:space="0" w:color="auto"/>
      </w:divBdr>
      <w:divsChild>
        <w:div w:id="1619680683">
          <w:marLeft w:val="0"/>
          <w:marRight w:val="0"/>
          <w:marTop w:val="0"/>
          <w:marBottom w:val="0"/>
          <w:divBdr>
            <w:top w:val="none" w:sz="0" w:space="0" w:color="auto"/>
            <w:left w:val="none" w:sz="0" w:space="0" w:color="auto"/>
            <w:bottom w:val="none" w:sz="0" w:space="0" w:color="auto"/>
            <w:right w:val="none" w:sz="0" w:space="0" w:color="auto"/>
          </w:divBdr>
        </w:div>
        <w:div w:id="2133790882">
          <w:marLeft w:val="0"/>
          <w:marRight w:val="0"/>
          <w:marTop w:val="0"/>
          <w:marBottom w:val="0"/>
          <w:divBdr>
            <w:top w:val="none" w:sz="0" w:space="0" w:color="auto"/>
            <w:left w:val="none" w:sz="0" w:space="0" w:color="auto"/>
            <w:bottom w:val="none" w:sz="0" w:space="0" w:color="auto"/>
            <w:right w:val="none" w:sz="0" w:space="0" w:color="auto"/>
          </w:divBdr>
        </w:div>
        <w:div w:id="590546947">
          <w:marLeft w:val="0"/>
          <w:marRight w:val="0"/>
          <w:marTop w:val="0"/>
          <w:marBottom w:val="0"/>
          <w:divBdr>
            <w:top w:val="none" w:sz="0" w:space="0" w:color="auto"/>
            <w:left w:val="none" w:sz="0" w:space="0" w:color="auto"/>
            <w:bottom w:val="none" w:sz="0" w:space="0" w:color="auto"/>
            <w:right w:val="none" w:sz="0" w:space="0" w:color="auto"/>
          </w:divBdr>
        </w:div>
        <w:div w:id="1483233072">
          <w:marLeft w:val="0"/>
          <w:marRight w:val="0"/>
          <w:marTop w:val="0"/>
          <w:marBottom w:val="0"/>
          <w:divBdr>
            <w:top w:val="none" w:sz="0" w:space="0" w:color="auto"/>
            <w:left w:val="none" w:sz="0" w:space="0" w:color="auto"/>
            <w:bottom w:val="none" w:sz="0" w:space="0" w:color="auto"/>
            <w:right w:val="none" w:sz="0" w:space="0" w:color="auto"/>
          </w:divBdr>
        </w:div>
        <w:div w:id="1931549222">
          <w:marLeft w:val="0"/>
          <w:marRight w:val="0"/>
          <w:marTop w:val="0"/>
          <w:marBottom w:val="0"/>
          <w:divBdr>
            <w:top w:val="none" w:sz="0" w:space="0" w:color="auto"/>
            <w:left w:val="none" w:sz="0" w:space="0" w:color="auto"/>
            <w:bottom w:val="none" w:sz="0" w:space="0" w:color="auto"/>
            <w:right w:val="none" w:sz="0" w:space="0" w:color="auto"/>
          </w:divBdr>
        </w:div>
        <w:div w:id="567109819">
          <w:marLeft w:val="0"/>
          <w:marRight w:val="0"/>
          <w:marTop w:val="0"/>
          <w:marBottom w:val="0"/>
          <w:divBdr>
            <w:top w:val="none" w:sz="0" w:space="0" w:color="auto"/>
            <w:left w:val="none" w:sz="0" w:space="0" w:color="auto"/>
            <w:bottom w:val="none" w:sz="0" w:space="0" w:color="auto"/>
            <w:right w:val="none" w:sz="0" w:space="0" w:color="auto"/>
          </w:divBdr>
        </w:div>
        <w:div w:id="2068217350">
          <w:marLeft w:val="0"/>
          <w:marRight w:val="0"/>
          <w:marTop w:val="0"/>
          <w:marBottom w:val="0"/>
          <w:divBdr>
            <w:top w:val="none" w:sz="0" w:space="0" w:color="auto"/>
            <w:left w:val="none" w:sz="0" w:space="0" w:color="auto"/>
            <w:bottom w:val="none" w:sz="0" w:space="0" w:color="auto"/>
            <w:right w:val="none" w:sz="0" w:space="0" w:color="auto"/>
          </w:divBdr>
        </w:div>
        <w:div w:id="1709067174">
          <w:marLeft w:val="0"/>
          <w:marRight w:val="0"/>
          <w:marTop w:val="0"/>
          <w:marBottom w:val="0"/>
          <w:divBdr>
            <w:top w:val="none" w:sz="0" w:space="0" w:color="auto"/>
            <w:left w:val="none" w:sz="0" w:space="0" w:color="auto"/>
            <w:bottom w:val="none" w:sz="0" w:space="0" w:color="auto"/>
            <w:right w:val="none" w:sz="0" w:space="0" w:color="auto"/>
          </w:divBdr>
        </w:div>
        <w:div w:id="1287733621">
          <w:marLeft w:val="0"/>
          <w:marRight w:val="0"/>
          <w:marTop w:val="0"/>
          <w:marBottom w:val="0"/>
          <w:divBdr>
            <w:top w:val="none" w:sz="0" w:space="0" w:color="auto"/>
            <w:left w:val="none" w:sz="0" w:space="0" w:color="auto"/>
            <w:bottom w:val="none" w:sz="0" w:space="0" w:color="auto"/>
            <w:right w:val="none" w:sz="0" w:space="0" w:color="auto"/>
          </w:divBdr>
        </w:div>
        <w:div w:id="1364213564">
          <w:marLeft w:val="0"/>
          <w:marRight w:val="0"/>
          <w:marTop w:val="0"/>
          <w:marBottom w:val="0"/>
          <w:divBdr>
            <w:top w:val="none" w:sz="0" w:space="0" w:color="auto"/>
            <w:left w:val="none" w:sz="0" w:space="0" w:color="auto"/>
            <w:bottom w:val="none" w:sz="0" w:space="0" w:color="auto"/>
            <w:right w:val="none" w:sz="0" w:space="0" w:color="auto"/>
          </w:divBdr>
        </w:div>
        <w:div w:id="1983191934">
          <w:marLeft w:val="0"/>
          <w:marRight w:val="0"/>
          <w:marTop w:val="0"/>
          <w:marBottom w:val="0"/>
          <w:divBdr>
            <w:top w:val="none" w:sz="0" w:space="0" w:color="auto"/>
            <w:left w:val="none" w:sz="0" w:space="0" w:color="auto"/>
            <w:bottom w:val="none" w:sz="0" w:space="0" w:color="auto"/>
            <w:right w:val="none" w:sz="0" w:space="0" w:color="auto"/>
          </w:divBdr>
        </w:div>
        <w:div w:id="1183325937">
          <w:marLeft w:val="0"/>
          <w:marRight w:val="0"/>
          <w:marTop w:val="0"/>
          <w:marBottom w:val="0"/>
          <w:divBdr>
            <w:top w:val="none" w:sz="0" w:space="0" w:color="auto"/>
            <w:left w:val="none" w:sz="0" w:space="0" w:color="auto"/>
            <w:bottom w:val="none" w:sz="0" w:space="0" w:color="auto"/>
            <w:right w:val="none" w:sz="0" w:space="0" w:color="auto"/>
          </w:divBdr>
        </w:div>
      </w:divsChild>
    </w:div>
    <w:div w:id="344284053">
      <w:bodyDiv w:val="1"/>
      <w:marLeft w:val="0"/>
      <w:marRight w:val="0"/>
      <w:marTop w:val="0"/>
      <w:marBottom w:val="0"/>
      <w:divBdr>
        <w:top w:val="none" w:sz="0" w:space="0" w:color="auto"/>
        <w:left w:val="none" w:sz="0" w:space="0" w:color="auto"/>
        <w:bottom w:val="none" w:sz="0" w:space="0" w:color="auto"/>
        <w:right w:val="none" w:sz="0" w:space="0" w:color="auto"/>
      </w:divBdr>
    </w:div>
    <w:div w:id="573199676">
      <w:bodyDiv w:val="1"/>
      <w:marLeft w:val="0"/>
      <w:marRight w:val="0"/>
      <w:marTop w:val="0"/>
      <w:marBottom w:val="0"/>
      <w:divBdr>
        <w:top w:val="none" w:sz="0" w:space="0" w:color="auto"/>
        <w:left w:val="none" w:sz="0" w:space="0" w:color="auto"/>
        <w:bottom w:val="none" w:sz="0" w:space="0" w:color="auto"/>
        <w:right w:val="none" w:sz="0" w:space="0" w:color="auto"/>
      </w:divBdr>
    </w:div>
    <w:div w:id="605112947">
      <w:bodyDiv w:val="1"/>
      <w:marLeft w:val="0"/>
      <w:marRight w:val="0"/>
      <w:marTop w:val="0"/>
      <w:marBottom w:val="0"/>
      <w:divBdr>
        <w:top w:val="none" w:sz="0" w:space="0" w:color="auto"/>
        <w:left w:val="none" w:sz="0" w:space="0" w:color="auto"/>
        <w:bottom w:val="none" w:sz="0" w:space="0" w:color="auto"/>
        <w:right w:val="none" w:sz="0" w:space="0" w:color="auto"/>
      </w:divBdr>
    </w:div>
    <w:div w:id="722022478">
      <w:bodyDiv w:val="1"/>
      <w:marLeft w:val="0"/>
      <w:marRight w:val="0"/>
      <w:marTop w:val="0"/>
      <w:marBottom w:val="0"/>
      <w:divBdr>
        <w:top w:val="none" w:sz="0" w:space="0" w:color="auto"/>
        <w:left w:val="none" w:sz="0" w:space="0" w:color="auto"/>
        <w:bottom w:val="none" w:sz="0" w:space="0" w:color="auto"/>
        <w:right w:val="none" w:sz="0" w:space="0" w:color="auto"/>
      </w:divBdr>
    </w:div>
    <w:div w:id="875697661">
      <w:bodyDiv w:val="1"/>
      <w:marLeft w:val="0"/>
      <w:marRight w:val="0"/>
      <w:marTop w:val="0"/>
      <w:marBottom w:val="0"/>
      <w:divBdr>
        <w:top w:val="none" w:sz="0" w:space="0" w:color="auto"/>
        <w:left w:val="none" w:sz="0" w:space="0" w:color="auto"/>
        <w:bottom w:val="none" w:sz="0" w:space="0" w:color="auto"/>
        <w:right w:val="none" w:sz="0" w:space="0" w:color="auto"/>
      </w:divBdr>
    </w:div>
    <w:div w:id="913780244">
      <w:bodyDiv w:val="1"/>
      <w:marLeft w:val="0"/>
      <w:marRight w:val="0"/>
      <w:marTop w:val="0"/>
      <w:marBottom w:val="0"/>
      <w:divBdr>
        <w:top w:val="none" w:sz="0" w:space="0" w:color="auto"/>
        <w:left w:val="none" w:sz="0" w:space="0" w:color="auto"/>
        <w:bottom w:val="none" w:sz="0" w:space="0" w:color="auto"/>
        <w:right w:val="none" w:sz="0" w:space="0" w:color="auto"/>
      </w:divBdr>
      <w:divsChild>
        <w:div w:id="93675140">
          <w:marLeft w:val="0"/>
          <w:marRight w:val="0"/>
          <w:marTop w:val="0"/>
          <w:marBottom w:val="0"/>
          <w:divBdr>
            <w:top w:val="none" w:sz="0" w:space="0" w:color="auto"/>
            <w:left w:val="none" w:sz="0" w:space="0" w:color="auto"/>
            <w:bottom w:val="none" w:sz="0" w:space="0" w:color="auto"/>
            <w:right w:val="none" w:sz="0" w:space="0" w:color="auto"/>
          </w:divBdr>
        </w:div>
        <w:div w:id="350032001">
          <w:marLeft w:val="0"/>
          <w:marRight w:val="0"/>
          <w:marTop w:val="0"/>
          <w:marBottom w:val="0"/>
          <w:divBdr>
            <w:top w:val="none" w:sz="0" w:space="0" w:color="auto"/>
            <w:left w:val="none" w:sz="0" w:space="0" w:color="auto"/>
            <w:bottom w:val="none" w:sz="0" w:space="0" w:color="auto"/>
            <w:right w:val="none" w:sz="0" w:space="0" w:color="auto"/>
          </w:divBdr>
        </w:div>
      </w:divsChild>
    </w:div>
    <w:div w:id="1021205568">
      <w:bodyDiv w:val="1"/>
      <w:marLeft w:val="0"/>
      <w:marRight w:val="0"/>
      <w:marTop w:val="0"/>
      <w:marBottom w:val="0"/>
      <w:divBdr>
        <w:top w:val="none" w:sz="0" w:space="0" w:color="auto"/>
        <w:left w:val="none" w:sz="0" w:space="0" w:color="auto"/>
        <w:bottom w:val="none" w:sz="0" w:space="0" w:color="auto"/>
        <w:right w:val="none" w:sz="0" w:space="0" w:color="auto"/>
      </w:divBdr>
      <w:divsChild>
        <w:div w:id="665683">
          <w:marLeft w:val="0"/>
          <w:marRight w:val="0"/>
          <w:marTop w:val="0"/>
          <w:marBottom w:val="0"/>
          <w:divBdr>
            <w:top w:val="none" w:sz="0" w:space="0" w:color="auto"/>
            <w:left w:val="none" w:sz="0" w:space="0" w:color="auto"/>
            <w:bottom w:val="none" w:sz="0" w:space="0" w:color="auto"/>
            <w:right w:val="none" w:sz="0" w:space="0" w:color="auto"/>
          </w:divBdr>
        </w:div>
        <w:div w:id="418992302">
          <w:marLeft w:val="0"/>
          <w:marRight w:val="0"/>
          <w:marTop w:val="0"/>
          <w:marBottom w:val="0"/>
          <w:divBdr>
            <w:top w:val="none" w:sz="0" w:space="0" w:color="auto"/>
            <w:left w:val="none" w:sz="0" w:space="0" w:color="auto"/>
            <w:bottom w:val="none" w:sz="0" w:space="0" w:color="auto"/>
            <w:right w:val="none" w:sz="0" w:space="0" w:color="auto"/>
          </w:divBdr>
        </w:div>
      </w:divsChild>
    </w:div>
    <w:div w:id="1068577581">
      <w:bodyDiv w:val="1"/>
      <w:marLeft w:val="0"/>
      <w:marRight w:val="0"/>
      <w:marTop w:val="0"/>
      <w:marBottom w:val="0"/>
      <w:divBdr>
        <w:top w:val="none" w:sz="0" w:space="0" w:color="auto"/>
        <w:left w:val="none" w:sz="0" w:space="0" w:color="auto"/>
        <w:bottom w:val="none" w:sz="0" w:space="0" w:color="auto"/>
        <w:right w:val="none" w:sz="0" w:space="0" w:color="auto"/>
      </w:divBdr>
    </w:div>
    <w:div w:id="1295676810">
      <w:bodyDiv w:val="1"/>
      <w:marLeft w:val="0"/>
      <w:marRight w:val="0"/>
      <w:marTop w:val="0"/>
      <w:marBottom w:val="0"/>
      <w:divBdr>
        <w:top w:val="none" w:sz="0" w:space="0" w:color="auto"/>
        <w:left w:val="none" w:sz="0" w:space="0" w:color="auto"/>
        <w:bottom w:val="none" w:sz="0" w:space="0" w:color="auto"/>
        <w:right w:val="none" w:sz="0" w:space="0" w:color="auto"/>
      </w:divBdr>
    </w:div>
    <w:div w:id="1558475556">
      <w:bodyDiv w:val="1"/>
      <w:marLeft w:val="0"/>
      <w:marRight w:val="0"/>
      <w:marTop w:val="0"/>
      <w:marBottom w:val="0"/>
      <w:divBdr>
        <w:top w:val="none" w:sz="0" w:space="0" w:color="auto"/>
        <w:left w:val="none" w:sz="0" w:space="0" w:color="auto"/>
        <w:bottom w:val="none" w:sz="0" w:space="0" w:color="auto"/>
        <w:right w:val="none" w:sz="0" w:space="0" w:color="auto"/>
      </w:divBdr>
      <w:divsChild>
        <w:div w:id="17779806">
          <w:marLeft w:val="0"/>
          <w:marRight w:val="0"/>
          <w:marTop w:val="0"/>
          <w:marBottom w:val="0"/>
          <w:divBdr>
            <w:top w:val="none" w:sz="0" w:space="0" w:color="auto"/>
            <w:left w:val="none" w:sz="0" w:space="0" w:color="auto"/>
            <w:bottom w:val="none" w:sz="0" w:space="0" w:color="auto"/>
            <w:right w:val="none" w:sz="0" w:space="0" w:color="auto"/>
          </w:divBdr>
        </w:div>
        <w:div w:id="1411657874">
          <w:marLeft w:val="0"/>
          <w:marRight w:val="0"/>
          <w:marTop w:val="0"/>
          <w:marBottom w:val="0"/>
          <w:divBdr>
            <w:top w:val="none" w:sz="0" w:space="0" w:color="auto"/>
            <w:left w:val="none" w:sz="0" w:space="0" w:color="auto"/>
            <w:bottom w:val="none" w:sz="0" w:space="0" w:color="auto"/>
            <w:right w:val="none" w:sz="0" w:space="0" w:color="auto"/>
          </w:divBdr>
        </w:div>
        <w:div w:id="1694066479">
          <w:marLeft w:val="0"/>
          <w:marRight w:val="0"/>
          <w:marTop w:val="0"/>
          <w:marBottom w:val="0"/>
          <w:divBdr>
            <w:top w:val="none" w:sz="0" w:space="0" w:color="auto"/>
            <w:left w:val="none" w:sz="0" w:space="0" w:color="auto"/>
            <w:bottom w:val="none" w:sz="0" w:space="0" w:color="auto"/>
            <w:right w:val="none" w:sz="0" w:space="0" w:color="auto"/>
          </w:divBdr>
        </w:div>
        <w:div w:id="265618050">
          <w:marLeft w:val="0"/>
          <w:marRight w:val="0"/>
          <w:marTop w:val="0"/>
          <w:marBottom w:val="0"/>
          <w:divBdr>
            <w:top w:val="none" w:sz="0" w:space="0" w:color="auto"/>
            <w:left w:val="none" w:sz="0" w:space="0" w:color="auto"/>
            <w:bottom w:val="none" w:sz="0" w:space="0" w:color="auto"/>
            <w:right w:val="none" w:sz="0" w:space="0" w:color="auto"/>
          </w:divBdr>
        </w:div>
        <w:div w:id="1111170470">
          <w:marLeft w:val="0"/>
          <w:marRight w:val="0"/>
          <w:marTop w:val="0"/>
          <w:marBottom w:val="0"/>
          <w:divBdr>
            <w:top w:val="none" w:sz="0" w:space="0" w:color="auto"/>
            <w:left w:val="none" w:sz="0" w:space="0" w:color="auto"/>
            <w:bottom w:val="none" w:sz="0" w:space="0" w:color="auto"/>
            <w:right w:val="none" w:sz="0" w:space="0" w:color="auto"/>
          </w:divBdr>
        </w:div>
        <w:div w:id="44182366">
          <w:marLeft w:val="0"/>
          <w:marRight w:val="0"/>
          <w:marTop w:val="0"/>
          <w:marBottom w:val="0"/>
          <w:divBdr>
            <w:top w:val="none" w:sz="0" w:space="0" w:color="auto"/>
            <w:left w:val="none" w:sz="0" w:space="0" w:color="auto"/>
            <w:bottom w:val="none" w:sz="0" w:space="0" w:color="auto"/>
            <w:right w:val="none" w:sz="0" w:space="0" w:color="auto"/>
          </w:divBdr>
        </w:div>
      </w:divsChild>
    </w:div>
    <w:div w:id="1819691307">
      <w:bodyDiv w:val="1"/>
      <w:marLeft w:val="0"/>
      <w:marRight w:val="0"/>
      <w:marTop w:val="0"/>
      <w:marBottom w:val="0"/>
      <w:divBdr>
        <w:top w:val="none" w:sz="0" w:space="0" w:color="auto"/>
        <w:left w:val="none" w:sz="0" w:space="0" w:color="auto"/>
        <w:bottom w:val="none" w:sz="0" w:space="0" w:color="auto"/>
        <w:right w:val="none" w:sz="0" w:space="0" w:color="auto"/>
      </w:divBdr>
    </w:div>
    <w:div w:id="1934437652">
      <w:bodyDiv w:val="1"/>
      <w:marLeft w:val="0"/>
      <w:marRight w:val="0"/>
      <w:marTop w:val="0"/>
      <w:marBottom w:val="0"/>
      <w:divBdr>
        <w:top w:val="none" w:sz="0" w:space="0" w:color="auto"/>
        <w:left w:val="none" w:sz="0" w:space="0" w:color="auto"/>
        <w:bottom w:val="none" w:sz="0" w:space="0" w:color="auto"/>
        <w:right w:val="none" w:sz="0" w:space="0" w:color="auto"/>
      </w:divBdr>
    </w:div>
    <w:div w:id="1969703078">
      <w:bodyDiv w:val="1"/>
      <w:marLeft w:val="0"/>
      <w:marRight w:val="0"/>
      <w:marTop w:val="0"/>
      <w:marBottom w:val="0"/>
      <w:divBdr>
        <w:top w:val="none" w:sz="0" w:space="0" w:color="auto"/>
        <w:left w:val="none" w:sz="0" w:space="0" w:color="auto"/>
        <w:bottom w:val="none" w:sz="0" w:space="0" w:color="auto"/>
        <w:right w:val="none" w:sz="0" w:space="0" w:color="auto"/>
      </w:divBdr>
    </w:div>
    <w:div w:id="2101292741">
      <w:bodyDiv w:val="1"/>
      <w:marLeft w:val="0"/>
      <w:marRight w:val="0"/>
      <w:marTop w:val="0"/>
      <w:marBottom w:val="0"/>
      <w:divBdr>
        <w:top w:val="none" w:sz="0" w:space="0" w:color="auto"/>
        <w:left w:val="none" w:sz="0" w:space="0" w:color="auto"/>
        <w:bottom w:val="none" w:sz="0" w:space="0" w:color="auto"/>
        <w:right w:val="none" w:sz="0" w:space="0" w:color="auto"/>
      </w:divBdr>
      <w:divsChild>
        <w:div w:id="247614000">
          <w:marLeft w:val="0"/>
          <w:marRight w:val="0"/>
          <w:marTop w:val="0"/>
          <w:marBottom w:val="0"/>
          <w:divBdr>
            <w:top w:val="none" w:sz="0" w:space="0" w:color="auto"/>
            <w:left w:val="none" w:sz="0" w:space="0" w:color="auto"/>
            <w:bottom w:val="none" w:sz="0" w:space="0" w:color="auto"/>
            <w:right w:val="none" w:sz="0" w:space="0" w:color="auto"/>
          </w:divBdr>
        </w:div>
        <w:div w:id="838086097">
          <w:marLeft w:val="0"/>
          <w:marRight w:val="0"/>
          <w:marTop w:val="0"/>
          <w:marBottom w:val="0"/>
          <w:divBdr>
            <w:top w:val="none" w:sz="0" w:space="0" w:color="auto"/>
            <w:left w:val="none" w:sz="0" w:space="0" w:color="auto"/>
            <w:bottom w:val="none" w:sz="0" w:space="0" w:color="auto"/>
            <w:right w:val="none" w:sz="0" w:space="0" w:color="auto"/>
          </w:divBdr>
        </w:div>
        <w:div w:id="942228967">
          <w:marLeft w:val="0"/>
          <w:marRight w:val="0"/>
          <w:marTop w:val="0"/>
          <w:marBottom w:val="0"/>
          <w:divBdr>
            <w:top w:val="none" w:sz="0" w:space="0" w:color="auto"/>
            <w:left w:val="none" w:sz="0" w:space="0" w:color="auto"/>
            <w:bottom w:val="none" w:sz="0" w:space="0" w:color="auto"/>
            <w:right w:val="none" w:sz="0" w:space="0" w:color="auto"/>
          </w:divBdr>
        </w:div>
        <w:div w:id="1572740075">
          <w:marLeft w:val="0"/>
          <w:marRight w:val="0"/>
          <w:marTop w:val="0"/>
          <w:marBottom w:val="0"/>
          <w:divBdr>
            <w:top w:val="none" w:sz="0" w:space="0" w:color="auto"/>
            <w:left w:val="none" w:sz="0" w:space="0" w:color="auto"/>
            <w:bottom w:val="none" w:sz="0" w:space="0" w:color="auto"/>
            <w:right w:val="none" w:sz="0" w:space="0" w:color="auto"/>
          </w:divBdr>
        </w:div>
        <w:div w:id="349794795">
          <w:marLeft w:val="0"/>
          <w:marRight w:val="0"/>
          <w:marTop w:val="0"/>
          <w:marBottom w:val="0"/>
          <w:divBdr>
            <w:top w:val="none" w:sz="0" w:space="0" w:color="auto"/>
            <w:left w:val="none" w:sz="0" w:space="0" w:color="auto"/>
            <w:bottom w:val="none" w:sz="0" w:space="0" w:color="auto"/>
            <w:right w:val="none" w:sz="0" w:space="0" w:color="auto"/>
          </w:divBdr>
        </w:div>
        <w:div w:id="1977493435">
          <w:marLeft w:val="0"/>
          <w:marRight w:val="0"/>
          <w:marTop w:val="0"/>
          <w:marBottom w:val="0"/>
          <w:divBdr>
            <w:top w:val="none" w:sz="0" w:space="0" w:color="auto"/>
            <w:left w:val="none" w:sz="0" w:space="0" w:color="auto"/>
            <w:bottom w:val="none" w:sz="0" w:space="0" w:color="auto"/>
            <w:right w:val="none" w:sz="0" w:space="0" w:color="auto"/>
          </w:divBdr>
        </w:div>
        <w:div w:id="1418286588">
          <w:marLeft w:val="0"/>
          <w:marRight w:val="0"/>
          <w:marTop w:val="0"/>
          <w:marBottom w:val="0"/>
          <w:divBdr>
            <w:top w:val="none" w:sz="0" w:space="0" w:color="auto"/>
            <w:left w:val="none" w:sz="0" w:space="0" w:color="auto"/>
            <w:bottom w:val="none" w:sz="0" w:space="0" w:color="auto"/>
            <w:right w:val="none" w:sz="0" w:space="0" w:color="auto"/>
          </w:divBdr>
        </w:div>
        <w:div w:id="1251739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dh.bokshi\Desktop\Mostrat%20GJKK-SKR\Llogo%20vendim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75319-25F1-4E7B-9B5E-E7BBC2229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Llogo vendimet</Template>
  <TotalTime>19</TotalTime>
  <Pages>22</Pages>
  <Words>10365</Words>
  <Characters>53072</Characters>
  <Application>Microsoft Office Word</Application>
  <DocSecurity>0</DocSecurity>
  <Lines>442</Lines>
  <Paragraphs>126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Anita.Cavdarbasha@gjk-ks.org</dc:creator>
  <cp:lastModifiedBy>Laureshë Gërdovci</cp:lastModifiedBy>
  <cp:revision>6</cp:revision>
  <cp:lastPrinted>2020-06-18T11:42:00Z</cp:lastPrinted>
  <dcterms:created xsi:type="dcterms:W3CDTF">2020-06-01T13:05:00Z</dcterms:created>
  <dcterms:modified xsi:type="dcterms:W3CDTF">2020-06-18T11:47:00Z</dcterms:modified>
</cp:coreProperties>
</file>