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D0D" w:rsidRPr="0013043F" w:rsidRDefault="00E76A6B" w:rsidP="0051797C">
      <w:pPr>
        <w:spacing w:line="240" w:lineRule="auto"/>
        <w:jc w:val="right"/>
        <w:rPr>
          <w:b/>
          <w:color w:val="000000"/>
          <w:sz w:val="16"/>
          <w:szCs w:val="16"/>
        </w:rPr>
      </w:pPr>
      <w:bookmarkStart w:id="0" w:name="_GoBack"/>
      <w:bookmarkEnd w:id="0"/>
      <w:r w:rsidRPr="006149FC">
        <w:rPr>
          <w:b/>
          <w:color w:val="000000"/>
          <w:sz w:val="16"/>
          <w:szCs w:val="16"/>
        </w:rPr>
        <w:t>Pri</w:t>
      </w:r>
      <w:r>
        <w:rPr>
          <w:b/>
          <w:color w:val="000000"/>
          <w:sz w:val="16"/>
          <w:szCs w:val="16"/>
        </w:rPr>
        <w:t>sh</w:t>
      </w:r>
      <w:r w:rsidRPr="006149FC">
        <w:rPr>
          <w:b/>
          <w:color w:val="000000"/>
          <w:sz w:val="16"/>
          <w:szCs w:val="16"/>
        </w:rPr>
        <w:t xml:space="preserve">tina, </w:t>
      </w:r>
      <w:r>
        <w:rPr>
          <w:b/>
          <w:color w:val="000000"/>
          <w:sz w:val="16"/>
          <w:szCs w:val="16"/>
        </w:rPr>
        <w:t>on</w:t>
      </w:r>
      <w:r w:rsidRPr="006149FC">
        <w:rPr>
          <w:b/>
          <w:color w:val="000000"/>
          <w:sz w:val="16"/>
          <w:szCs w:val="16"/>
        </w:rPr>
        <w:t xml:space="preserve"> </w:t>
      </w:r>
      <w:r w:rsidR="001E644C">
        <w:rPr>
          <w:b/>
          <w:color w:val="000000"/>
          <w:sz w:val="16"/>
          <w:szCs w:val="16"/>
        </w:rPr>
        <w:t>19 February</w:t>
      </w:r>
      <w:r w:rsidR="00E633E6" w:rsidRPr="0013043F">
        <w:rPr>
          <w:b/>
          <w:color w:val="000000"/>
          <w:sz w:val="16"/>
          <w:szCs w:val="16"/>
        </w:rPr>
        <w:t xml:space="preserve"> 2019</w:t>
      </w:r>
    </w:p>
    <w:p w:rsidR="008C4505" w:rsidRPr="0013043F" w:rsidRDefault="00E76A6B" w:rsidP="0051797C">
      <w:pPr>
        <w:spacing w:line="240" w:lineRule="auto"/>
        <w:jc w:val="right"/>
        <w:rPr>
          <w:sz w:val="24"/>
        </w:rPr>
      </w:pPr>
      <w:r>
        <w:rPr>
          <w:b/>
          <w:color w:val="000000"/>
          <w:sz w:val="16"/>
          <w:szCs w:val="16"/>
        </w:rPr>
        <w:t>Ref.</w:t>
      </w:r>
      <w:r w:rsidR="00436050">
        <w:rPr>
          <w:b/>
          <w:color w:val="000000"/>
          <w:sz w:val="16"/>
          <w:szCs w:val="16"/>
        </w:rPr>
        <w:t xml:space="preserve"> </w:t>
      </w:r>
      <w:r>
        <w:rPr>
          <w:b/>
          <w:color w:val="000000"/>
          <w:sz w:val="16"/>
          <w:szCs w:val="16"/>
        </w:rPr>
        <w:t>no.:</w:t>
      </w:r>
      <w:r w:rsidR="001E644C">
        <w:rPr>
          <w:b/>
          <w:color w:val="000000"/>
          <w:sz w:val="16"/>
          <w:szCs w:val="16"/>
        </w:rPr>
        <w:t xml:space="preserve"> RK 1325/19</w:t>
      </w:r>
    </w:p>
    <w:p w:rsidR="00FF0BE8" w:rsidRDefault="00FF0BE8" w:rsidP="0051797C">
      <w:pPr>
        <w:spacing w:line="240" w:lineRule="auto"/>
        <w:rPr>
          <w:sz w:val="24"/>
        </w:rPr>
      </w:pPr>
    </w:p>
    <w:p w:rsidR="00BE3019" w:rsidRDefault="00BE3019" w:rsidP="0051797C">
      <w:pPr>
        <w:spacing w:line="240" w:lineRule="auto"/>
        <w:rPr>
          <w:sz w:val="24"/>
        </w:rPr>
      </w:pPr>
    </w:p>
    <w:p w:rsidR="00BE3019" w:rsidRDefault="00BE3019" w:rsidP="0051797C">
      <w:pPr>
        <w:spacing w:line="240" w:lineRule="auto"/>
        <w:rPr>
          <w:sz w:val="24"/>
        </w:rPr>
      </w:pPr>
    </w:p>
    <w:p w:rsidR="00BE3019" w:rsidRPr="0013043F" w:rsidRDefault="00BE3019" w:rsidP="0051797C">
      <w:pPr>
        <w:spacing w:line="240" w:lineRule="auto"/>
        <w:rPr>
          <w:sz w:val="24"/>
        </w:rPr>
      </w:pPr>
    </w:p>
    <w:p w:rsidR="00360C06" w:rsidRPr="0013043F" w:rsidRDefault="00360C06" w:rsidP="0051797C">
      <w:pPr>
        <w:spacing w:line="240" w:lineRule="auto"/>
        <w:rPr>
          <w:sz w:val="24"/>
        </w:rPr>
      </w:pPr>
    </w:p>
    <w:p w:rsidR="00391D8E" w:rsidRPr="0013043F" w:rsidRDefault="00391D8E" w:rsidP="0051797C">
      <w:pPr>
        <w:spacing w:line="240" w:lineRule="auto"/>
        <w:rPr>
          <w:sz w:val="24"/>
        </w:rPr>
      </w:pPr>
    </w:p>
    <w:p w:rsidR="00E76A6B" w:rsidRPr="00BA718F" w:rsidRDefault="00E76A6B" w:rsidP="0051797C">
      <w:pPr>
        <w:spacing w:line="240" w:lineRule="auto"/>
        <w:jc w:val="center"/>
        <w:rPr>
          <w:b/>
          <w:bCs/>
          <w:sz w:val="32"/>
          <w:szCs w:val="32"/>
        </w:rPr>
      </w:pPr>
      <w:r w:rsidRPr="00BA718F">
        <w:rPr>
          <w:b/>
          <w:bCs/>
          <w:sz w:val="32"/>
          <w:szCs w:val="32"/>
        </w:rPr>
        <w:t>RESOLUTION ON INADMISSIBILITY</w:t>
      </w:r>
    </w:p>
    <w:p w:rsidR="004B23F2" w:rsidRPr="0013043F" w:rsidRDefault="004B23F2" w:rsidP="0051797C">
      <w:pPr>
        <w:spacing w:line="240" w:lineRule="auto"/>
        <w:jc w:val="center"/>
        <w:rPr>
          <w:rFonts w:cs="Arial"/>
          <w:sz w:val="24"/>
        </w:rPr>
      </w:pPr>
    </w:p>
    <w:p w:rsidR="00E76A6B" w:rsidRPr="00CA3F2E" w:rsidRDefault="00E76A6B" w:rsidP="0051797C">
      <w:pPr>
        <w:spacing w:line="240" w:lineRule="auto"/>
        <w:jc w:val="center"/>
        <w:rPr>
          <w:sz w:val="24"/>
        </w:rPr>
      </w:pPr>
      <w:r w:rsidRPr="00CA3F2E">
        <w:rPr>
          <w:sz w:val="24"/>
        </w:rPr>
        <w:t>in</w:t>
      </w:r>
    </w:p>
    <w:p w:rsidR="00E76A6B" w:rsidRPr="00CA3F2E" w:rsidRDefault="00E76A6B" w:rsidP="0051797C">
      <w:pPr>
        <w:spacing w:line="240" w:lineRule="auto"/>
        <w:jc w:val="center"/>
        <w:rPr>
          <w:sz w:val="24"/>
        </w:rPr>
      </w:pPr>
    </w:p>
    <w:p w:rsidR="00E633E6" w:rsidRPr="0013043F" w:rsidRDefault="00E76A6B" w:rsidP="0051797C">
      <w:pPr>
        <w:spacing w:line="240" w:lineRule="auto"/>
        <w:jc w:val="center"/>
        <w:rPr>
          <w:b/>
          <w:bCs/>
          <w:sz w:val="24"/>
        </w:rPr>
      </w:pPr>
      <w:r w:rsidRPr="00CA3F2E">
        <w:rPr>
          <w:b/>
          <w:sz w:val="24"/>
        </w:rPr>
        <w:t>Case No</w:t>
      </w:r>
      <w:r w:rsidR="00E633E6" w:rsidRPr="0013043F">
        <w:rPr>
          <w:b/>
          <w:bCs/>
          <w:sz w:val="24"/>
        </w:rPr>
        <w:t>. KI61/18</w:t>
      </w:r>
    </w:p>
    <w:p w:rsidR="00E633E6" w:rsidRPr="0013043F" w:rsidRDefault="00E633E6" w:rsidP="0051797C">
      <w:pPr>
        <w:spacing w:line="240" w:lineRule="auto"/>
        <w:rPr>
          <w:bCs/>
          <w:sz w:val="24"/>
        </w:rPr>
      </w:pPr>
    </w:p>
    <w:p w:rsidR="00E76A6B" w:rsidRPr="006149FC" w:rsidRDefault="00E76A6B" w:rsidP="0051797C">
      <w:pPr>
        <w:spacing w:line="240" w:lineRule="auto"/>
        <w:jc w:val="center"/>
        <w:rPr>
          <w:bCs/>
          <w:color w:val="000000"/>
          <w:sz w:val="24"/>
        </w:rPr>
      </w:pPr>
      <w:r w:rsidRPr="00CA3F2E">
        <w:rPr>
          <w:sz w:val="24"/>
        </w:rPr>
        <w:t>Applicant</w:t>
      </w:r>
    </w:p>
    <w:p w:rsidR="00E633E6" w:rsidRPr="0013043F" w:rsidRDefault="00E633E6" w:rsidP="0051797C">
      <w:pPr>
        <w:spacing w:line="240" w:lineRule="auto"/>
        <w:jc w:val="center"/>
        <w:rPr>
          <w:bCs/>
          <w:sz w:val="24"/>
        </w:rPr>
      </w:pPr>
    </w:p>
    <w:p w:rsidR="00E633E6" w:rsidRPr="0013043F" w:rsidRDefault="00E633E6" w:rsidP="0051797C">
      <w:pPr>
        <w:spacing w:line="240" w:lineRule="auto"/>
        <w:jc w:val="center"/>
        <w:rPr>
          <w:bCs/>
          <w:sz w:val="24"/>
        </w:rPr>
      </w:pPr>
      <w:r w:rsidRPr="0013043F">
        <w:rPr>
          <w:b/>
          <w:bCs/>
          <w:sz w:val="24"/>
        </w:rPr>
        <w:t xml:space="preserve">Azem Qorri </w:t>
      </w:r>
      <w:r w:rsidR="00E76A6B">
        <w:rPr>
          <w:b/>
          <w:bCs/>
          <w:sz w:val="24"/>
        </w:rPr>
        <w:t>and others</w:t>
      </w:r>
    </w:p>
    <w:p w:rsidR="00E633E6" w:rsidRDefault="00E633E6" w:rsidP="0051797C">
      <w:pPr>
        <w:spacing w:line="240" w:lineRule="auto"/>
        <w:jc w:val="center"/>
        <w:rPr>
          <w:bCs/>
          <w:sz w:val="24"/>
        </w:rPr>
      </w:pPr>
    </w:p>
    <w:p w:rsidR="00BE3019" w:rsidRPr="0013043F" w:rsidRDefault="00BE3019" w:rsidP="0051797C">
      <w:pPr>
        <w:spacing w:line="240" w:lineRule="auto"/>
        <w:jc w:val="center"/>
        <w:rPr>
          <w:bCs/>
          <w:sz w:val="24"/>
        </w:rPr>
      </w:pPr>
    </w:p>
    <w:p w:rsidR="0052297D" w:rsidRPr="0013043F" w:rsidRDefault="00E76A6B" w:rsidP="0051797C">
      <w:pPr>
        <w:spacing w:line="240" w:lineRule="auto"/>
        <w:jc w:val="center"/>
        <w:rPr>
          <w:b/>
          <w:bCs/>
          <w:sz w:val="24"/>
        </w:rPr>
      </w:pPr>
      <w:r w:rsidRPr="00CA3F2E">
        <w:rPr>
          <w:rFonts w:eastAsia="Calibri"/>
          <w:b/>
          <w:color w:val="000000"/>
          <w:sz w:val="24"/>
        </w:rPr>
        <w:t>Constitutional review of Decision</w:t>
      </w:r>
      <w:r w:rsidRPr="00CA3F2E">
        <w:rPr>
          <w:b/>
          <w:sz w:val="24"/>
        </w:rPr>
        <w:t xml:space="preserve"> </w:t>
      </w:r>
      <w:r w:rsidRPr="0013043F">
        <w:rPr>
          <w:b/>
          <w:bCs/>
          <w:sz w:val="24"/>
        </w:rPr>
        <w:t xml:space="preserve">AC-I-14-0123 </w:t>
      </w:r>
      <w:r w:rsidRPr="00E76A6B">
        <w:rPr>
          <w:b/>
          <w:bCs/>
          <w:sz w:val="24"/>
        </w:rPr>
        <w:t>of the Appellate Panel of the Special Chamber of the Supreme Court on Privatization Agency of Kosovo</w:t>
      </w:r>
      <w:r w:rsidR="00D61C8E">
        <w:rPr>
          <w:b/>
          <w:bCs/>
          <w:sz w:val="24"/>
        </w:rPr>
        <w:t xml:space="preserve"> Related Matters</w:t>
      </w:r>
      <w:r w:rsidRPr="00E76A6B">
        <w:rPr>
          <w:b/>
          <w:bCs/>
          <w:sz w:val="24"/>
        </w:rPr>
        <w:t>,</w:t>
      </w:r>
      <w:r w:rsidR="0092371D">
        <w:rPr>
          <w:b/>
          <w:bCs/>
          <w:sz w:val="24"/>
        </w:rPr>
        <w:t xml:space="preserve"> </w:t>
      </w:r>
      <w:r w:rsidRPr="00E76A6B">
        <w:rPr>
          <w:b/>
          <w:bCs/>
          <w:sz w:val="24"/>
        </w:rPr>
        <w:t>of 30</w:t>
      </w:r>
      <w:r>
        <w:rPr>
          <w:b/>
          <w:bCs/>
          <w:sz w:val="24"/>
        </w:rPr>
        <w:t xml:space="preserve"> </w:t>
      </w:r>
      <w:r w:rsidRPr="00E76A6B">
        <w:rPr>
          <w:b/>
          <w:bCs/>
          <w:sz w:val="24"/>
        </w:rPr>
        <w:t>November 2017</w:t>
      </w:r>
    </w:p>
    <w:p w:rsidR="00360C06" w:rsidRPr="0013043F" w:rsidRDefault="00360C06" w:rsidP="0051797C">
      <w:pPr>
        <w:spacing w:line="240" w:lineRule="auto"/>
        <w:rPr>
          <w:b/>
          <w:bCs/>
          <w:sz w:val="24"/>
        </w:rPr>
      </w:pPr>
    </w:p>
    <w:p w:rsidR="00D61C8E" w:rsidRDefault="00D61C8E" w:rsidP="0051797C">
      <w:pPr>
        <w:spacing w:line="240" w:lineRule="auto"/>
        <w:jc w:val="center"/>
        <w:rPr>
          <w:rFonts w:cs="Arial"/>
          <w:b/>
          <w:sz w:val="24"/>
        </w:rPr>
      </w:pPr>
    </w:p>
    <w:p w:rsidR="00E76A6B" w:rsidRPr="008716B1" w:rsidRDefault="00E76A6B" w:rsidP="0051797C">
      <w:pPr>
        <w:spacing w:line="240" w:lineRule="auto"/>
        <w:jc w:val="center"/>
        <w:rPr>
          <w:b/>
          <w:sz w:val="24"/>
        </w:rPr>
      </w:pPr>
      <w:r w:rsidRPr="008716B1">
        <w:rPr>
          <w:rFonts w:cs="Arial"/>
          <w:b/>
          <w:sz w:val="24"/>
        </w:rPr>
        <w:t>THE CONSTITUTIONAL COURT OF THE REPUBLIC OF KOSOVO</w:t>
      </w:r>
    </w:p>
    <w:p w:rsidR="00391D8E" w:rsidRPr="0013043F" w:rsidRDefault="00391D8E" w:rsidP="0051797C">
      <w:pPr>
        <w:spacing w:line="240" w:lineRule="auto"/>
        <w:contextualSpacing/>
        <w:jc w:val="center"/>
        <w:rPr>
          <w:rFonts w:eastAsia="Calibri"/>
          <w:b/>
          <w:color w:val="000000"/>
          <w:sz w:val="24"/>
        </w:rPr>
      </w:pPr>
    </w:p>
    <w:p w:rsidR="00391D8E" w:rsidRPr="0013043F" w:rsidRDefault="00391D8E" w:rsidP="0051797C">
      <w:pPr>
        <w:spacing w:line="240" w:lineRule="auto"/>
        <w:contextualSpacing/>
        <w:jc w:val="center"/>
        <w:rPr>
          <w:rFonts w:eastAsia="Calibri"/>
          <w:b/>
          <w:color w:val="000000"/>
          <w:sz w:val="24"/>
        </w:rPr>
      </w:pPr>
    </w:p>
    <w:p w:rsidR="00E76A6B" w:rsidRPr="008716B1" w:rsidRDefault="00E76A6B" w:rsidP="0051797C">
      <w:pPr>
        <w:tabs>
          <w:tab w:val="left" w:pos="540"/>
          <w:tab w:val="left" w:pos="720"/>
        </w:tabs>
        <w:spacing w:line="240" w:lineRule="auto"/>
        <w:ind w:left="360" w:hanging="360"/>
        <w:rPr>
          <w:bCs/>
          <w:sz w:val="24"/>
        </w:rPr>
      </w:pPr>
      <w:r w:rsidRPr="008716B1">
        <w:rPr>
          <w:bCs/>
          <w:sz w:val="24"/>
        </w:rPr>
        <w:t>composed of</w:t>
      </w:r>
      <w:r w:rsidRPr="008716B1">
        <w:rPr>
          <w:sz w:val="24"/>
        </w:rPr>
        <w:t>:</w:t>
      </w:r>
    </w:p>
    <w:p w:rsidR="00E76A6B" w:rsidRPr="008716B1" w:rsidRDefault="00E76A6B" w:rsidP="0051797C">
      <w:pPr>
        <w:spacing w:line="240" w:lineRule="auto"/>
        <w:rPr>
          <w:bCs/>
          <w:sz w:val="24"/>
        </w:rPr>
      </w:pPr>
    </w:p>
    <w:p w:rsidR="00E76A6B" w:rsidRPr="008716B1" w:rsidRDefault="00E76A6B" w:rsidP="0051797C">
      <w:pPr>
        <w:spacing w:line="240" w:lineRule="auto"/>
        <w:rPr>
          <w:bCs/>
          <w:sz w:val="24"/>
        </w:rPr>
      </w:pPr>
      <w:r w:rsidRPr="008716B1">
        <w:rPr>
          <w:bCs/>
          <w:sz w:val="24"/>
        </w:rPr>
        <w:t>Arta Rama-Hajrizi, President</w:t>
      </w:r>
    </w:p>
    <w:p w:rsidR="00E76A6B" w:rsidRPr="008716B1" w:rsidRDefault="00E76A6B" w:rsidP="0051797C">
      <w:pPr>
        <w:spacing w:line="240" w:lineRule="auto"/>
        <w:rPr>
          <w:bCs/>
          <w:sz w:val="24"/>
        </w:rPr>
      </w:pPr>
      <w:r w:rsidRPr="008716B1">
        <w:rPr>
          <w:bCs/>
          <w:sz w:val="24"/>
        </w:rPr>
        <w:t>Bajram Ljatifi, Deputy President</w:t>
      </w:r>
    </w:p>
    <w:p w:rsidR="00E76A6B" w:rsidRPr="008716B1" w:rsidRDefault="00E76A6B" w:rsidP="0051797C">
      <w:pPr>
        <w:spacing w:line="240" w:lineRule="auto"/>
        <w:rPr>
          <w:bCs/>
          <w:sz w:val="24"/>
        </w:rPr>
      </w:pPr>
      <w:r w:rsidRPr="008716B1">
        <w:rPr>
          <w:bCs/>
          <w:sz w:val="24"/>
        </w:rPr>
        <w:t>Bekim Sejdiu, Judge</w:t>
      </w:r>
    </w:p>
    <w:p w:rsidR="00E76A6B" w:rsidRPr="008716B1" w:rsidRDefault="00E76A6B" w:rsidP="0051797C">
      <w:pPr>
        <w:spacing w:line="240" w:lineRule="auto"/>
        <w:rPr>
          <w:bCs/>
          <w:sz w:val="24"/>
        </w:rPr>
      </w:pPr>
      <w:r w:rsidRPr="008716B1">
        <w:rPr>
          <w:bCs/>
          <w:sz w:val="24"/>
        </w:rPr>
        <w:t>Selvete Gërxhaliu-Krasniqi, Judge</w:t>
      </w:r>
    </w:p>
    <w:p w:rsidR="00E76A6B" w:rsidRPr="008716B1" w:rsidRDefault="00E76A6B" w:rsidP="0051797C">
      <w:pPr>
        <w:spacing w:line="240" w:lineRule="auto"/>
        <w:rPr>
          <w:bCs/>
          <w:sz w:val="24"/>
        </w:rPr>
      </w:pPr>
      <w:r w:rsidRPr="008716B1">
        <w:rPr>
          <w:bCs/>
          <w:sz w:val="24"/>
        </w:rPr>
        <w:t>Gresa Caka-Nimani, Judge</w:t>
      </w:r>
    </w:p>
    <w:p w:rsidR="00E76A6B" w:rsidRPr="008716B1" w:rsidRDefault="00E76A6B" w:rsidP="0051797C">
      <w:pPr>
        <w:spacing w:line="240" w:lineRule="auto"/>
        <w:rPr>
          <w:bCs/>
          <w:sz w:val="24"/>
        </w:rPr>
      </w:pPr>
      <w:r w:rsidRPr="008716B1">
        <w:rPr>
          <w:bCs/>
          <w:sz w:val="24"/>
        </w:rPr>
        <w:t>Safet Hoxha, Judge</w:t>
      </w:r>
    </w:p>
    <w:p w:rsidR="00E76A6B" w:rsidRPr="008716B1" w:rsidRDefault="00E76A6B" w:rsidP="0051797C">
      <w:pPr>
        <w:spacing w:line="240" w:lineRule="auto"/>
        <w:rPr>
          <w:bCs/>
          <w:sz w:val="24"/>
        </w:rPr>
      </w:pPr>
      <w:r w:rsidRPr="008716B1">
        <w:rPr>
          <w:bCs/>
          <w:sz w:val="24"/>
        </w:rPr>
        <w:t>Radomir Laban, Judge</w:t>
      </w:r>
    </w:p>
    <w:p w:rsidR="00E76A6B" w:rsidRPr="008716B1" w:rsidRDefault="00E76A6B" w:rsidP="0051797C">
      <w:pPr>
        <w:spacing w:line="240" w:lineRule="auto"/>
        <w:rPr>
          <w:bCs/>
          <w:sz w:val="24"/>
        </w:rPr>
      </w:pPr>
      <w:r w:rsidRPr="008716B1">
        <w:rPr>
          <w:bCs/>
          <w:sz w:val="24"/>
        </w:rPr>
        <w:t>Remzije Istrefi-Peci, Judge, and</w:t>
      </w:r>
    </w:p>
    <w:p w:rsidR="00391D8E" w:rsidRPr="0013043F" w:rsidRDefault="00E76A6B" w:rsidP="0051797C">
      <w:pPr>
        <w:spacing w:line="240" w:lineRule="auto"/>
        <w:rPr>
          <w:bCs/>
          <w:sz w:val="24"/>
        </w:rPr>
      </w:pPr>
      <w:r w:rsidRPr="008716B1">
        <w:rPr>
          <w:bCs/>
          <w:sz w:val="24"/>
        </w:rPr>
        <w:t>Nexhmi Rexhepi, Judge</w:t>
      </w:r>
    </w:p>
    <w:p w:rsidR="009535AA" w:rsidRPr="0013043F" w:rsidRDefault="009535AA" w:rsidP="0051797C">
      <w:pPr>
        <w:tabs>
          <w:tab w:val="left" w:pos="540"/>
        </w:tabs>
        <w:spacing w:line="240" w:lineRule="auto"/>
        <w:rPr>
          <w:b/>
          <w:iCs/>
          <w:color w:val="000000"/>
          <w:sz w:val="24"/>
        </w:rPr>
      </w:pPr>
    </w:p>
    <w:p w:rsidR="0030592D" w:rsidRPr="0013043F" w:rsidRDefault="0030592D" w:rsidP="0051797C">
      <w:pPr>
        <w:tabs>
          <w:tab w:val="left" w:pos="540"/>
        </w:tabs>
        <w:spacing w:line="240" w:lineRule="auto"/>
        <w:rPr>
          <w:b/>
          <w:iCs/>
          <w:color w:val="000000"/>
          <w:sz w:val="24"/>
        </w:rPr>
      </w:pPr>
    </w:p>
    <w:p w:rsidR="00E76A6B" w:rsidRPr="00CA3F2E" w:rsidRDefault="00E76A6B" w:rsidP="0051797C">
      <w:pPr>
        <w:spacing w:line="240" w:lineRule="auto"/>
        <w:rPr>
          <w:b/>
          <w:sz w:val="24"/>
        </w:rPr>
      </w:pPr>
      <w:r w:rsidRPr="00CA3F2E">
        <w:rPr>
          <w:b/>
          <w:sz w:val="24"/>
        </w:rPr>
        <w:t>Applicant</w:t>
      </w:r>
    </w:p>
    <w:p w:rsidR="00E5795C" w:rsidRPr="0013043F" w:rsidRDefault="00E5795C" w:rsidP="0051797C">
      <w:pPr>
        <w:tabs>
          <w:tab w:val="left" w:pos="540"/>
        </w:tabs>
        <w:spacing w:line="240" w:lineRule="auto"/>
        <w:rPr>
          <w:sz w:val="24"/>
        </w:rPr>
      </w:pPr>
    </w:p>
    <w:p w:rsidR="0051797C" w:rsidRDefault="00E76A6B" w:rsidP="0051797C">
      <w:pPr>
        <w:numPr>
          <w:ilvl w:val="0"/>
          <w:numId w:val="1"/>
        </w:numPr>
        <w:spacing w:line="240" w:lineRule="auto"/>
        <w:ind w:left="630" w:hanging="630"/>
        <w:rPr>
          <w:bCs/>
          <w:iCs/>
          <w:sz w:val="24"/>
        </w:rPr>
      </w:pPr>
      <w:r w:rsidRPr="00E76A6B">
        <w:rPr>
          <w:sz w:val="24"/>
        </w:rPr>
        <w:t>The Applicants are Azem Qorri, Ejup Qorri, Lebibe Qorri, Mirishah Qorri, Muharrem Qorri, Naser Qorri, Naim Qorri and Skender Qorri from the Municipality of Gllogoc (hereinafter: the Applicants)</w:t>
      </w:r>
      <w:r w:rsidR="00D61C8E">
        <w:rPr>
          <w:sz w:val="24"/>
        </w:rPr>
        <w:t>, who are</w:t>
      </w:r>
      <w:r w:rsidRPr="00E76A6B">
        <w:rPr>
          <w:sz w:val="24"/>
        </w:rPr>
        <w:t xml:space="preserve"> represented by Rrahim Hajdari , </w:t>
      </w:r>
      <w:r w:rsidR="00D61C8E">
        <w:rPr>
          <w:sz w:val="24"/>
        </w:rPr>
        <w:t xml:space="preserve">a </w:t>
      </w:r>
      <w:r w:rsidRPr="00E76A6B">
        <w:rPr>
          <w:sz w:val="24"/>
        </w:rPr>
        <w:t xml:space="preserve">lawyer </w:t>
      </w:r>
      <w:r w:rsidR="00D61C8E">
        <w:rPr>
          <w:sz w:val="24"/>
        </w:rPr>
        <w:t>from</w:t>
      </w:r>
      <w:r w:rsidRPr="00E76A6B">
        <w:rPr>
          <w:sz w:val="24"/>
        </w:rPr>
        <w:t xml:space="preserve"> Gllogoc</w:t>
      </w:r>
      <w:r w:rsidR="00E633E6" w:rsidRPr="0013043F">
        <w:rPr>
          <w:bCs/>
          <w:iCs/>
          <w:sz w:val="24"/>
        </w:rPr>
        <w:t>.</w:t>
      </w:r>
    </w:p>
    <w:p w:rsidR="00D61C8E" w:rsidRPr="00BE3019" w:rsidRDefault="0051797C" w:rsidP="0051797C">
      <w:pPr>
        <w:spacing w:line="240" w:lineRule="auto"/>
        <w:rPr>
          <w:b/>
          <w:sz w:val="24"/>
        </w:rPr>
      </w:pPr>
      <w:r>
        <w:rPr>
          <w:bCs/>
          <w:iCs/>
          <w:sz w:val="24"/>
        </w:rPr>
        <w:br w:type="page"/>
      </w:r>
      <w:r w:rsidR="00BE3019" w:rsidRPr="00BE3019">
        <w:rPr>
          <w:b/>
          <w:bCs/>
          <w:iCs/>
          <w:sz w:val="24"/>
        </w:rPr>
        <w:lastRenderedPageBreak/>
        <w:t>C</w:t>
      </w:r>
      <w:r w:rsidR="00D61C8E" w:rsidRPr="00BE3019">
        <w:rPr>
          <w:b/>
          <w:sz w:val="24"/>
        </w:rPr>
        <w:t xml:space="preserve">hallenged decision </w:t>
      </w:r>
    </w:p>
    <w:p w:rsidR="00D61C8E" w:rsidRPr="00D61C8E" w:rsidRDefault="00D61C8E" w:rsidP="0051797C">
      <w:pPr>
        <w:spacing w:line="240" w:lineRule="auto"/>
        <w:ind w:left="540"/>
        <w:rPr>
          <w:bCs/>
          <w:sz w:val="24"/>
        </w:rPr>
      </w:pPr>
    </w:p>
    <w:p w:rsidR="00E633E6" w:rsidRPr="0013043F" w:rsidRDefault="00E76A6B" w:rsidP="0051797C">
      <w:pPr>
        <w:numPr>
          <w:ilvl w:val="0"/>
          <w:numId w:val="1"/>
        </w:numPr>
        <w:spacing w:line="240" w:lineRule="auto"/>
        <w:ind w:left="630" w:hanging="630"/>
        <w:rPr>
          <w:bCs/>
          <w:sz w:val="24"/>
        </w:rPr>
      </w:pPr>
      <w:r w:rsidRPr="00E76A6B">
        <w:rPr>
          <w:bCs/>
          <w:iCs/>
          <w:sz w:val="24"/>
        </w:rPr>
        <w:t xml:space="preserve">The challenged decision is </w:t>
      </w:r>
      <w:r w:rsidR="00D61C8E" w:rsidRPr="00BE3019">
        <w:rPr>
          <w:sz w:val="24"/>
        </w:rPr>
        <w:t>Decision</w:t>
      </w:r>
      <w:r w:rsidR="0051797C">
        <w:rPr>
          <w:bCs/>
          <w:iCs/>
          <w:sz w:val="24"/>
        </w:rPr>
        <w:t xml:space="preserve"> </w:t>
      </w:r>
      <w:r w:rsidR="00D61C8E" w:rsidRPr="00E76A6B">
        <w:rPr>
          <w:bCs/>
          <w:iCs/>
          <w:sz w:val="24"/>
        </w:rPr>
        <w:t>AC-I-14-2013</w:t>
      </w:r>
      <w:r w:rsidR="00D61C8E">
        <w:rPr>
          <w:bCs/>
          <w:iCs/>
          <w:sz w:val="24"/>
        </w:rPr>
        <w:t xml:space="preserve"> </w:t>
      </w:r>
      <w:r w:rsidRPr="00E76A6B">
        <w:rPr>
          <w:bCs/>
          <w:iCs/>
          <w:sz w:val="24"/>
        </w:rPr>
        <w:t xml:space="preserve">of the Appellate Panel of the Special Chamber of the Supreme Court on Privatization </w:t>
      </w:r>
      <w:r w:rsidRPr="0051797C">
        <w:rPr>
          <w:sz w:val="24"/>
        </w:rPr>
        <w:t>Agency</w:t>
      </w:r>
      <w:r w:rsidRPr="00E76A6B">
        <w:rPr>
          <w:bCs/>
          <w:iCs/>
          <w:sz w:val="24"/>
        </w:rPr>
        <w:t xml:space="preserve"> </w:t>
      </w:r>
      <w:r w:rsidR="00D61C8E">
        <w:rPr>
          <w:bCs/>
          <w:iCs/>
          <w:sz w:val="24"/>
        </w:rPr>
        <w:t xml:space="preserve">of Kosovo </w:t>
      </w:r>
      <w:r w:rsidRPr="00E76A6B">
        <w:rPr>
          <w:bCs/>
          <w:iCs/>
          <w:sz w:val="24"/>
        </w:rPr>
        <w:t xml:space="preserve">Related Matters (hereinafter: </w:t>
      </w:r>
      <w:r w:rsidR="00D61C8E">
        <w:rPr>
          <w:bCs/>
          <w:iCs/>
          <w:sz w:val="24"/>
        </w:rPr>
        <w:t xml:space="preserve">the </w:t>
      </w:r>
      <w:r w:rsidRPr="00E76A6B">
        <w:rPr>
          <w:bCs/>
          <w:iCs/>
          <w:sz w:val="24"/>
        </w:rPr>
        <w:t>Appellate Panel), of 30 November 2017</w:t>
      </w:r>
      <w:r w:rsidR="00D61C8E">
        <w:rPr>
          <w:bCs/>
          <w:iCs/>
          <w:sz w:val="24"/>
        </w:rPr>
        <w:t>.</w:t>
      </w:r>
      <w:r w:rsidRPr="00E76A6B">
        <w:rPr>
          <w:bCs/>
          <w:iCs/>
          <w:sz w:val="24"/>
        </w:rPr>
        <w:t xml:space="preserve"> The Applicant</w:t>
      </w:r>
      <w:r w:rsidR="00D61C8E">
        <w:rPr>
          <w:bCs/>
          <w:iCs/>
          <w:sz w:val="24"/>
        </w:rPr>
        <w:t>s</w:t>
      </w:r>
      <w:r w:rsidRPr="00E76A6B">
        <w:rPr>
          <w:bCs/>
          <w:iCs/>
          <w:sz w:val="24"/>
        </w:rPr>
        <w:t xml:space="preserve"> </w:t>
      </w:r>
      <w:r w:rsidR="00D61C8E">
        <w:rPr>
          <w:bCs/>
          <w:iCs/>
          <w:sz w:val="24"/>
        </w:rPr>
        <w:t>were served with the challenged</w:t>
      </w:r>
      <w:r w:rsidRPr="00E76A6B">
        <w:rPr>
          <w:bCs/>
          <w:iCs/>
          <w:sz w:val="24"/>
        </w:rPr>
        <w:t xml:space="preserve"> decision on 9 January 2018</w:t>
      </w:r>
      <w:r w:rsidR="00E633E6" w:rsidRPr="0013043F">
        <w:rPr>
          <w:bCs/>
          <w:sz w:val="24"/>
        </w:rPr>
        <w:t>.</w:t>
      </w:r>
    </w:p>
    <w:p w:rsidR="00E633E6" w:rsidRPr="0013043F" w:rsidRDefault="00E633E6" w:rsidP="0051797C">
      <w:pPr>
        <w:pStyle w:val="ListParagraph"/>
        <w:spacing w:line="240" w:lineRule="auto"/>
        <w:ind w:left="634" w:hanging="634"/>
        <w:rPr>
          <w:b/>
          <w:iCs/>
          <w:color w:val="000000"/>
          <w:sz w:val="24"/>
          <w:lang w:val="en-US"/>
        </w:rPr>
      </w:pPr>
    </w:p>
    <w:p w:rsidR="00E3531C" w:rsidRPr="00CA3F2E" w:rsidRDefault="00E3531C" w:rsidP="0051797C">
      <w:pPr>
        <w:spacing w:line="240" w:lineRule="auto"/>
        <w:jc w:val="left"/>
        <w:rPr>
          <w:b/>
          <w:sz w:val="24"/>
        </w:rPr>
      </w:pPr>
      <w:r w:rsidRPr="00CA3F2E">
        <w:rPr>
          <w:b/>
          <w:sz w:val="24"/>
        </w:rPr>
        <w:t xml:space="preserve">Subject matter </w:t>
      </w:r>
    </w:p>
    <w:p w:rsidR="00E633E6" w:rsidRPr="0013043F" w:rsidRDefault="00E633E6" w:rsidP="0051797C">
      <w:pPr>
        <w:pStyle w:val="ListParagraph"/>
        <w:spacing w:line="240" w:lineRule="auto"/>
        <w:ind w:left="540" w:hanging="540"/>
        <w:rPr>
          <w:b/>
          <w:bCs/>
          <w:iCs/>
          <w:sz w:val="24"/>
          <w:lang w:val="en-US"/>
        </w:rPr>
      </w:pPr>
    </w:p>
    <w:p w:rsidR="00E633E6" w:rsidRPr="0013043F" w:rsidRDefault="00E76A6B" w:rsidP="0051797C">
      <w:pPr>
        <w:numPr>
          <w:ilvl w:val="0"/>
          <w:numId w:val="1"/>
        </w:numPr>
        <w:spacing w:line="240" w:lineRule="auto"/>
        <w:ind w:left="630" w:hanging="630"/>
        <w:rPr>
          <w:b/>
          <w:sz w:val="24"/>
        </w:rPr>
      </w:pPr>
      <w:r w:rsidRPr="00E76A6B">
        <w:rPr>
          <w:rFonts w:cs="Arial"/>
          <w:color w:val="000000"/>
          <w:sz w:val="24"/>
        </w:rPr>
        <w:t xml:space="preserve">The subject matter of the Referral is the </w:t>
      </w:r>
      <w:r>
        <w:rPr>
          <w:rFonts w:cs="Arial"/>
          <w:color w:val="000000"/>
          <w:sz w:val="24"/>
        </w:rPr>
        <w:t>constitutional review</w:t>
      </w:r>
      <w:r w:rsidRPr="00E76A6B">
        <w:rPr>
          <w:rFonts w:cs="Arial"/>
          <w:color w:val="000000"/>
          <w:sz w:val="24"/>
        </w:rPr>
        <w:t xml:space="preserve"> of the </w:t>
      </w:r>
      <w:r>
        <w:rPr>
          <w:rFonts w:cs="Arial"/>
          <w:color w:val="000000"/>
          <w:sz w:val="24"/>
        </w:rPr>
        <w:t>challenged</w:t>
      </w:r>
      <w:r w:rsidRPr="00E76A6B">
        <w:rPr>
          <w:rFonts w:cs="Arial"/>
          <w:color w:val="000000"/>
          <w:sz w:val="24"/>
        </w:rPr>
        <w:t xml:space="preserve"> decision, which </w:t>
      </w:r>
      <w:r w:rsidR="00D61C8E">
        <w:rPr>
          <w:rFonts w:cs="Arial"/>
          <w:color w:val="000000"/>
          <w:sz w:val="24"/>
        </w:rPr>
        <w:t>allegedly violated</w:t>
      </w:r>
      <w:r w:rsidRPr="00E76A6B">
        <w:rPr>
          <w:rFonts w:cs="Arial"/>
          <w:color w:val="000000"/>
          <w:sz w:val="24"/>
        </w:rPr>
        <w:t xml:space="preserve"> </w:t>
      </w:r>
      <w:r w:rsidR="00D61C8E">
        <w:rPr>
          <w:rFonts w:cs="Arial"/>
          <w:color w:val="000000"/>
          <w:sz w:val="24"/>
        </w:rPr>
        <w:t>the Applicants’</w:t>
      </w:r>
      <w:r w:rsidRPr="00E76A6B">
        <w:rPr>
          <w:rFonts w:cs="Arial"/>
          <w:color w:val="000000"/>
          <w:sz w:val="24"/>
        </w:rPr>
        <w:t xml:space="preserve"> right</w:t>
      </w:r>
      <w:r w:rsidR="00D61C8E">
        <w:rPr>
          <w:rFonts w:cs="Arial"/>
          <w:color w:val="000000"/>
          <w:sz w:val="24"/>
        </w:rPr>
        <w:t>s</w:t>
      </w:r>
      <w:r w:rsidRPr="00E76A6B">
        <w:rPr>
          <w:rFonts w:cs="Arial"/>
          <w:color w:val="000000"/>
          <w:sz w:val="24"/>
        </w:rPr>
        <w:t xml:space="preserve"> guaranteed by Article 46 [Protection of Property] of the Constitution of the Republic of Kosovo (hereinafter: the Constitution), as well as Article 1 [Protection of </w:t>
      </w:r>
      <w:r w:rsidR="00D61C8E">
        <w:rPr>
          <w:rFonts w:cs="Arial"/>
          <w:color w:val="000000"/>
          <w:sz w:val="24"/>
        </w:rPr>
        <w:t>p</w:t>
      </w:r>
      <w:r w:rsidRPr="00E76A6B">
        <w:rPr>
          <w:rFonts w:cs="Arial"/>
          <w:color w:val="000000"/>
          <w:sz w:val="24"/>
        </w:rPr>
        <w:t>roperty] of Protocol no. 1 of the European Convention on Human Rights (hereinafter: ECHR)</w:t>
      </w:r>
      <w:r w:rsidR="00E633E6" w:rsidRPr="0013043F">
        <w:rPr>
          <w:sz w:val="24"/>
        </w:rPr>
        <w:t>.</w:t>
      </w:r>
    </w:p>
    <w:p w:rsidR="00E633E6" w:rsidRPr="0013043F" w:rsidRDefault="00E633E6" w:rsidP="0051797C">
      <w:pPr>
        <w:spacing w:line="240" w:lineRule="auto"/>
        <w:ind w:left="634"/>
        <w:rPr>
          <w:b/>
          <w:sz w:val="24"/>
        </w:rPr>
      </w:pPr>
    </w:p>
    <w:p w:rsidR="00E633E6" w:rsidRDefault="00E3531C" w:rsidP="0051797C">
      <w:pPr>
        <w:spacing w:line="240" w:lineRule="auto"/>
        <w:ind w:left="634" w:hanging="634"/>
        <w:rPr>
          <w:b/>
          <w:sz w:val="24"/>
        </w:rPr>
      </w:pPr>
      <w:r w:rsidRPr="00CA3F2E">
        <w:rPr>
          <w:b/>
          <w:sz w:val="24"/>
        </w:rPr>
        <w:t>Legal basis</w:t>
      </w:r>
    </w:p>
    <w:p w:rsidR="00E3531C" w:rsidRPr="0013043F" w:rsidRDefault="00E3531C" w:rsidP="0051797C">
      <w:pPr>
        <w:spacing w:line="240" w:lineRule="auto"/>
        <w:ind w:left="634" w:hanging="634"/>
        <w:rPr>
          <w:sz w:val="24"/>
        </w:rPr>
      </w:pPr>
    </w:p>
    <w:p w:rsidR="00E633E6" w:rsidRPr="0013043F" w:rsidRDefault="00E3531C" w:rsidP="0051797C">
      <w:pPr>
        <w:numPr>
          <w:ilvl w:val="0"/>
          <w:numId w:val="1"/>
        </w:numPr>
        <w:spacing w:line="240" w:lineRule="auto"/>
        <w:ind w:left="630" w:hanging="630"/>
      </w:pPr>
      <w:r w:rsidRPr="0059214D">
        <w:rPr>
          <w:sz w:val="24"/>
        </w:rPr>
        <w:t xml:space="preserve">The Referral is based on </w:t>
      </w:r>
      <w:r>
        <w:rPr>
          <w:sz w:val="24"/>
        </w:rPr>
        <w:t>paragraphs 1</w:t>
      </w:r>
      <w:r w:rsidRPr="0059214D">
        <w:rPr>
          <w:sz w:val="24"/>
        </w:rPr>
        <w:t xml:space="preserve"> and 7</w:t>
      </w:r>
      <w:r>
        <w:rPr>
          <w:sz w:val="24"/>
        </w:rPr>
        <w:t xml:space="preserve"> of Article 113</w:t>
      </w:r>
      <w:r w:rsidRPr="0059214D">
        <w:rPr>
          <w:sz w:val="24"/>
        </w:rPr>
        <w:t xml:space="preserve"> [Jurisdiction and Authorized Parties] of the Constitution, Articles 2</w:t>
      </w:r>
      <w:r>
        <w:rPr>
          <w:sz w:val="24"/>
        </w:rPr>
        <w:t>2</w:t>
      </w:r>
      <w:r w:rsidRPr="0059214D">
        <w:rPr>
          <w:sz w:val="24"/>
        </w:rPr>
        <w:t xml:space="preserve"> [</w:t>
      </w:r>
      <w:r>
        <w:rPr>
          <w:sz w:val="24"/>
        </w:rPr>
        <w:t>Processing Referrals</w:t>
      </w:r>
      <w:r w:rsidRPr="0059214D">
        <w:rPr>
          <w:sz w:val="24"/>
        </w:rPr>
        <w:t>] and 47 [Individual Requests] of the Law No. 03/L-121 on Constitutional Court of the Republic of Kosovo (hereinafter: the Law) and Rule 32 [Filing of Referrals and Replies] of the Rules of Procedure of the Constitutional Court of the Republic of Kosovo (hereinafter: the Rules of Procedure</w:t>
      </w:r>
      <w:r w:rsidR="00E633E6" w:rsidRPr="0013043F">
        <w:rPr>
          <w:sz w:val="24"/>
        </w:rPr>
        <w:t xml:space="preserve">). </w:t>
      </w:r>
    </w:p>
    <w:p w:rsidR="00E633E6" w:rsidRPr="0013043F" w:rsidRDefault="00E633E6" w:rsidP="0051797C">
      <w:pPr>
        <w:spacing w:line="240" w:lineRule="auto"/>
        <w:rPr>
          <w:sz w:val="24"/>
        </w:rPr>
      </w:pPr>
    </w:p>
    <w:p w:rsidR="00E633E6" w:rsidRPr="0013043F" w:rsidRDefault="00E3531C" w:rsidP="0051797C">
      <w:pPr>
        <w:numPr>
          <w:ilvl w:val="0"/>
          <w:numId w:val="1"/>
        </w:numPr>
        <w:spacing w:line="240" w:lineRule="auto"/>
        <w:ind w:left="630" w:hanging="630"/>
        <w:rPr>
          <w:sz w:val="24"/>
        </w:rPr>
      </w:pPr>
      <w:r w:rsidRPr="0059214D">
        <w:rPr>
          <w:sz w:val="24"/>
        </w:rPr>
        <w:t xml:space="preserve">On 31 May 2018, the Constitutional Court of the Republic of Kosovo </w:t>
      </w:r>
      <w:r>
        <w:rPr>
          <w:sz w:val="24"/>
        </w:rPr>
        <w:t xml:space="preserve">(hereinafter: the Court) </w:t>
      </w:r>
      <w:r w:rsidRPr="0059214D">
        <w:rPr>
          <w:sz w:val="24"/>
        </w:rPr>
        <w:t xml:space="preserve">adopted in the administrative session the amendments and supplementation to the Rules of Procedure, which was published in the Official </w:t>
      </w:r>
      <w:r w:rsidRPr="00807A60">
        <w:rPr>
          <w:bCs/>
          <w:iCs/>
          <w:sz w:val="24"/>
        </w:rPr>
        <w:t>Gazette</w:t>
      </w:r>
      <w:r w:rsidRPr="0059214D">
        <w:rPr>
          <w:sz w:val="24"/>
        </w:rPr>
        <w:t xml:space="preserve"> of the Republic of Kosovo on 21 June 2018 and entered into force 15 </w:t>
      </w:r>
      <w:r>
        <w:rPr>
          <w:sz w:val="24"/>
        </w:rPr>
        <w:t xml:space="preserve">(fifteen) </w:t>
      </w:r>
      <w:r w:rsidRPr="0059214D">
        <w:rPr>
          <w:sz w:val="24"/>
        </w:rPr>
        <w:t>days after its publication</w:t>
      </w:r>
      <w:r w:rsidRPr="0059214D">
        <w:rPr>
          <w:color w:val="000000"/>
          <w:sz w:val="24"/>
        </w:rPr>
        <w:t>. Accordingly, in reviewing the Referral, the Court refers to the legal provisions of the new Rules of Procedure in force</w:t>
      </w:r>
      <w:r w:rsidR="00E633E6" w:rsidRPr="0013043F">
        <w:rPr>
          <w:sz w:val="24"/>
        </w:rPr>
        <w:t>.</w:t>
      </w:r>
    </w:p>
    <w:p w:rsidR="00E633E6" w:rsidRPr="0013043F" w:rsidRDefault="00E633E6" w:rsidP="0051797C">
      <w:pPr>
        <w:spacing w:line="240" w:lineRule="auto"/>
        <w:ind w:left="634" w:hanging="634"/>
        <w:rPr>
          <w:b/>
          <w:bCs/>
          <w:iCs/>
          <w:sz w:val="24"/>
        </w:rPr>
      </w:pPr>
    </w:p>
    <w:p w:rsidR="00E3531C" w:rsidRPr="00CA3F2E" w:rsidRDefault="00E3531C" w:rsidP="0051797C">
      <w:pPr>
        <w:spacing w:line="240" w:lineRule="auto"/>
        <w:jc w:val="left"/>
        <w:rPr>
          <w:b/>
          <w:sz w:val="24"/>
        </w:rPr>
      </w:pPr>
      <w:r w:rsidRPr="00CA3F2E">
        <w:rPr>
          <w:b/>
          <w:sz w:val="24"/>
        </w:rPr>
        <w:t>Proceedings before the Court</w:t>
      </w:r>
    </w:p>
    <w:p w:rsidR="00E633E6" w:rsidRPr="0013043F" w:rsidRDefault="00E633E6" w:rsidP="0051797C">
      <w:pPr>
        <w:tabs>
          <w:tab w:val="left" w:pos="540"/>
        </w:tabs>
        <w:spacing w:line="240" w:lineRule="auto"/>
        <w:ind w:left="634" w:hanging="634"/>
        <w:rPr>
          <w:b/>
          <w:bCs/>
          <w:sz w:val="24"/>
        </w:rPr>
      </w:pPr>
    </w:p>
    <w:p w:rsidR="00E633E6" w:rsidRPr="0013043F" w:rsidRDefault="00E3531C" w:rsidP="0051797C">
      <w:pPr>
        <w:numPr>
          <w:ilvl w:val="0"/>
          <w:numId w:val="1"/>
        </w:numPr>
        <w:spacing w:line="240" w:lineRule="auto"/>
        <w:ind w:left="630" w:hanging="630"/>
        <w:rPr>
          <w:sz w:val="24"/>
        </w:rPr>
      </w:pPr>
      <w:r w:rsidRPr="00E3531C">
        <w:rPr>
          <w:color w:val="000000"/>
          <w:sz w:val="24"/>
        </w:rPr>
        <w:t>On 24 April 2018</w:t>
      </w:r>
      <w:r w:rsidR="00D61C8E">
        <w:rPr>
          <w:color w:val="000000"/>
          <w:sz w:val="24"/>
        </w:rPr>
        <w:t xml:space="preserve">, the Applicants </w:t>
      </w:r>
      <w:r w:rsidR="00D61C8E" w:rsidRPr="00BE3019">
        <w:rPr>
          <w:sz w:val="24"/>
        </w:rPr>
        <w:t>submitted</w:t>
      </w:r>
      <w:r w:rsidR="00D61C8E">
        <w:rPr>
          <w:color w:val="000000"/>
          <w:sz w:val="24"/>
        </w:rPr>
        <w:t xml:space="preserve"> the</w:t>
      </w:r>
      <w:r w:rsidRPr="00E3531C">
        <w:rPr>
          <w:color w:val="000000"/>
          <w:sz w:val="24"/>
        </w:rPr>
        <w:t xml:space="preserve"> </w:t>
      </w:r>
      <w:r w:rsidRPr="0051797C">
        <w:rPr>
          <w:sz w:val="24"/>
        </w:rPr>
        <w:t>Referral</w:t>
      </w:r>
      <w:r w:rsidRPr="00E3531C">
        <w:rPr>
          <w:color w:val="000000"/>
          <w:sz w:val="24"/>
        </w:rPr>
        <w:t xml:space="preserve"> to the Court</w:t>
      </w:r>
      <w:r w:rsidR="00E633E6" w:rsidRPr="0013043F">
        <w:rPr>
          <w:sz w:val="24"/>
        </w:rPr>
        <w:t xml:space="preserve">. </w:t>
      </w:r>
    </w:p>
    <w:p w:rsidR="00E633E6" w:rsidRPr="0013043F" w:rsidRDefault="00E633E6" w:rsidP="0051797C">
      <w:pPr>
        <w:tabs>
          <w:tab w:val="left" w:pos="540"/>
        </w:tabs>
        <w:spacing w:line="240" w:lineRule="auto"/>
        <w:ind w:left="540"/>
        <w:rPr>
          <w:sz w:val="24"/>
        </w:rPr>
      </w:pPr>
    </w:p>
    <w:p w:rsidR="00E633E6" w:rsidRPr="0013043F" w:rsidRDefault="00E3531C" w:rsidP="0051797C">
      <w:pPr>
        <w:numPr>
          <w:ilvl w:val="0"/>
          <w:numId w:val="1"/>
        </w:numPr>
        <w:spacing w:line="240" w:lineRule="auto"/>
        <w:ind w:left="630" w:hanging="630"/>
        <w:rPr>
          <w:bCs/>
          <w:sz w:val="24"/>
        </w:rPr>
      </w:pPr>
      <w:r w:rsidRPr="00E3531C">
        <w:rPr>
          <w:sz w:val="24"/>
        </w:rPr>
        <w:t>On 26 April 2018, the President of the Court appointed Judge Bekim Sejdiu as Judge Rapporteur and Review Panel composed of Judges</w:t>
      </w:r>
      <w:r w:rsidR="00D61C8E">
        <w:rPr>
          <w:sz w:val="24"/>
        </w:rPr>
        <w:t>:</w:t>
      </w:r>
      <w:r w:rsidRPr="00E3531C">
        <w:rPr>
          <w:sz w:val="24"/>
        </w:rPr>
        <w:t xml:space="preserve"> Altay Suroy (Presiding), Arta Rama-Hajrizi and Gresa Caka-Nimani (</w:t>
      </w:r>
      <w:r>
        <w:rPr>
          <w:sz w:val="24"/>
        </w:rPr>
        <w:t>m</w:t>
      </w:r>
      <w:r w:rsidRPr="00E3531C">
        <w:rPr>
          <w:sz w:val="24"/>
        </w:rPr>
        <w:t>ember</w:t>
      </w:r>
      <w:r>
        <w:rPr>
          <w:sz w:val="24"/>
        </w:rPr>
        <w:t>s</w:t>
      </w:r>
      <w:r w:rsidR="00E633E6" w:rsidRPr="0013043F">
        <w:rPr>
          <w:sz w:val="24"/>
        </w:rPr>
        <w:t>).</w:t>
      </w:r>
    </w:p>
    <w:p w:rsidR="00E633E6" w:rsidRPr="0013043F" w:rsidRDefault="00E633E6" w:rsidP="0051797C">
      <w:pPr>
        <w:pStyle w:val="ListParagraph"/>
        <w:spacing w:line="240" w:lineRule="auto"/>
        <w:rPr>
          <w:bCs/>
          <w:sz w:val="24"/>
          <w:lang w:val="en-US"/>
        </w:rPr>
      </w:pPr>
    </w:p>
    <w:p w:rsidR="00E633E6" w:rsidRPr="0013043F" w:rsidRDefault="00E3531C" w:rsidP="0051797C">
      <w:pPr>
        <w:numPr>
          <w:ilvl w:val="0"/>
          <w:numId w:val="1"/>
        </w:numPr>
        <w:spacing w:line="240" w:lineRule="auto"/>
        <w:ind w:left="630" w:hanging="630"/>
        <w:rPr>
          <w:bCs/>
          <w:sz w:val="24"/>
        </w:rPr>
      </w:pPr>
      <w:r w:rsidRPr="00E3531C">
        <w:rPr>
          <w:bCs/>
          <w:sz w:val="24"/>
        </w:rPr>
        <w:t xml:space="preserve">On 26 April 2018, the </w:t>
      </w:r>
      <w:r w:rsidRPr="00BE3019">
        <w:rPr>
          <w:sz w:val="24"/>
        </w:rPr>
        <w:t>Applicants</w:t>
      </w:r>
      <w:r w:rsidRPr="00E3531C">
        <w:rPr>
          <w:bCs/>
          <w:sz w:val="24"/>
        </w:rPr>
        <w:t xml:space="preserve"> submitted the </w:t>
      </w:r>
      <w:r w:rsidRPr="0051797C">
        <w:rPr>
          <w:sz w:val="24"/>
        </w:rPr>
        <w:t>completed</w:t>
      </w:r>
      <w:r w:rsidRPr="00E3531C">
        <w:rPr>
          <w:bCs/>
          <w:sz w:val="24"/>
        </w:rPr>
        <w:t xml:space="preserve"> </w:t>
      </w:r>
      <w:r>
        <w:rPr>
          <w:bCs/>
          <w:sz w:val="24"/>
        </w:rPr>
        <w:t>referral</w:t>
      </w:r>
      <w:r w:rsidRPr="00E3531C">
        <w:rPr>
          <w:bCs/>
          <w:sz w:val="24"/>
        </w:rPr>
        <w:t xml:space="preserve"> form</w:t>
      </w:r>
      <w:r w:rsidR="00E633E6" w:rsidRPr="0013043F">
        <w:rPr>
          <w:bCs/>
          <w:sz w:val="24"/>
        </w:rPr>
        <w:t xml:space="preserve">. </w:t>
      </w:r>
    </w:p>
    <w:p w:rsidR="00E633E6" w:rsidRPr="0013043F" w:rsidRDefault="00E633E6" w:rsidP="0051797C">
      <w:pPr>
        <w:pStyle w:val="ListParagraph"/>
        <w:spacing w:line="240" w:lineRule="auto"/>
        <w:ind w:left="540" w:hanging="540"/>
        <w:rPr>
          <w:sz w:val="24"/>
          <w:lang w:val="en-US"/>
        </w:rPr>
      </w:pPr>
    </w:p>
    <w:p w:rsidR="00E633E6" w:rsidRPr="0013043F" w:rsidRDefault="00E3531C" w:rsidP="0051797C">
      <w:pPr>
        <w:numPr>
          <w:ilvl w:val="0"/>
          <w:numId w:val="1"/>
        </w:numPr>
        <w:spacing w:line="240" w:lineRule="auto"/>
        <w:ind w:left="630" w:hanging="630"/>
        <w:rPr>
          <w:sz w:val="24"/>
        </w:rPr>
      </w:pPr>
      <w:r w:rsidRPr="00E3531C">
        <w:rPr>
          <w:sz w:val="24"/>
        </w:rPr>
        <w:t xml:space="preserve">On 21 May 2018, the Court notified the Applicants </w:t>
      </w:r>
      <w:r w:rsidR="00D61C8E">
        <w:rPr>
          <w:sz w:val="24"/>
        </w:rPr>
        <w:t>about</w:t>
      </w:r>
      <w:r w:rsidRPr="00E3531C">
        <w:rPr>
          <w:sz w:val="24"/>
        </w:rPr>
        <w:t xml:space="preserve"> the registration of the Referral and </w:t>
      </w:r>
      <w:r w:rsidR="00D61C8E">
        <w:rPr>
          <w:sz w:val="24"/>
        </w:rPr>
        <w:t>requested</w:t>
      </w:r>
      <w:r w:rsidRPr="00E3531C">
        <w:rPr>
          <w:sz w:val="24"/>
        </w:rPr>
        <w:t xml:space="preserve"> them to submit the power of attorney </w:t>
      </w:r>
      <w:r w:rsidR="00D61C8E">
        <w:rPr>
          <w:sz w:val="24"/>
        </w:rPr>
        <w:t>for representation before</w:t>
      </w:r>
      <w:r w:rsidRPr="00E3531C">
        <w:rPr>
          <w:sz w:val="24"/>
        </w:rPr>
        <w:t xml:space="preserve"> the Court</w:t>
      </w:r>
      <w:r w:rsidR="00E633E6" w:rsidRPr="0013043F">
        <w:rPr>
          <w:sz w:val="24"/>
        </w:rPr>
        <w:t xml:space="preserve">. </w:t>
      </w:r>
    </w:p>
    <w:p w:rsidR="00E633E6" w:rsidRPr="0013043F" w:rsidRDefault="00E633E6" w:rsidP="0051797C">
      <w:pPr>
        <w:pStyle w:val="ListParagraph"/>
        <w:spacing w:line="240" w:lineRule="auto"/>
        <w:rPr>
          <w:sz w:val="24"/>
          <w:lang w:val="en-US"/>
        </w:rPr>
      </w:pPr>
    </w:p>
    <w:p w:rsidR="00E633E6" w:rsidRPr="0013043F" w:rsidRDefault="00E3531C" w:rsidP="0051797C">
      <w:pPr>
        <w:numPr>
          <w:ilvl w:val="0"/>
          <w:numId w:val="1"/>
        </w:numPr>
        <w:spacing w:line="240" w:lineRule="auto"/>
        <w:ind w:left="630" w:hanging="630"/>
        <w:rPr>
          <w:sz w:val="24"/>
        </w:rPr>
      </w:pPr>
      <w:r w:rsidRPr="00E3531C">
        <w:rPr>
          <w:sz w:val="24"/>
        </w:rPr>
        <w:t xml:space="preserve">On 29 May 2018, the legal representative of the Applicants submitted the </w:t>
      </w:r>
      <w:r w:rsidR="00D61C8E">
        <w:rPr>
          <w:sz w:val="24"/>
        </w:rPr>
        <w:t>power of attorney</w:t>
      </w:r>
      <w:r w:rsidRPr="00E3531C">
        <w:rPr>
          <w:sz w:val="24"/>
        </w:rPr>
        <w:t xml:space="preserve"> requested by the Court</w:t>
      </w:r>
      <w:r w:rsidR="00E633E6" w:rsidRPr="0013043F">
        <w:rPr>
          <w:sz w:val="24"/>
        </w:rPr>
        <w:t>.</w:t>
      </w:r>
    </w:p>
    <w:p w:rsidR="00E633E6" w:rsidRPr="0013043F" w:rsidRDefault="00E633E6" w:rsidP="0051797C">
      <w:pPr>
        <w:pStyle w:val="ListParagraph"/>
        <w:spacing w:line="240" w:lineRule="auto"/>
        <w:rPr>
          <w:sz w:val="24"/>
          <w:lang w:val="en-US"/>
        </w:rPr>
      </w:pPr>
    </w:p>
    <w:p w:rsidR="00E633E6" w:rsidRPr="0013043F" w:rsidRDefault="00E3531C" w:rsidP="0051797C">
      <w:pPr>
        <w:numPr>
          <w:ilvl w:val="0"/>
          <w:numId w:val="1"/>
        </w:numPr>
        <w:spacing w:line="240" w:lineRule="auto"/>
        <w:ind w:left="630" w:hanging="630"/>
        <w:rPr>
          <w:sz w:val="24"/>
        </w:rPr>
      </w:pPr>
      <w:r w:rsidRPr="0059214D">
        <w:rPr>
          <w:sz w:val="24"/>
        </w:rPr>
        <w:t xml:space="preserve">On 16 June 2018, the mandate of judges: Snezhana Botusharova and Almiro Rodrigues </w:t>
      </w:r>
      <w:r w:rsidR="000F683C">
        <w:rPr>
          <w:sz w:val="24"/>
        </w:rPr>
        <w:t>ended</w:t>
      </w:r>
      <w:r w:rsidRPr="0059214D">
        <w:rPr>
          <w:sz w:val="24"/>
        </w:rPr>
        <w:t>. On 26 June 2018, the mandate of judges: Altay</w:t>
      </w:r>
      <w:r>
        <w:rPr>
          <w:sz w:val="24"/>
        </w:rPr>
        <w:t xml:space="preserve"> </w:t>
      </w:r>
      <w:r w:rsidRPr="0059214D">
        <w:rPr>
          <w:sz w:val="24"/>
        </w:rPr>
        <w:t xml:space="preserve">Suroy and Ivan Čukalović </w:t>
      </w:r>
      <w:r w:rsidR="000F683C">
        <w:rPr>
          <w:sz w:val="24"/>
        </w:rPr>
        <w:t>ended</w:t>
      </w:r>
      <w:r w:rsidR="00E633E6" w:rsidRPr="0013043F">
        <w:rPr>
          <w:sz w:val="24"/>
        </w:rPr>
        <w:t>.</w:t>
      </w:r>
    </w:p>
    <w:p w:rsidR="00E633E6" w:rsidRPr="0013043F" w:rsidRDefault="00E633E6" w:rsidP="0051797C">
      <w:pPr>
        <w:pStyle w:val="ListParagraph"/>
        <w:spacing w:line="240" w:lineRule="auto"/>
        <w:rPr>
          <w:sz w:val="24"/>
          <w:lang w:val="en-US"/>
        </w:rPr>
      </w:pPr>
    </w:p>
    <w:p w:rsidR="00E633E6" w:rsidRPr="0013043F" w:rsidRDefault="00E3531C" w:rsidP="0051797C">
      <w:pPr>
        <w:numPr>
          <w:ilvl w:val="0"/>
          <w:numId w:val="1"/>
        </w:numPr>
        <w:spacing w:line="240" w:lineRule="auto"/>
        <w:ind w:left="630" w:hanging="630"/>
        <w:rPr>
          <w:sz w:val="24"/>
        </w:rPr>
      </w:pPr>
      <w:r w:rsidRPr="00E3531C">
        <w:rPr>
          <w:sz w:val="24"/>
        </w:rPr>
        <w:lastRenderedPageBreak/>
        <w:t xml:space="preserve">On 23 July 2018, the Court sent a copy of the </w:t>
      </w:r>
      <w:r w:rsidR="002C79D6">
        <w:rPr>
          <w:sz w:val="24"/>
        </w:rPr>
        <w:t>Referral</w:t>
      </w:r>
      <w:r w:rsidRPr="00E3531C">
        <w:rPr>
          <w:sz w:val="24"/>
        </w:rPr>
        <w:t xml:space="preserve"> to the Special Chamber of the Supreme Court on the Privatization Agency of Kosovo</w:t>
      </w:r>
      <w:r w:rsidR="002C79D6">
        <w:rPr>
          <w:sz w:val="24"/>
        </w:rPr>
        <w:t xml:space="preserve"> Related Matters</w:t>
      </w:r>
      <w:r w:rsidRPr="00E3531C">
        <w:rPr>
          <w:sz w:val="24"/>
        </w:rPr>
        <w:t xml:space="preserve"> (hereinafter: the SCSC) and requested </w:t>
      </w:r>
      <w:r w:rsidR="003F1FBD">
        <w:rPr>
          <w:sz w:val="24"/>
        </w:rPr>
        <w:t xml:space="preserve">it </w:t>
      </w:r>
      <w:r w:rsidR="002C79D6">
        <w:rPr>
          <w:sz w:val="24"/>
        </w:rPr>
        <w:t>to submit the acknowledgment of receipt</w:t>
      </w:r>
      <w:r w:rsidRPr="00E3531C">
        <w:rPr>
          <w:sz w:val="24"/>
        </w:rPr>
        <w:t xml:space="preserve">, which </w:t>
      </w:r>
      <w:r w:rsidR="002C79D6">
        <w:rPr>
          <w:sz w:val="24"/>
        </w:rPr>
        <w:t>indicates</w:t>
      </w:r>
      <w:r w:rsidRPr="00E3531C">
        <w:rPr>
          <w:sz w:val="24"/>
        </w:rPr>
        <w:t xml:space="preserve"> th</w:t>
      </w:r>
      <w:r w:rsidR="00057C5B">
        <w:rPr>
          <w:sz w:val="24"/>
        </w:rPr>
        <w:t>e d</w:t>
      </w:r>
      <w:r w:rsidRPr="00E3531C">
        <w:rPr>
          <w:sz w:val="24"/>
        </w:rPr>
        <w:t>at</w:t>
      </w:r>
      <w:r w:rsidR="00057C5B">
        <w:rPr>
          <w:sz w:val="24"/>
        </w:rPr>
        <w:t>e</w:t>
      </w:r>
      <w:r w:rsidRPr="00E3531C">
        <w:rPr>
          <w:sz w:val="24"/>
        </w:rPr>
        <w:t xml:space="preserve"> when the Applicants have </w:t>
      </w:r>
      <w:r w:rsidR="002C79D6">
        <w:rPr>
          <w:sz w:val="24"/>
        </w:rPr>
        <w:t>received</w:t>
      </w:r>
      <w:r w:rsidRPr="00E3531C">
        <w:rPr>
          <w:sz w:val="24"/>
        </w:rPr>
        <w:t xml:space="preserve"> the </w:t>
      </w:r>
      <w:r w:rsidR="002C79D6">
        <w:rPr>
          <w:sz w:val="24"/>
        </w:rPr>
        <w:t>challenged</w:t>
      </w:r>
      <w:r w:rsidRPr="00E3531C">
        <w:rPr>
          <w:sz w:val="24"/>
        </w:rPr>
        <w:t xml:space="preserve"> decision. </w:t>
      </w:r>
      <w:r w:rsidR="002C79D6">
        <w:rPr>
          <w:sz w:val="24"/>
        </w:rPr>
        <w:t>On the same date</w:t>
      </w:r>
      <w:r w:rsidRPr="00E3531C">
        <w:rPr>
          <w:sz w:val="24"/>
        </w:rPr>
        <w:t>, the Court also notified the Privatization Agen</w:t>
      </w:r>
      <w:r w:rsidR="002C79D6">
        <w:rPr>
          <w:sz w:val="24"/>
        </w:rPr>
        <w:t>cy of Kosovo (hereinafter: the PAK</w:t>
      </w:r>
      <w:r w:rsidRPr="00E3531C">
        <w:rPr>
          <w:sz w:val="24"/>
        </w:rPr>
        <w:t xml:space="preserve">) </w:t>
      </w:r>
      <w:r w:rsidR="002C79D6">
        <w:rPr>
          <w:sz w:val="24"/>
        </w:rPr>
        <w:t>about</w:t>
      </w:r>
      <w:r w:rsidRPr="00E3531C">
        <w:rPr>
          <w:sz w:val="24"/>
        </w:rPr>
        <w:t xml:space="preserve"> the registration of the </w:t>
      </w:r>
      <w:r w:rsidR="002C79D6">
        <w:rPr>
          <w:sz w:val="24"/>
        </w:rPr>
        <w:t>Referral</w:t>
      </w:r>
      <w:r w:rsidR="00E633E6" w:rsidRPr="0013043F">
        <w:rPr>
          <w:bCs/>
          <w:sz w:val="24"/>
        </w:rPr>
        <w:t>.</w:t>
      </w:r>
    </w:p>
    <w:p w:rsidR="00E633E6" w:rsidRDefault="00E633E6" w:rsidP="0051797C">
      <w:pPr>
        <w:pStyle w:val="ListParagraph"/>
        <w:spacing w:line="240" w:lineRule="auto"/>
        <w:ind w:left="630" w:hanging="630"/>
        <w:rPr>
          <w:sz w:val="24"/>
          <w:lang w:val="en-US"/>
        </w:rPr>
      </w:pPr>
    </w:p>
    <w:p w:rsidR="00E633E6" w:rsidRPr="0013043F" w:rsidRDefault="00E3531C" w:rsidP="0051797C">
      <w:pPr>
        <w:numPr>
          <w:ilvl w:val="0"/>
          <w:numId w:val="1"/>
        </w:numPr>
        <w:spacing w:line="240" w:lineRule="auto"/>
        <w:ind w:left="630" w:hanging="630"/>
        <w:rPr>
          <w:sz w:val="24"/>
        </w:rPr>
      </w:pPr>
      <w:r w:rsidRPr="00E3531C">
        <w:rPr>
          <w:sz w:val="24"/>
        </w:rPr>
        <w:t xml:space="preserve">On 29 July 2018, the SCSC submitted to the Court the requested </w:t>
      </w:r>
      <w:r w:rsidR="003F1FBD">
        <w:rPr>
          <w:sz w:val="24"/>
        </w:rPr>
        <w:t>acknowledgment of receipt</w:t>
      </w:r>
      <w:r w:rsidR="00E633E6" w:rsidRPr="0013043F">
        <w:rPr>
          <w:sz w:val="24"/>
        </w:rPr>
        <w:t xml:space="preserve">. </w:t>
      </w:r>
    </w:p>
    <w:p w:rsidR="00E633E6" w:rsidRPr="0013043F" w:rsidRDefault="00E633E6" w:rsidP="0051797C">
      <w:pPr>
        <w:pStyle w:val="ListParagraph"/>
        <w:spacing w:line="240" w:lineRule="auto"/>
        <w:ind w:left="630" w:hanging="630"/>
        <w:rPr>
          <w:sz w:val="24"/>
          <w:lang w:val="en-US"/>
        </w:rPr>
      </w:pPr>
    </w:p>
    <w:p w:rsidR="00E633E6" w:rsidRPr="0013043F" w:rsidRDefault="00E3531C" w:rsidP="0051797C">
      <w:pPr>
        <w:numPr>
          <w:ilvl w:val="0"/>
          <w:numId w:val="1"/>
        </w:numPr>
        <w:spacing w:line="240" w:lineRule="auto"/>
        <w:ind w:left="630" w:hanging="630"/>
        <w:rPr>
          <w:sz w:val="24"/>
        </w:rPr>
      </w:pPr>
      <w:r w:rsidRPr="0059214D">
        <w:rPr>
          <w:sz w:val="24"/>
          <w:lang w:bidi="sq-AL"/>
        </w:rPr>
        <w:t xml:space="preserve">On 9 August 2018, the President of the </w:t>
      </w:r>
      <w:r w:rsidRPr="0059214D">
        <w:rPr>
          <w:sz w:val="24"/>
        </w:rPr>
        <w:t>Republic</w:t>
      </w:r>
      <w:r w:rsidRPr="0059214D">
        <w:rPr>
          <w:sz w:val="24"/>
          <w:lang w:bidi="sq-AL"/>
        </w:rPr>
        <w:t xml:space="preserve"> of Kosovo appointed new judges: Bajram Ljatifi, Safet </w:t>
      </w:r>
      <w:r w:rsidRPr="00807A60">
        <w:rPr>
          <w:bCs/>
          <w:iCs/>
          <w:sz w:val="24"/>
        </w:rPr>
        <w:t>Hoxha</w:t>
      </w:r>
      <w:r w:rsidRPr="0059214D">
        <w:rPr>
          <w:sz w:val="24"/>
          <w:lang w:bidi="sq-AL"/>
        </w:rPr>
        <w:t>, Radomir Laban, Remzije Istrefi-Peci and Nexhmi Rexhepi</w:t>
      </w:r>
      <w:r w:rsidR="00E633E6" w:rsidRPr="0013043F">
        <w:rPr>
          <w:sz w:val="24"/>
        </w:rPr>
        <w:t>.</w:t>
      </w:r>
    </w:p>
    <w:p w:rsidR="00E633E6" w:rsidRPr="0013043F" w:rsidRDefault="00E633E6" w:rsidP="0051797C">
      <w:pPr>
        <w:pStyle w:val="ListParagraph"/>
        <w:spacing w:line="240" w:lineRule="auto"/>
        <w:ind w:left="630" w:hanging="630"/>
        <w:rPr>
          <w:sz w:val="24"/>
          <w:lang w:val="en-US"/>
        </w:rPr>
      </w:pPr>
    </w:p>
    <w:p w:rsidR="00E633E6" w:rsidRPr="0013043F" w:rsidRDefault="00E3531C" w:rsidP="0051797C">
      <w:pPr>
        <w:numPr>
          <w:ilvl w:val="0"/>
          <w:numId w:val="1"/>
        </w:numPr>
        <w:spacing w:line="240" w:lineRule="auto"/>
        <w:ind w:left="630" w:hanging="630"/>
        <w:rPr>
          <w:sz w:val="24"/>
        </w:rPr>
      </w:pPr>
      <w:r w:rsidRPr="00E3531C">
        <w:rPr>
          <w:sz w:val="24"/>
        </w:rPr>
        <w:t>On 11 September 2018, the President of the Court appointed the new Review Panel composed of Judges</w:t>
      </w:r>
      <w:r w:rsidR="003F1FBD">
        <w:rPr>
          <w:sz w:val="24"/>
        </w:rPr>
        <w:t>:</w:t>
      </w:r>
      <w:r w:rsidRPr="00E3531C">
        <w:rPr>
          <w:sz w:val="24"/>
        </w:rPr>
        <w:t xml:space="preserve"> Arta Rama-Hajrizi (Presiding), Selvete Gërxhaliu-Krasniqi and Gresa Caka-Nimani (</w:t>
      </w:r>
      <w:r w:rsidR="003F1FBD">
        <w:rPr>
          <w:sz w:val="24"/>
        </w:rPr>
        <w:t>m</w:t>
      </w:r>
      <w:r w:rsidRPr="00E3531C">
        <w:rPr>
          <w:sz w:val="24"/>
        </w:rPr>
        <w:t>ember</w:t>
      </w:r>
      <w:r w:rsidR="003F1FBD">
        <w:rPr>
          <w:sz w:val="24"/>
        </w:rPr>
        <w:t>s</w:t>
      </w:r>
      <w:r w:rsidR="00E633E6" w:rsidRPr="0013043F">
        <w:rPr>
          <w:sz w:val="24"/>
        </w:rPr>
        <w:t xml:space="preserve">). </w:t>
      </w:r>
    </w:p>
    <w:p w:rsidR="00E633E6" w:rsidRPr="0013043F" w:rsidRDefault="00E633E6" w:rsidP="0051797C">
      <w:pPr>
        <w:pStyle w:val="ListParagraph"/>
        <w:spacing w:line="240" w:lineRule="auto"/>
        <w:ind w:left="630" w:hanging="630"/>
        <w:rPr>
          <w:sz w:val="24"/>
          <w:lang w:val="en-US"/>
        </w:rPr>
      </w:pPr>
    </w:p>
    <w:p w:rsidR="00E633E6" w:rsidRPr="0013043F" w:rsidRDefault="00E3531C" w:rsidP="0051797C">
      <w:pPr>
        <w:numPr>
          <w:ilvl w:val="0"/>
          <w:numId w:val="1"/>
        </w:numPr>
        <w:spacing w:line="240" w:lineRule="auto"/>
        <w:ind w:left="630" w:hanging="630"/>
        <w:rPr>
          <w:sz w:val="24"/>
        </w:rPr>
      </w:pPr>
      <w:r w:rsidRPr="00E3531C">
        <w:rPr>
          <w:sz w:val="24"/>
        </w:rPr>
        <w:t>On 18 October 2018, the Court requested the SCSC to complete the case file</w:t>
      </w:r>
      <w:r w:rsidR="00E633E6" w:rsidRPr="0013043F">
        <w:rPr>
          <w:sz w:val="24"/>
        </w:rPr>
        <w:t>.</w:t>
      </w:r>
    </w:p>
    <w:p w:rsidR="00E633E6" w:rsidRPr="0013043F" w:rsidRDefault="00E633E6" w:rsidP="0051797C">
      <w:pPr>
        <w:pStyle w:val="ListParagraph"/>
        <w:spacing w:line="240" w:lineRule="auto"/>
        <w:ind w:left="630" w:hanging="630"/>
        <w:rPr>
          <w:sz w:val="24"/>
          <w:lang w:val="en-US"/>
        </w:rPr>
      </w:pPr>
    </w:p>
    <w:p w:rsidR="00391D8E" w:rsidRPr="0013043F" w:rsidRDefault="00E3531C" w:rsidP="0051797C">
      <w:pPr>
        <w:numPr>
          <w:ilvl w:val="0"/>
          <w:numId w:val="1"/>
        </w:numPr>
        <w:spacing w:line="240" w:lineRule="auto"/>
        <w:ind w:left="630" w:hanging="630"/>
        <w:rPr>
          <w:sz w:val="24"/>
        </w:rPr>
      </w:pPr>
      <w:r w:rsidRPr="00E3531C">
        <w:rPr>
          <w:sz w:val="24"/>
        </w:rPr>
        <w:t>On 23 October 2018, the SCSC submitted to the Court the case file of the Appellate Panel</w:t>
      </w:r>
      <w:r w:rsidR="00E633E6" w:rsidRPr="0013043F">
        <w:rPr>
          <w:sz w:val="24"/>
        </w:rPr>
        <w:t>.</w:t>
      </w:r>
    </w:p>
    <w:p w:rsidR="00E633E6" w:rsidRPr="0013043F" w:rsidRDefault="00E633E6" w:rsidP="0051797C">
      <w:pPr>
        <w:pStyle w:val="ListParagraph"/>
        <w:spacing w:line="240" w:lineRule="auto"/>
        <w:rPr>
          <w:sz w:val="24"/>
          <w:lang w:val="en-US"/>
        </w:rPr>
      </w:pPr>
    </w:p>
    <w:p w:rsidR="00391D8E" w:rsidRPr="0013043F" w:rsidRDefault="00E3531C" w:rsidP="0051797C">
      <w:pPr>
        <w:numPr>
          <w:ilvl w:val="0"/>
          <w:numId w:val="1"/>
        </w:numPr>
        <w:spacing w:line="240" w:lineRule="auto"/>
        <w:ind w:left="630" w:hanging="630"/>
        <w:rPr>
          <w:sz w:val="24"/>
        </w:rPr>
      </w:pPr>
      <w:r w:rsidRPr="00E3531C">
        <w:rPr>
          <w:sz w:val="24"/>
        </w:rPr>
        <w:t>On 16 January 2019, the Review Panel considered the report of the Judge Rapporteur and unanimously recommended to the Court the inadmissibility of the Referral</w:t>
      </w:r>
      <w:r w:rsidR="00391D8E" w:rsidRPr="0013043F">
        <w:rPr>
          <w:sz w:val="24"/>
        </w:rPr>
        <w:t>.</w:t>
      </w:r>
    </w:p>
    <w:p w:rsidR="001B6489" w:rsidRPr="0013043F" w:rsidRDefault="001B6489" w:rsidP="0051797C">
      <w:pPr>
        <w:tabs>
          <w:tab w:val="left" w:pos="540"/>
        </w:tabs>
        <w:spacing w:line="240" w:lineRule="auto"/>
        <w:ind w:left="540"/>
        <w:rPr>
          <w:sz w:val="24"/>
        </w:rPr>
      </w:pPr>
    </w:p>
    <w:p w:rsidR="00FA0A15" w:rsidRPr="0013043F" w:rsidRDefault="00E3531C" w:rsidP="0051797C">
      <w:pPr>
        <w:tabs>
          <w:tab w:val="left" w:pos="540"/>
        </w:tabs>
        <w:spacing w:line="240" w:lineRule="auto"/>
        <w:ind w:left="540" w:hanging="540"/>
        <w:rPr>
          <w:b/>
          <w:sz w:val="24"/>
        </w:rPr>
      </w:pPr>
      <w:r>
        <w:rPr>
          <w:b/>
          <w:sz w:val="24"/>
        </w:rPr>
        <w:t xml:space="preserve">Summary of facts </w:t>
      </w:r>
    </w:p>
    <w:p w:rsidR="006523CB" w:rsidRPr="0013043F" w:rsidRDefault="006523CB" w:rsidP="0051797C">
      <w:pPr>
        <w:spacing w:line="240" w:lineRule="auto"/>
        <w:ind w:left="634" w:hanging="634"/>
        <w:rPr>
          <w:sz w:val="24"/>
        </w:rPr>
      </w:pPr>
    </w:p>
    <w:p w:rsidR="00E633E6" w:rsidRPr="0013043F" w:rsidRDefault="00E3531C" w:rsidP="0051797C">
      <w:pPr>
        <w:numPr>
          <w:ilvl w:val="0"/>
          <w:numId w:val="1"/>
        </w:numPr>
        <w:spacing w:line="240" w:lineRule="auto"/>
        <w:ind w:left="630" w:hanging="630"/>
        <w:rPr>
          <w:sz w:val="24"/>
        </w:rPr>
      </w:pPr>
      <w:r w:rsidRPr="00E3531C">
        <w:rPr>
          <w:sz w:val="24"/>
        </w:rPr>
        <w:t xml:space="preserve">On an unspecified date, the Socially-owned Enterprise </w:t>
      </w:r>
      <w:r w:rsidR="003F1FBD">
        <w:rPr>
          <w:sz w:val="24"/>
        </w:rPr>
        <w:t>“</w:t>
      </w:r>
      <w:r w:rsidRPr="00E3531C">
        <w:rPr>
          <w:sz w:val="24"/>
        </w:rPr>
        <w:t>Fer</w:t>
      </w:r>
      <w:r w:rsidR="003F1FBD">
        <w:rPr>
          <w:sz w:val="24"/>
        </w:rPr>
        <w:t>onikeli”</w:t>
      </w:r>
      <w:r w:rsidRPr="00E3531C">
        <w:rPr>
          <w:sz w:val="24"/>
        </w:rPr>
        <w:t xml:space="preserve"> (hereinafter: the Socially-Owned Enterprise) </w:t>
      </w:r>
      <w:r w:rsidR="0039715B" w:rsidRPr="00E3531C">
        <w:rPr>
          <w:sz w:val="24"/>
        </w:rPr>
        <w:t xml:space="preserve">filed a request </w:t>
      </w:r>
      <w:r w:rsidR="0039715B">
        <w:rPr>
          <w:sz w:val="24"/>
        </w:rPr>
        <w:t>with</w:t>
      </w:r>
      <w:r w:rsidRPr="00E3531C">
        <w:rPr>
          <w:sz w:val="24"/>
        </w:rPr>
        <w:t xml:space="preserve"> the Secretariat for Economy and Finance within the Municipal Assembly of Gllogoc (hereinafter: the Secretariat) for</w:t>
      </w:r>
      <w:r w:rsidR="0051797C">
        <w:rPr>
          <w:sz w:val="24"/>
        </w:rPr>
        <w:t xml:space="preserve"> </w:t>
      </w:r>
      <w:r w:rsidRPr="00E3531C">
        <w:rPr>
          <w:sz w:val="24"/>
        </w:rPr>
        <w:t>expropriation of a part of the cadastral parcel no. 165/3, in the Municipality of Gllogoc, which was the property of Rexhep Qorri, the Applicant's father</w:t>
      </w:r>
      <w:r w:rsidR="00E633E6" w:rsidRPr="0013043F">
        <w:t>.</w:t>
      </w:r>
    </w:p>
    <w:p w:rsidR="00E633E6" w:rsidRPr="0013043F" w:rsidRDefault="00E633E6" w:rsidP="0051797C">
      <w:pPr>
        <w:tabs>
          <w:tab w:val="left" w:pos="540"/>
        </w:tabs>
        <w:spacing w:line="240" w:lineRule="auto"/>
        <w:ind w:left="634"/>
        <w:rPr>
          <w:sz w:val="24"/>
        </w:rPr>
      </w:pPr>
    </w:p>
    <w:p w:rsidR="00E633E6" w:rsidRPr="0013043F" w:rsidRDefault="00E3531C" w:rsidP="0051797C">
      <w:pPr>
        <w:numPr>
          <w:ilvl w:val="0"/>
          <w:numId w:val="1"/>
        </w:numPr>
        <w:spacing w:line="240" w:lineRule="auto"/>
        <w:ind w:left="630" w:hanging="630"/>
        <w:rPr>
          <w:sz w:val="24"/>
        </w:rPr>
      </w:pPr>
      <w:r w:rsidRPr="00E3531C">
        <w:rPr>
          <w:sz w:val="24"/>
        </w:rPr>
        <w:t xml:space="preserve">On 4 June 1982, the Secretariat </w:t>
      </w:r>
      <w:r w:rsidR="0039715B">
        <w:rPr>
          <w:sz w:val="24"/>
        </w:rPr>
        <w:t>by</w:t>
      </w:r>
      <w:r w:rsidRPr="00E3531C">
        <w:rPr>
          <w:sz w:val="24"/>
        </w:rPr>
        <w:t xml:space="preserve"> </w:t>
      </w:r>
      <w:r w:rsidR="0039715B">
        <w:rPr>
          <w:sz w:val="24"/>
        </w:rPr>
        <w:t>Decision</w:t>
      </w:r>
      <w:r w:rsidRPr="00E3531C">
        <w:rPr>
          <w:sz w:val="24"/>
        </w:rPr>
        <w:t xml:space="preserve"> 03 N</w:t>
      </w:r>
      <w:r w:rsidR="0039715B">
        <w:rPr>
          <w:sz w:val="24"/>
        </w:rPr>
        <w:t>o</w:t>
      </w:r>
      <w:r w:rsidRPr="00E3531C">
        <w:rPr>
          <w:sz w:val="24"/>
        </w:rPr>
        <w:t xml:space="preserve">. 465-254 approved the request of the Socially Owned Enterprise to expropriate the property of the Applicant's predecessor, </w:t>
      </w:r>
      <w:r w:rsidR="0039715B">
        <w:rPr>
          <w:sz w:val="24"/>
        </w:rPr>
        <w:t>namely the</w:t>
      </w:r>
      <w:r w:rsidRPr="00E3531C">
        <w:rPr>
          <w:sz w:val="24"/>
        </w:rPr>
        <w:t xml:space="preserve"> part of the cadastral parcel no. 165/3, on the surface </w:t>
      </w:r>
      <w:r w:rsidR="0039715B">
        <w:rPr>
          <w:sz w:val="24"/>
        </w:rPr>
        <w:t xml:space="preserve">area </w:t>
      </w:r>
      <w:r w:rsidRPr="00E3531C">
        <w:rPr>
          <w:sz w:val="24"/>
        </w:rPr>
        <w:t xml:space="preserve">of </w:t>
      </w:r>
      <w:r w:rsidR="00E633E6" w:rsidRPr="0013043F">
        <w:rPr>
          <w:sz w:val="24"/>
        </w:rPr>
        <w:t>4340 m</w:t>
      </w:r>
      <w:r w:rsidR="00E633E6" w:rsidRPr="0013043F">
        <w:rPr>
          <w:sz w:val="24"/>
          <w:vertAlign w:val="superscript"/>
        </w:rPr>
        <w:t>2</w:t>
      </w:r>
      <w:r w:rsidR="00E633E6" w:rsidRPr="0013043F">
        <w:rPr>
          <w:sz w:val="24"/>
        </w:rPr>
        <w:t>.</w:t>
      </w:r>
    </w:p>
    <w:p w:rsidR="00E633E6" w:rsidRPr="0013043F" w:rsidRDefault="00E633E6" w:rsidP="0051797C">
      <w:pPr>
        <w:tabs>
          <w:tab w:val="left" w:pos="540"/>
        </w:tabs>
        <w:spacing w:line="240" w:lineRule="auto"/>
        <w:ind w:left="540"/>
        <w:rPr>
          <w:sz w:val="24"/>
        </w:rPr>
      </w:pPr>
    </w:p>
    <w:p w:rsidR="00E633E6" w:rsidRPr="0013043F" w:rsidRDefault="00E3531C" w:rsidP="0051797C">
      <w:pPr>
        <w:numPr>
          <w:ilvl w:val="0"/>
          <w:numId w:val="1"/>
        </w:numPr>
        <w:spacing w:line="240" w:lineRule="auto"/>
        <w:ind w:left="630" w:hanging="630"/>
        <w:rPr>
          <w:sz w:val="24"/>
        </w:rPr>
      </w:pPr>
      <w:r w:rsidRPr="00E3531C">
        <w:rPr>
          <w:sz w:val="24"/>
        </w:rPr>
        <w:t xml:space="preserve">On 4 July 2006, the </w:t>
      </w:r>
      <w:r w:rsidR="0039715B" w:rsidRPr="00E3531C">
        <w:rPr>
          <w:sz w:val="24"/>
        </w:rPr>
        <w:t xml:space="preserve">liquidation process </w:t>
      </w:r>
      <w:r w:rsidR="0039715B">
        <w:rPr>
          <w:sz w:val="24"/>
        </w:rPr>
        <w:t xml:space="preserve">of the </w:t>
      </w:r>
      <w:r w:rsidRPr="00E3531C">
        <w:rPr>
          <w:sz w:val="24"/>
        </w:rPr>
        <w:t>Socially Owned Enterprise beg</w:t>
      </w:r>
      <w:r w:rsidR="00EC3580">
        <w:rPr>
          <w:sz w:val="24"/>
        </w:rPr>
        <w:t>a</w:t>
      </w:r>
      <w:r w:rsidRPr="00E3531C">
        <w:rPr>
          <w:sz w:val="24"/>
        </w:rPr>
        <w:t>n</w:t>
      </w:r>
      <w:r w:rsidR="00E633E6" w:rsidRPr="0013043F">
        <w:rPr>
          <w:sz w:val="24"/>
        </w:rPr>
        <w:t>.</w:t>
      </w:r>
    </w:p>
    <w:p w:rsidR="00E633E6" w:rsidRPr="0013043F" w:rsidRDefault="00E633E6" w:rsidP="0051797C">
      <w:pPr>
        <w:pStyle w:val="ListParagraph"/>
        <w:spacing w:line="240" w:lineRule="auto"/>
        <w:ind w:left="634"/>
        <w:rPr>
          <w:sz w:val="24"/>
          <w:lang w:val="en-US"/>
        </w:rPr>
      </w:pPr>
    </w:p>
    <w:p w:rsidR="00E633E6" w:rsidRPr="0013043F" w:rsidRDefault="00E3531C" w:rsidP="0051797C">
      <w:pPr>
        <w:numPr>
          <w:ilvl w:val="0"/>
          <w:numId w:val="1"/>
        </w:numPr>
        <w:spacing w:line="240" w:lineRule="auto"/>
        <w:ind w:left="630" w:hanging="630"/>
      </w:pPr>
      <w:r w:rsidRPr="00E3531C">
        <w:rPr>
          <w:sz w:val="24"/>
        </w:rPr>
        <w:t xml:space="preserve">In 2012, the Applicant Azem Qorri, the heir of the deceased Rexhep Qorri, for the purpose of realizing the </w:t>
      </w:r>
      <w:r w:rsidR="0039715B" w:rsidRPr="00E3531C">
        <w:rPr>
          <w:sz w:val="24"/>
        </w:rPr>
        <w:t>division</w:t>
      </w:r>
      <w:r w:rsidR="0039715B">
        <w:rPr>
          <w:sz w:val="24"/>
        </w:rPr>
        <w:t xml:space="preserve"> of</w:t>
      </w:r>
      <w:r w:rsidR="0039715B" w:rsidRPr="00E3531C">
        <w:rPr>
          <w:sz w:val="24"/>
        </w:rPr>
        <w:t xml:space="preserve"> </w:t>
      </w:r>
      <w:r w:rsidRPr="00E3531C">
        <w:rPr>
          <w:sz w:val="24"/>
        </w:rPr>
        <w:t xml:space="preserve">inheritance, </w:t>
      </w:r>
      <w:r w:rsidR="0039715B" w:rsidRPr="00E3531C">
        <w:rPr>
          <w:sz w:val="24"/>
        </w:rPr>
        <w:t xml:space="preserve">requested </w:t>
      </w:r>
      <w:r w:rsidR="0039715B">
        <w:rPr>
          <w:sz w:val="24"/>
        </w:rPr>
        <w:t>from</w:t>
      </w:r>
      <w:r w:rsidRPr="00E3531C">
        <w:rPr>
          <w:sz w:val="24"/>
        </w:rPr>
        <w:t xml:space="preserve"> the Directorate for Cadastre of the Municipality of Gllogoc the issuance of </w:t>
      </w:r>
      <w:r w:rsidR="0039715B">
        <w:rPr>
          <w:sz w:val="24"/>
        </w:rPr>
        <w:t xml:space="preserve">the </w:t>
      </w:r>
      <w:r w:rsidRPr="00E3531C">
        <w:rPr>
          <w:sz w:val="24"/>
        </w:rPr>
        <w:t xml:space="preserve">possession list for parcel no. 165/3. On that occasion, according to him, </w:t>
      </w:r>
      <w:r>
        <w:rPr>
          <w:sz w:val="24"/>
        </w:rPr>
        <w:t>“</w:t>
      </w:r>
      <w:r w:rsidRPr="00E3531C">
        <w:rPr>
          <w:i/>
          <w:iCs/>
          <w:sz w:val="24"/>
        </w:rPr>
        <w:t xml:space="preserve">he </w:t>
      </w:r>
      <w:r w:rsidR="0039715B">
        <w:rPr>
          <w:i/>
          <w:iCs/>
          <w:sz w:val="24"/>
        </w:rPr>
        <w:t>noticed</w:t>
      </w:r>
      <w:r w:rsidRPr="00E3531C">
        <w:rPr>
          <w:i/>
          <w:iCs/>
          <w:sz w:val="24"/>
        </w:rPr>
        <w:t xml:space="preserve"> that the surface </w:t>
      </w:r>
      <w:r w:rsidR="0039715B">
        <w:rPr>
          <w:i/>
          <w:iCs/>
          <w:sz w:val="24"/>
        </w:rPr>
        <w:t xml:space="preserve">area </w:t>
      </w:r>
      <w:r w:rsidRPr="00E3531C">
        <w:rPr>
          <w:i/>
          <w:iCs/>
          <w:sz w:val="24"/>
        </w:rPr>
        <w:t xml:space="preserve">of the property was not the same as the surface </w:t>
      </w:r>
      <w:r w:rsidR="0039715B">
        <w:rPr>
          <w:i/>
          <w:iCs/>
          <w:sz w:val="24"/>
        </w:rPr>
        <w:t xml:space="preserve">area </w:t>
      </w:r>
      <w:r w:rsidRPr="00E3531C">
        <w:rPr>
          <w:i/>
          <w:iCs/>
          <w:sz w:val="24"/>
        </w:rPr>
        <w:t xml:space="preserve">on the possession list issued in </w:t>
      </w:r>
      <w:r w:rsidR="00E633E6" w:rsidRPr="00E3531C">
        <w:rPr>
          <w:i/>
          <w:iCs/>
          <w:sz w:val="24"/>
        </w:rPr>
        <w:t>1982</w:t>
      </w:r>
      <w:r w:rsidR="00E633E6" w:rsidRPr="0013043F">
        <w:rPr>
          <w:sz w:val="24"/>
        </w:rPr>
        <w:t>”.</w:t>
      </w:r>
    </w:p>
    <w:p w:rsidR="00E633E6" w:rsidRPr="0013043F" w:rsidRDefault="00E633E6" w:rsidP="0051797C">
      <w:pPr>
        <w:pStyle w:val="ListParagraph"/>
        <w:spacing w:line="240" w:lineRule="auto"/>
        <w:ind w:left="0"/>
        <w:rPr>
          <w:lang w:val="en-US"/>
        </w:rPr>
      </w:pPr>
    </w:p>
    <w:p w:rsidR="00E633E6" w:rsidRPr="00E3531C" w:rsidRDefault="00E3531C" w:rsidP="0051797C">
      <w:pPr>
        <w:numPr>
          <w:ilvl w:val="0"/>
          <w:numId w:val="1"/>
        </w:numPr>
        <w:spacing w:line="240" w:lineRule="auto"/>
        <w:ind w:left="630" w:hanging="630"/>
        <w:rPr>
          <w:sz w:val="24"/>
        </w:rPr>
      </w:pPr>
      <w:r w:rsidRPr="00E3531C">
        <w:rPr>
          <w:sz w:val="24"/>
        </w:rPr>
        <w:t xml:space="preserve">As a result, </w:t>
      </w:r>
      <w:r w:rsidR="007D09F2">
        <w:rPr>
          <w:sz w:val="24"/>
        </w:rPr>
        <w:t xml:space="preserve">the </w:t>
      </w:r>
      <w:r w:rsidRPr="00E3531C">
        <w:rPr>
          <w:sz w:val="24"/>
        </w:rPr>
        <w:t xml:space="preserve">Applicant Azem Qorri requested </w:t>
      </w:r>
      <w:r w:rsidR="007D09F2" w:rsidRPr="00E3531C">
        <w:rPr>
          <w:sz w:val="24"/>
        </w:rPr>
        <w:t xml:space="preserve">information </w:t>
      </w:r>
      <w:r w:rsidR="007D09F2">
        <w:rPr>
          <w:sz w:val="24"/>
        </w:rPr>
        <w:t xml:space="preserve">from the </w:t>
      </w:r>
      <w:r w:rsidRPr="00E3531C">
        <w:rPr>
          <w:sz w:val="24"/>
        </w:rPr>
        <w:t xml:space="preserve">Directorate for Cadastre of the Municipality of Gllogoc and the Kosovo Cadastral Agency regarding the parcel </w:t>
      </w:r>
      <w:r w:rsidR="007D09F2">
        <w:rPr>
          <w:sz w:val="24"/>
        </w:rPr>
        <w:t>N</w:t>
      </w:r>
      <w:r w:rsidRPr="00E3531C">
        <w:rPr>
          <w:sz w:val="24"/>
        </w:rPr>
        <w:t>o.</w:t>
      </w:r>
      <w:r w:rsidR="00E633E6" w:rsidRPr="00E3531C">
        <w:rPr>
          <w:sz w:val="24"/>
        </w:rPr>
        <w:t xml:space="preserve">165/3. </w:t>
      </w:r>
    </w:p>
    <w:p w:rsidR="00E633E6" w:rsidRPr="00E3531C" w:rsidRDefault="00E633E6" w:rsidP="0051797C">
      <w:pPr>
        <w:pStyle w:val="ListParagraph"/>
        <w:spacing w:line="240" w:lineRule="auto"/>
        <w:rPr>
          <w:sz w:val="24"/>
          <w:lang w:val="en-US"/>
        </w:rPr>
      </w:pPr>
    </w:p>
    <w:p w:rsidR="00E633E6" w:rsidRPr="0013043F" w:rsidRDefault="00E3531C" w:rsidP="0051797C">
      <w:pPr>
        <w:numPr>
          <w:ilvl w:val="0"/>
          <w:numId w:val="1"/>
        </w:numPr>
        <w:spacing w:line="240" w:lineRule="auto"/>
        <w:ind w:left="630" w:hanging="630"/>
        <w:rPr>
          <w:sz w:val="24"/>
        </w:rPr>
      </w:pPr>
      <w:r w:rsidRPr="00E3531C">
        <w:rPr>
          <w:sz w:val="24"/>
        </w:rPr>
        <w:t xml:space="preserve">On 8 May 2012, </w:t>
      </w:r>
      <w:r w:rsidR="00EC3580">
        <w:rPr>
          <w:sz w:val="24"/>
        </w:rPr>
        <w:t xml:space="preserve">the </w:t>
      </w:r>
      <w:r w:rsidRPr="00E3531C">
        <w:rPr>
          <w:sz w:val="24"/>
        </w:rPr>
        <w:t xml:space="preserve">Kosovo Cadastral Agency notified </w:t>
      </w:r>
      <w:r w:rsidR="007D09F2">
        <w:rPr>
          <w:sz w:val="24"/>
        </w:rPr>
        <w:t xml:space="preserve">the </w:t>
      </w:r>
      <w:r w:rsidRPr="00E3531C">
        <w:rPr>
          <w:sz w:val="24"/>
        </w:rPr>
        <w:t>Applicant Azem Qorri that during 2004</w:t>
      </w:r>
      <w:r w:rsidR="007D09F2">
        <w:rPr>
          <w:sz w:val="24"/>
        </w:rPr>
        <w:t>, the</w:t>
      </w:r>
      <w:r w:rsidRPr="00E3531C">
        <w:rPr>
          <w:sz w:val="24"/>
        </w:rPr>
        <w:t xml:space="preserve"> cadastral parcel </w:t>
      </w:r>
      <w:r w:rsidR="007D09F2">
        <w:rPr>
          <w:sz w:val="24"/>
        </w:rPr>
        <w:t>N</w:t>
      </w:r>
      <w:r w:rsidRPr="00E3531C">
        <w:rPr>
          <w:sz w:val="24"/>
        </w:rPr>
        <w:t xml:space="preserve">o. 165/3, in the </w:t>
      </w:r>
      <w:r w:rsidR="007D09F2">
        <w:rPr>
          <w:sz w:val="24"/>
        </w:rPr>
        <w:t xml:space="preserve">surface </w:t>
      </w:r>
      <w:r w:rsidRPr="00E3531C">
        <w:rPr>
          <w:sz w:val="24"/>
        </w:rPr>
        <w:t>area of 12,100 m</w:t>
      </w:r>
      <w:r w:rsidR="007D09F2" w:rsidRPr="00C9317B">
        <w:rPr>
          <w:sz w:val="24"/>
          <w:vertAlign w:val="superscript"/>
          <w:lang w:val="sr-Latn-CS"/>
        </w:rPr>
        <w:t>2</w:t>
      </w:r>
      <w:r w:rsidRPr="00E3531C">
        <w:rPr>
          <w:sz w:val="24"/>
        </w:rPr>
        <w:t xml:space="preserve">, was divided into two plots, </w:t>
      </w:r>
      <w:r w:rsidR="007D09F2">
        <w:rPr>
          <w:sz w:val="24"/>
        </w:rPr>
        <w:t>namely</w:t>
      </w:r>
      <w:r w:rsidRPr="00E3531C">
        <w:rPr>
          <w:sz w:val="24"/>
        </w:rPr>
        <w:t xml:space="preserve"> </w:t>
      </w:r>
      <w:r w:rsidR="007D09F2">
        <w:rPr>
          <w:sz w:val="24"/>
        </w:rPr>
        <w:t>the parcels</w:t>
      </w:r>
      <w:r w:rsidRPr="00E3531C">
        <w:rPr>
          <w:sz w:val="24"/>
        </w:rPr>
        <w:t xml:space="preserve"> no. 165/3 in </w:t>
      </w:r>
      <w:r w:rsidR="007D09F2">
        <w:rPr>
          <w:sz w:val="24"/>
        </w:rPr>
        <w:t xml:space="preserve">surface </w:t>
      </w:r>
      <w:r w:rsidRPr="00E3531C">
        <w:rPr>
          <w:sz w:val="24"/>
        </w:rPr>
        <w:t>area of 7760 m</w:t>
      </w:r>
      <w:r w:rsidR="007D09F2" w:rsidRPr="00C9317B">
        <w:rPr>
          <w:sz w:val="24"/>
          <w:vertAlign w:val="superscript"/>
          <w:lang w:val="sr-Latn-CS"/>
        </w:rPr>
        <w:t>2</w:t>
      </w:r>
      <w:r w:rsidRPr="00E3531C">
        <w:rPr>
          <w:sz w:val="24"/>
        </w:rPr>
        <w:t xml:space="preserve"> and no. 165/4, with </w:t>
      </w:r>
      <w:r w:rsidR="007D09F2">
        <w:rPr>
          <w:sz w:val="24"/>
        </w:rPr>
        <w:t>a surface</w:t>
      </w:r>
      <w:r w:rsidRPr="00E3531C">
        <w:rPr>
          <w:sz w:val="24"/>
        </w:rPr>
        <w:t xml:space="preserve"> area of 4340 m</w:t>
      </w:r>
      <w:r w:rsidR="007D09F2" w:rsidRPr="00C9317B">
        <w:rPr>
          <w:sz w:val="24"/>
          <w:vertAlign w:val="superscript"/>
          <w:lang w:val="sr-Latn-CS"/>
        </w:rPr>
        <w:t>2</w:t>
      </w:r>
      <w:r w:rsidRPr="00E3531C">
        <w:rPr>
          <w:sz w:val="24"/>
        </w:rPr>
        <w:t xml:space="preserve">. </w:t>
      </w:r>
      <w:r w:rsidR="007D09F2">
        <w:rPr>
          <w:sz w:val="24"/>
        </w:rPr>
        <w:t>The p</w:t>
      </w:r>
      <w:r w:rsidRPr="00E3531C">
        <w:rPr>
          <w:sz w:val="24"/>
        </w:rPr>
        <w:t xml:space="preserve">arcel </w:t>
      </w:r>
      <w:r w:rsidR="007D09F2">
        <w:rPr>
          <w:sz w:val="24"/>
        </w:rPr>
        <w:t>No</w:t>
      </w:r>
      <w:r w:rsidRPr="00E3531C">
        <w:rPr>
          <w:sz w:val="24"/>
        </w:rPr>
        <w:t xml:space="preserve">. 165/3 in </w:t>
      </w:r>
      <w:r w:rsidR="007D09F2">
        <w:rPr>
          <w:sz w:val="24"/>
        </w:rPr>
        <w:t>a surface</w:t>
      </w:r>
      <w:r w:rsidRPr="00E3531C">
        <w:rPr>
          <w:sz w:val="24"/>
        </w:rPr>
        <w:t xml:space="preserve"> area of 7760 m</w:t>
      </w:r>
      <w:r w:rsidR="007D09F2" w:rsidRPr="00C9317B">
        <w:rPr>
          <w:sz w:val="24"/>
          <w:vertAlign w:val="superscript"/>
          <w:lang w:val="sr-Latn-CS"/>
        </w:rPr>
        <w:t>2</w:t>
      </w:r>
      <w:r w:rsidRPr="00E3531C">
        <w:rPr>
          <w:sz w:val="24"/>
        </w:rPr>
        <w:t xml:space="preserve"> was registered on behalf of the </w:t>
      </w:r>
      <w:r w:rsidR="007D09F2">
        <w:rPr>
          <w:sz w:val="24"/>
        </w:rPr>
        <w:t>deceased</w:t>
      </w:r>
      <w:r w:rsidRPr="00E3531C">
        <w:rPr>
          <w:sz w:val="24"/>
        </w:rPr>
        <w:t xml:space="preserve"> Rexhep Qorri, the father of the Applicants, while parcel </w:t>
      </w:r>
      <w:r w:rsidR="007D09F2">
        <w:rPr>
          <w:sz w:val="24"/>
        </w:rPr>
        <w:t>N</w:t>
      </w:r>
      <w:r w:rsidRPr="00E3531C">
        <w:rPr>
          <w:sz w:val="24"/>
        </w:rPr>
        <w:t>o. 165/4, as a result of the expropriation, was registered in the new list on behalf of the Socially Owned Enterprise</w:t>
      </w:r>
      <w:r w:rsidR="00E633E6" w:rsidRPr="0013043F">
        <w:rPr>
          <w:sz w:val="24"/>
        </w:rPr>
        <w:t xml:space="preserve">. </w:t>
      </w:r>
    </w:p>
    <w:p w:rsidR="00E633E6" w:rsidRPr="0013043F" w:rsidRDefault="00E633E6" w:rsidP="0051797C">
      <w:pPr>
        <w:tabs>
          <w:tab w:val="left" w:pos="540"/>
        </w:tabs>
        <w:spacing w:line="240" w:lineRule="auto"/>
        <w:ind w:left="547"/>
        <w:rPr>
          <w:sz w:val="24"/>
        </w:rPr>
      </w:pPr>
    </w:p>
    <w:p w:rsidR="00E633E6" w:rsidRPr="0013043F" w:rsidRDefault="00E3531C" w:rsidP="0051797C">
      <w:pPr>
        <w:numPr>
          <w:ilvl w:val="0"/>
          <w:numId w:val="1"/>
        </w:numPr>
        <w:spacing w:line="240" w:lineRule="auto"/>
        <w:ind w:left="630" w:hanging="630"/>
        <w:rPr>
          <w:sz w:val="24"/>
        </w:rPr>
      </w:pPr>
      <w:r w:rsidRPr="00E3531C">
        <w:rPr>
          <w:sz w:val="24"/>
        </w:rPr>
        <w:t xml:space="preserve">On 9 July 2012, the Applicant Azem Qorri submitted a claim for compensation of property to the </w:t>
      </w:r>
      <w:r w:rsidR="007D09F2">
        <w:rPr>
          <w:sz w:val="24"/>
        </w:rPr>
        <w:t>PAK</w:t>
      </w:r>
      <w:r w:rsidRPr="00E3531C">
        <w:rPr>
          <w:sz w:val="24"/>
        </w:rPr>
        <w:t xml:space="preserve">, </w:t>
      </w:r>
      <w:r w:rsidR="007D09F2">
        <w:rPr>
          <w:sz w:val="24"/>
        </w:rPr>
        <w:t>namely</w:t>
      </w:r>
      <w:r w:rsidRPr="00E3531C">
        <w:rPr>
          <w:sz w:val="24"/>
        </w:rPr>
        <w:t xml:space="preserve"> parcel </w:t>
      </w:r>
      <w:r w:rsidR="007D09F2">
        <w:rPr>
          <w:sz w:val="24"/>
        </w:rPr>
        <w:t>N</w:t>
      </w:r>
      <w:r w:rsidRPr="00E3531C">
        <w:rPr>
          <w:sz w:val="24"/>
        </w:rPr>
        <w:t xml:space="preserve">o. 165/4, claiming that he and the other </w:t>
      </w:r>
      <w:r w:rsidR="007D09F2">
        <w:rPr>
          <w:sz w:val="24"/>
        </w:rPr>
        <w:t>heirs</w:t>
      </w:r>
      <w:r w:rsidRPr="00E3531C">
        <w:rPr>
          <w:sz w:val="24"/>
        </w:rPr>
        <w:t xml:space="preserve"> were unaware of the expropriation of the abovementioned parcel in 1982</w:t>
      </w:r>
      <w:r w:rsidR="00E633E6" w:rsidRPr="0013043F">
        <w:rPr>
          <w:sz w:val="24"/>
        </w:rPr>
        <w:t>.</w:t>
      </w:r>
    </w:p>
    <w:p w:rsidR="00E633E6" w:rsidRPr="0013043F" w:rsidRDefault="00E633E6" w:rsidP="0051797C">
      <w:pPr>
        <w:pStyle w:val="ListParagraph"/>
        <w:spacing w:line="240" w:lineRule="auto"/>
        <w:rPr>
          <w:sz w:val="24"/>
          <w:lang w:val="en-US"/>
        </w:rPr>
      </w:pPr>
    </w:p>
    <w:p w:rsidR="002E3892" w:rsidRPr="0013043F" w:rsidRDefault="00E3531C" w:rsidP="0051797C">
      <w:pPr>
        <w:numPr>
          <w:ilvl w:val="0"/>
          <w:numId w:val="1"/>
        </w:numPr>
        <w:spacing w:line="240" w:lineRule="auto"/>
        <w:ind w:left="630" w:hanging="630"/>
        <w:rPr>
          <w:sz w:val="24"/>
        </w:rPr>
      </w:pPr>
      <w:r w:rsidRPr="00E3531C">
        <w:rPr>
          <w:sz w:val="24"/>
        </w:rPr>
        <w:t xml:space="preserve">On 11 July 2012, </w:t>
      </w:r>
      <w:r w:rsidR="007D09F2">
        <w:rPr>
          <w:sz w:val="24"/>
        </w:rPr>
        <w:t xml:space="preserve">the </w:t>
      </w:r>
      <w:r w:rsidRPr="00E3531C">
        <w:rPr>
          <w:sz w:val="24"/>
        </w:rPr>
        <w:t xml:space="preserve">Applicant Azem Qorri filed a </w:t>
      </w:r>
      <w:r w:rsidR="007D09F2">
        <w:rPr>
          <w:sz w:val="24"/>
        </w:rPr>
        <w:t>claim</w:t>
      </w:r>
      <w:r w:rsidRPr="00E3531C">
        <w:rPr>
          <w:sz w:val="24"/>
        </w:rPr>
        <w:t xml:space="preserve"> against the Socially Owned Enterprise </w:t>
      </w:r>
      <w:r w:rsidR="007D09F2">
        <w:rPr>
          <w:sz w:val="24"/>
        </w:rPr>
        <w:t>with</w:t>
      </w:r>
      <w:r w:rsidRPr="00E3531C">
        <w:rPr>
          <w:sz w:val="24"/>
        </w:rPr>
        <w:t xml:space="preserve"> the SCSC for compensation of the expropriated property in 1982. In his </w:t>
      </w:r>
      <w:r w:rsidR="007D09F2">
        <w:rPr>
          <w:sz w:val="24"/>
        </w:rPr>
        <w:t>statement of claim</w:t>
      </w:r>
      <w:r w:rsidRPr="00E3531C">
        <w:rPr>
          <w:sz w:val="24"/>
        </w:rPr>
        <w:t xml:space="preserve">, Azem Qorri </w:t>
      </w:r>
      <w:r w:rsidR="007D09F2">
        <w:rPr>
          <w:sz w:val="24"/>
        </w:rPr>
        <w:t>requested</w:t>
      </w:r>
      <w:r w:rsidRPr="00E3531C">
        <w:rPr>
          <w:sz w:val="24"/>
        </w:rPr>
        <w:t xml:space="preserve"> the Socially-Owned Enterprise to compensate him with a certain monetary amount, or, in the case of non-payment of compensation, </w:t>
      </w:r>
      <w:r w:rsidR="007D09F2">
        <w:rPr>
          <w:sz w:val="24"/>
        </w:rPr>
        <w:t xml:space="preserve">to return </w:t>
      </w:r>
      <w:r w:rsidRPr="00E3531C">
        <w:rPr>
          <w:sz w:val="24"/>
        </w:rPr>
        <w:t>the immovable property</w:t>
      </w:r>
      <w:r w:rsidR="00E633E6" w:rsidRPr="0013043F">
        <w:rPr>
          <w:sz w:val="24"/>
        </w:rPr>
        <w:t>.</w:t>
      </w:r>
    </w:p>
    <w:p w:rsidR="002E3892" w:rsidRPr="0013043F" w:rsidRDefault="002E3892" w:rsidP="0051797C">
      <w:pPr>
        <w:pStyle w:val="ListParagraph"/>
        <w:spacing w:line="240" w:lineRule="auto"/>
        <w:rPr>
          <w:sz w:val="24"/>
          <w:lang w:val="en-US"/>
        </w:rPr>
      </w:pPr>
    </w:p>
    <w:p w:rsidR="004306ED" w:rsidRPr="0013043F" w:rsidRDefault="00E3531C" w:rsidP="0051797C">
      <w:pPr>
        <w:numPr>
          <w:ilvl w:val="0"/>
          <w:numId w:val="1"/>
        </w:numPr>
        <w:spacing w:line="240" w:lineRule="auto"/>
        <w:ind w:left="630" w:hanging="630"/>
        <w:rPr>
          <w:sz w:val="24"/>
        </w:rPr>
      </w:pPr>
      <w:r w:rsidRPr="00E3531C">
        <w:rPr>
          <w:sz w:val="24"/>
        </w:rPr>
        <w:t xml:space="preserve">In his </w:t>
      </w:r>
      <w:r>
        <w:rPr>
          <w:sz w:val="24"/>
        </w:rPr>
        <w:t>statement of claim</w:t>
      </w:r>
      <w:r w:rsidRPr="00E3531C">
        <w:rPr>
          <w:sz w:val="24"/>
        </w:rPr>
        <w:t xml:space="preserve">, Mr. Qorri claimed that parcel </w:t>
      </w:r>
      <w:r w:rsidR="007D09F2">
        <w:rPr>
          <w:sz w:val="24"/>
        </w:rPr>
        <w:t>N</w:t>
      </w:r>
      <w:r w:rsidRPr="00E3531C">
        <w:rPr>
          <w:sz w:val="24"/>
        </w:rPr>
        <w:t>o. 165/4 is transferred to the Socially-owned Enterprise without his knowledge</w:t>
      </w:r>
      <w:r w:rsidR="00E633E6" w:rsidRPr="0013043F">
        <w:rPr>
          <w:sz w:val="24"/>
        </w:rPr>
        <w:t xml:space="preserve">. </w:t>
      </w:r>
    </w:p>
    <w:p w:rsidR="004306ED" w:rsidRPr="0013043F" w:rsidRDefault="004306ED" w:rsidP="0051797C">
      <w:pPr>
        <w:pStyle w:val="ListParagraph"/>
        <w:spacing w:line="240" w:lineRule="auto"/>
        <w:rPr>
          <w:sz w:val="24"/>
          <w:lang w:val="en-US"/>
        </w:rPr>
      </w:pPr>
    </w:p>
    <w:p w:rsidR="00E633E6" w:rsidRPr="0013043F" w:rsidRDefault="00E3531C" w:rsidP="0051797C">
      <w:pPr>
        <w:numPr>
          <w:ilvl w:val="0"/>
          <w:numId w:val="1"/>
        </w:numPr>
        <w:spacing w:line="240" w:lineRule="auto"/>
        <w:ind w:left="630" w:hanging="630"/>
        <w:rPr>
          <w:sz w:val="24"/>
        </w:rPr>
      </w:pPr>
      <w:r w:rsidRPr="00E3531C">
        <w:rPr>
          <w:sz w:val="24"/>
        </w:rPr>
        <w:t xml:space="preserve">In its response to the </w:t>
      </w:r>
      <w:r>
        <w:rPr>
          <w:sz w:val="24"/>
        </w:rPr>
        <w:t>claim</w:t>
      </w:r>
      <w:r w:rsidRPr="00E3531C">
        <w:rPr>
          <w:sz w:val="24"/>
        </w:rPr>
        <w:t xml:space="preserve">, the </w:t>
      </w:r>
      <w:r w:rsidR="00FC0494">
        <w:rPr>
          <w:sz w:val="24"/>
        </w:rPr>
        <w:t>PAK</w:t>
      </w:r>
      <w:r w:rsidRPr="00E3531C">
        <w:rPr>
          <w:sz w:val="24"/>
        </w:rPr>
        <w:t xml:space="preserve"> requested that the </w:t>
      </w:r>
      <w:r w:rsidR="00FC0494">
        <w:rPr>
          <w:sz w:val="24"/>
        </w:rPr>
        <w:t>claim</w:t>
      </w:r>
      <w:r w:rsidRPr="00E3531C">
        <w:rPr>
          <w:sz w:val="24"/>
        </w:rPr>
        <w:t xml:space="preserve"> of Mr. </w:t>
      </w:r>
      <w:r w:rsidR="00FC0494">
        <w:rPr>
          <w:sz w:val="24"/>
        </w:rPr>
        <w:t xml:space="preserve">Qorri </w:t>
      </w:r>
      <w:r w:rsidRPr="00E3531C">
        <w:rPr>
          <w:sz w:val="24"/>
        </w:rPr>
        <w:t>is suspended</w:t>
      </w:r>
      <w:r w:rsidR="00FC0494">
        <w:rPr>
          <w:sz w:val="24"/>
        </w:rPr>
        <w:t>,</w:t>
      </w:r>
      <w:r w:rsidRPr="00E3531C">
        <w:rPr>
          <w:sz w:val="24"/>
        </w:rPr>
        <w:t xml:space="preserve"> because the SOE is in liquidation proceedings, </w:t>
      </w:r>
      <w:r w:rsidR="00FC0494">
        <w:rPr>
          <w:sz w:val="24"/>
        </w:rPr>
        <w:t>or to be</w:t>
      </w:r>
      <w:r w:rsidRPr="00E3531C">
        <w:rPr>
          <w:sz w:val="24"/>
        </w:rPr>
        <w:t xml:space="preserve"> dismiss</w:t>
      </w:r>
      <w:r w:rsidR="00FC0494">
        <w:rPr>
          <w:sz w:val="24"/>
        </w:rPr>
        <w:t>ed</w:t>
      </w:r>
      <w:r w:rsidRPr="00E3531C">
        <w:rPr>
          <w:sz w:val="24"/>
        </w:rPr>
        <w:t xml:space="preserve"> as inadmissible, or reject it as un</w:t>
      </w:r>
      <w:r w:rsidR="00FC0494">
        <w:rPr>
          <w:sz w:val="24"/>
        </w:rPr>
        <w:t>gr</w:t>
      </w:r>
      <w:r w:rsidRPr="00E3531C">
        <w:rPr>
          <w:sz w:val="24"/>
        </w:rPr>
        <w:t>ounded</w:t>
      </w:r>
      <w:r w:rsidR="00E633E6" w:rsidRPr="0013043F">
        <w:rPr>
          <w:sz w:val="24"/>
        </w:rPr>
        <w:t>.</w:t>
      </w:r>
    </w:p>
    <w:p w:rsidR="00E633E6" w:rsidRPr="0013043F" w:rsidRDefault="00E633E6" w:rsidP="0051797C">
      <w:pPr>
        <w:pStyle w:val="ListParagraph"/>
        <w:spacing w:line="240" w:lineRule="auto"/>
        <w:rPr>
          <w:sz w:val="24"/>
          <w:lang w:val="en-US"/>
        </w:rPr>
      </w:pPr>
    </w:p>
    <w:p w:rsidR="00E633E6" w:rsidRPr="0013043F" w:rsidRDefault="00E3531C" w:rsidP="0051797C">
      <w:pPr>
        <w:numPr>
          <w:ilvl w:val="0"/>
          <w:numId w:val="1"/>
        </w:numPr>
        <w:spacing w:line="240" w:lineRule="auto"/>
        <w:ind w:left="630" w:hanging="630"/>
        <w:rPr>
          <w:sz w:val="24"/>
        </w:rPr>
      </w:pPr>
      <w:r w:rsidRPr="00E3531C">
        <w:rPr>
          <w:sz w:val="24"/>
        </w:rPr>
        <w:t xml:space="preserve">On 24 July 2012, PAK, </w:t>
      </w:r>
      <w:r w:rsidR="00FC0494">
        <w:rPr>
          <w:sz w:val="24"/>
        </w:rPr>
        <w:t>namely</w:t>
      </w:r>
      <w:r w:rsidRPr="00E3531C">
        <w:rPr>
          <w:sz w:val="24"/>
        </w:rPr>
        <w:t xml:space="preserve"> the </w:t>
      </w:r>
      <w:r w:rsidR="00FC0494">
        <w:rPr>
          <w:sz w:val="24"/>
        </w:rPr>
        <w:t>presiding</w:t>
      </w:r>
      <w:r w:rsidRPr="00E3531C">
        <w:rPr>
          <w:sz w:val="24"/>
        </w:rPr>
        <w:t xml:space="preserve"> of the Liquidation </w:t>
      </w:r>
      <w:r w:rsidR="00FC0494">
        <w:rPr>
          <w:sz w:val="24"/>
        </w:rPr>
        <w:t>Committee</w:t>
      </w:r>
      <w:r w:rsidRPr="00E3531C">
        <w:rPr>
          <w:sz w:val="24"/>
        </w:rPr>
        <w:t xml:space="preserve"> of the Socially-Owned Enterprise in Li</w:t>
      </w:r>
      <w:r w:rsidR="00FC0494">
        <w:rPr>
          <w:sz w:val="24"/>
        </w:rPr>
        <w:t xml:space="preserve">quidation, regarding the </w:t>
      </w:r>
      <w:r w:rsidR="00FC0494" w:rsidRPr="00E3531C">
        <w:rPr>
          <w:sz w:val="24"/>
        </w:rPr>
        <w:t xml:space="preserve">request </w:t>
      </w:r>
      <w:r w:rsidR="00FC0494">
        <w:rPr>
          <w:sz w:val="24"/>
        </w:rPr>
        <w:t>of Mr. Qorri</w:t>
      </w:r>
      <w:r w:rsidRPr="00E3531C">
        <w:rPr>
          <w:sz w:val="24"/>
        </w:rPr>
        <w:t xml:space="preserve"> filed on 9 July 2012, informed him that after the establishment of the Liquidation Author</w:t>
      </w:r>
      <w:r w:rsidR="00FC0494">
        <w:rPr>
          <w:sz w:val="24"/>
        </w:rPr>
        <w:t>ity, pursuant to the Law Nr. 04/</w:t>
      </w:r>
      <w:r w:rsidRPr="00E3531C">
        <w:rPr>
          <w:sz w:val="24"/>
        </w:rPr>
        <w:t>L-034 on PAK, '</w:t>
      </w:r>
      <w:r w:rsidRPr="00E3531C">
        <w:rPr>
          <w:i/>
          <w:iCs/>
          <w:sz w:val="24"/>
        </w:rPr>
        <w:t>[...] the relevant liquidation authority shall promptly inform all creditors of their claims</w:t>
      </w:r>
      <w:r w:rsidR="00E633E6" w:rsidRPr="0013043F">
        <w:rPr>
          <w:i/>
          <w:sz w:val="24"/>
        </w:rPr>
        <w:t>”</w:t>
      </w:r>
      <w:r>
        <w:rPr>
          <w:i/>
          <w:sz w:val="24"/>
        </w:rPr>
        <w:t>.</w:t>
      </w:r>
    </w:p>
    <w:p w:rsidR="00E633E6" w:rsidRPr="0013043F" w:rsidRDefault="00E633E6" w:rsidP="0051797C">
      <w:pPr>
        <w:tabs>
          <w:tab w:val="left" w:pos="540"/>
        </w:tabs>
        <w:spacing w:line="240" w:lineRule="auto"/>
        <w:rPr>
          <w:sz w:val="24"/>
        </w:rPr>
      </w:pPr>
    </w:p>
    <w:p w:rsidR="00E633E6" w:rsidRPr="0013043F" w:rsidRDefault="004C3C59" w:rsidP="0051797C">
      <w:pPr>
        <w:numPr>
          <w:ilvl w:val="0"/>
          <w:numId w:val="1"/>
        </w:numPr>
        <w:spacing w:line="240" w:lineRule="auto"/>
        <w:ind w:left="630" w:hanging="630"/>
        <w:rPr>
          <w:sz w:val="24"/>
        </w:rPr>
      </w:pPr>
      <w:r w:rsidRPr="004C3C59">
        <w:rPr>
          <w:sz w:val="24"/>
        </w:rPr>
        <w:t>On 8 October 2013, throug</w:t>
      </w:r>
      <w:r w:rsidR="00FC0494">
        <w:rPr>
          <w:sz w:val="24"/>
        </w:rPr>
        <w:t xml:space="preserve">h a submission to the SCSC, </w:t>
      </w:r>
      <w:r w:rsidR="00FC0494" w:rsidRPr="004C3C59">
        <w:rPr>
          <w:sz w:val="24"/>
        </w:rPr>
        <w:t>the other Applicants: Ejup Qorri, Lebibe Qorri, Mirishah Qorri, Muharrem Qorri, Naser Qorri, Naime Qorri and Skender Qorri</w:t>
      </w:r>
      <w:r w:rsidR="00FC0494">
        <w:rPr>
          <w:sz w:val="24"/>
        </w:rPr>
        <w:t xml:space="preserve">, </w:t>
      </w:r>
      <w:r w:rsidR="00FC0494" w:rsidRPr="004C3C59">
        <w:rPr>
          <w:sz w:val="24"/>
        </w:rPr>
        <w:t>all heirs of the late Rexhep Qorri</w:t>
      </w:r>
      <w:r w:rsidR="00FC0494">
        <w:rPr>
          <w:sz w:val="24"/>
        </w:rPr>
        <w:t xml:space="preserve">, also joined the </w:t>
      </w:r>
      <w:r w:rsidRPr="004C3C59">
        <w:rPr>
          <w:sz w:val="24"/>
        </w:rPr>
        <w:t>Applicants</w:t>
      </w:r>
      <w:r w:rsidR="00FC0494">
        <w:rPr>
          <w:sz w:val="24"/>
        </w:rPr>
        <w:t>’</w:t>
      </w:r>
      <w:r w:rsidRPr="004C3C59">
        <w:rPr>
          <w:sz w:val="24"/>
        </w:rPr>
        <w:t xml:space="preserve"> </w:t>
      </w:r>
      <w:r w:rsidR="00FC0494">
        <w:rPr>
          <w:sz w:val="24"/>
        </w:rPr>
        <w:t>claim</w:t>
      </w:r>
      <w:r w:rsidR="00E633E6" w:rsidRPr="0013043F">
        <w:rPr>
          <w:sz w:val="24"/>
        </w:rPr>
        <w:t>.</w:t>
      </w:r>
    </w:p>
    <w:p w:rsidR="00E633E6" w:rsidRPr="0013043F" w:rsidRDefault="00E633E6" w:rsidP="0051797C">
      <w:pPr>
        <w:pStyle w:val="ListParagraph"/>
        <w:spacing w:line="240" w:lineRule="auto"/>
        <w:rPr>
          <w:sz w:val="24"/>
          <w:lang w:val="en-US"/>
        </w:rPr>
      </w:pPr>
    </w:p>
    <w:p w:rsidR="00E633E6" w:rsidRPr="0013043F" w:rsidRDefault="004C3C59" w:rsidP="0051797C">
      <w:pPr>
        <w:numPr>
          <w:ilvl w:val="0"/>
          <w:numId w:val="1"/>
        </w:numPr>
        <w:spacing w:line="240" w:lineRule="auto"/>
        <w:ind w:left="630" w:hanging="630"/>
        <w:rPr>
          <w:sz w:val="24"/>
        </w:rPr>
      </w:pPr>
      <w:r w:rsidRPr="004C3C59">
        <w:rPr>
          <w:sz w:val="24"/>
        </w:rPr>
        <w:t xml:space="preserve">On 25 March 2014, the Specialized </w:t>
      </w:r>
      <w:r>
        <w:rPr>
          <w:sz w:val="24"/>
        </w:rPr>
        <w:t>Panel</w:t>
      </w:r>
      <w:r w:rsidRPr="004C3C59">
        <w:rPr>
          <w:sz w:val="24"/>
        </w:rPr>
        <w:t xml:space="preserve"> of the SCSC, </w:t>
      </w:r>
      <w:r>
        <w:rPr>
          <w:sz w:val="24"/>
        </w:rPr>
        <w:t>by</w:t>
      </w:r>
      <w:r w:rsidRPr="004C3C59">
        <w:rPr>
          <w:sz w:val="24"/>
        </w:rPr>
        <w:t xml:space="preserve"> Decision, C-IV-13</w:t>
      </w:r>
      <w:r w:rsidR="00673D05">
        <w:rPr>
          <w:sz w:val="24"/>
        </w:rPr>
        <w:t>-0420, dismissed the Applicants’</w:t>
      </w:r>
      <w:r w:rsidRPr="004C3C59">
        <w:rPr>
          <w:sz w:val="24"/>
        </w:rPr>
        <w:t xml:space="preserve"> </w:t>
      </w:r>
      <w:r>
        <w:rPr>
          <w:sz w:val="24"/>
        </w:rPr>
        <w:t>claim</w:t>
      </w:r>
      <w:r w:rsidRPr="004C3C59">
        <w:rPr>
          <w:sz w:val="24"/>
        </w:rPr>
        <w:t xml:space="preserve"> as </w:t>
      </w:r>
      <w:r>
        <w:rPr>
          <w:sz w:val="24"/>
        </w:rPr>
        <w:t>i</w:t>
      </w:r>
      <w:r w:rsidRPr="004C3C59">
        <w:rPr>
          <w:sz w:val="24"/>
        </w:rPr>
        <w:t>nadmissible</w:t>
      </w:r>
      <w:r w:rsidR="00E633E6" w:rsidRPr="0013043F">
        <w:rPr>
          <w:sz w:val="24"/>
        </w:rPr>
        <w:t xml:space="preserve">. </w:t>
      </w:r>
    </w:p>
    <w:p w:rsidR="00E633E6" w:rsidRPr="0013043F" w:rsidRDefault="00E633E6" w:rsidP="0051797C">
      <w:pPr>
        <w:pStyle w:val="ListParagraph"/>
        <w:spacing w:line="240" w:lineRule="auto"/>
        <w:rPr>
          <w:sz w:val="24"/>
          <w:lang w:val="en-US"/>
        </w:rPr>
      </w:pPr>
    </w:p>
    <w:p w:rsidR="00E633E6" w:rsidRPr="0013043F" w:rsidRDefault="004C3C59" w:rsidP="0051797C">
      <w:pPr>
        <w:numPr>
          <w:ilvl w:val="0"/>
          <w:numId w:val="1"/>
        </w:numPr>
        <w:spacing w:line="240" w:lineRule="auto"/>
        <w:ind w:left="630" w:hanging="630"/>
        <w:rPr>
          <w:sz w:val="24"/>
        </w:rPr>
      </w:pPr>
      <w:r w:rsidRPr="004C3C59">
        <w:rPr>
          <w:sz w:val="24"/>
        </w:rPr>
        <w:t xml:space="preserve">The Specialized Panel found that the Applicants were supposed to be aware of the liquidation procedure. According to the Specialized Panel, the Applicants may submit </w:t>
      </w:r>
      <w:r w:rsidR="00673D05">
        <w:rPr>
          <w:sz w:val="24"/>
        </w:rPr>
        <w:t>the request</w:t>
      </w:r>
      <w:r w:rsidRPr="004C3C59">
        <w:rPr>
          <w:sz w:val="24"/>
        </w:rPr>
        <w:t xml:space="preserve"> only to the Liquidation Authority</w:t>
      </w:r>
      <w:r w:rsidR="00673D05">
        <w:rPr>
          <w:sz w:val="24"/>
        </w:rPr>
        <w:t>,</w:t>
      </w:r>
      <w:r w:rsidRPr="004C3C59">
        <w:rPr>
          <w:sz w:val="24"/>
        </w:rPr>
        <w:t xml:space="preserve"> </w:t>
      </w:r>
      <w:r w:rsidR="00673D05">
        <w:rPr>
          <w:sz w:val="24"/>
        </w:rPr>
        <w:t>but</w:t>
      </w:r>
      <w:r w:rsidRPr="004C3C59">
        <w:rPr>
          <w:sz w:val="24"/>
        </w:rPr>
        <w:t xml:space="preserve"> not to the SCSC </w:t>
      </w:r>
      <w:r w:rsidR="00673D05">
        <w:rPr>
          <w:sz w:val="24"/>
        </w:rPr>
        <w:t>because</w:t>
      </w:r>
      <w:r w:rsidR="0051797C">
        <w:rPr>
          <w:sz w:val="24"/>
        </w:rPr>
        <w:t xml:space="preserve"> </w:t>
      </w:r>
      <w:r w:rsidRPr="004C3C59">
        <w:rPr>
          <w:i/>
          <w:iCs/>
          <w:sz w:val="24"/>
        </w:rPr>
        <w:t xml:space="preserve">“[...] the Liquidation Authority should be </w:t>
      </w:r>
      <w:r w:rsidR="00673D05">
        <w:rPr>
          <w:i/>
          <w:iCs/>
          <w:sz w:val="24"/>
        </w:rPr>
        <w:t>responsible for all issues</w:t>
      </w:r>
      <w:r w:rsidRPr="004C3C59">
        <w:rPr>
          <w:i/>
          <w:iCs/>
          <w:sz w:val="24"/>
        </w:rPr>
        <w:t xml:space="preserve"> - Article 5.7 of the Law </w:t>
      </w:r>
      <w:r>
        <w:rPr>
          <w:i/>
          <w:iCs/>
          <w:sz w:val="24"/>
        </w:rPr>
        <w:t xml:space="preserve">on </w:t>
      </w:r>
      <w:r w:rsidRPr="004C3C59">
        <w:rPr>
          <w:i/>
          <w:iCs/>
          <w:sz w:val="24"/>
        </w:rPr>
        <w:t>PAK</w:t>
      </w:r>
      <w:r w:rsidR="00E633E6" w:rsidRPr="0013043F">
        <w:rPr>
          <w:i/>
          <w:sz w:val="24"/>
        </w:rPr>
        <w:t>.</w:t>
      </w:r>
      <w:r w:rsidR="00E633E6" w:rsidRPr="0013043F">
        <w:rPr>
          <w:sz w:val="24"/>
        </w:rPr>
        <w:t>”</w:t>
      </w:r>
    </w:p>
    <w:p w:rsidR="00E633E6" w:rsidRPr="0013043F" w:rsidRDefault="00E633E6" w:rsidP="0051797C">
      <w:pPr>
        <w:pStyle w:val="ListParagraph"/>
        <w:spacing w:line="240" w:lineRule="auto"/>
        <w:rPr>
          <w:sz w:val="24"/>
          <w:lang w:val="en-US"/>
        </w:rPr>
      </w:pPr>
    </w:p>
    <w:p w:rsidR="00E633E6" w:rsidRPr="0013043F" w:rsidRDefault="00E633E6" w:rsidP="0051797C">
      <w:pPr>
        <w:numPr>
          <w:ilvl w:val="0"/>
          <w:numId w:val="1"/>
        </w:numPr>
        <w:spacing w:line="240" w:lineRule="auto"/>
        <w:ind w:left="630" w:hanging="630"/>
        <w:rPr>
          <w:sz w:val="24"/>
        </w:rPr>
      </w:pPr>
      <w:r w:rsidRPr="0013043F">
        <w:rPr>
          <w:sz w:val="24"/>
        </w:rPr>
        <w:t xml:space="preserve"> </w:t>
      </w:r>
      <w:r w:rsidR="00673D05">
        <w:rPr>
          <w:sz w:val="24"/>
        </w:rPr>
        <w:t>The</w:t>
      </w:r>
      <w:r w:rsidR="004C3C59" w:rsidRPr="004C3C59">
        <w:rPr>
          <w:sz w:val="24"/>
        </w:rPr>
        <w:t xml:space="preserve"> Specialized </w:t>
      </w:r>
      <w:r w:rsidR="004C3C59">
        <w:rPr>
          <w:sz w:val="24"/>
        </w:rPr>
        <w:t>Panel</w:t>
      </w:r>
      <w:r w:rsidR="004C3C59" w:rsidRPr="004C3C59">
        <w:rPr>
          <w:sz w:val="24"/>
        </w:rPr>
        <w:t xml:space="preserve"> </w:t>
      </w:r>
      <w:r w:rsidR="00673D05">
        <w:rPr>
          <w:sz w:val="24"/>
        </w:rPr>
        <w:t xml:space="preserve">further </w:t>
      </w:r>
      <w:r w:rsidR="004C3C59">
        <w:rPr>
          <w:sz w:val="24"/>
        </w:rPr>
        <w:t>emphasized</w:t>
      </w:r>
      <w:r w:rsidR="004C3C59" w:rsidRPr="004C3C59">
        <w:rPr>
          <w:sz w:val="24"/>
        </w:rPr>
        <w:t xml:space="preserve"> that</w:t>
      </w:r>
      <w:r w:rsidRPr="0013043F">
        <w:rPr>
          <w:sz w:val="24"/>
        </w:rPr>
        <w:t>:</w:t>
      </w:r>
    </w:p>
    <w:p w:rsidR="00E633E6" w:rsidRPr="0013043F" w:rsidRDefault="00E633E6" w:rsidP="0051797C">
      <w:pPr>
        <w:pStyle w:val="ListParagraph"/>
        <w:spacing w:line="240" w:lineRule="auto"/>
        <w:rPr>
          <w:sz w:val="24"/>
          <w:lang w:val="en-US"/>
        </w:rPr>
      </w:pPr>
    </w:p>
    <w:p w:rsidR="00E633E6" w:rsidRPr="0013043F" w:rsidRDefault="00E633E6" w:rsidP="0051797C">
      <w:pPr>
        <w:tabs>
          <w:tab w:val="left" w:pos="990"/>
        </w:tabs>
        <w:spacing w:line="240" w:lineRule="auto"/>
        <w:ind w:left="990"/>
        <w:rPr>
          <w:i/>
          <w:sz w:val="24"/>
        </w:rPr>
      </w:pPr>
      <w:r w:rsidRPr="0013043F">
        <w:rPr>
          <w:i/>
          <w:sz w:val="24"/>
        </w:rPr>
        <w:t>“</w:t>
      </w:r>
      <w:r w:rsidR="00673D05">
        <w:rPr>
          <w:i/>
          <w:sz w:val="24"/>
        </w:rPr>
        <w:t>The l</w:t>
      </w:r>
      <w:r w:rsidR="004C3C59" w:rsidRPr="004C3C59">
        <w:rPr>
          <w:i/>
          <w:sz w:val="24"/>
        </w:rPr>
        <w:t xml:space="preserve">iquidation begun on 4 July 2006. The </w:t>
      </w:r>
      <w:r w:rsidR="00673D05">
        <w:rPr>
          <w:i/>
          <w:sz w:val="24"/>
        </w:rPr>
        <w:t>claimants</w:t>
      </w:r>
      <w:r w:rsidR="004C3C59" w:rsidRPr="004C3C59">
        <w:rPr>
          <w:i/>
          <w:sz w:val="24"/>
        </w:rPr>
        <w:t xml:space="preserve"> filed a </w:t>
      </w:r>
      <w:r w:rsidR="00673D05">
        <w:rPr>
          <w:i/>
          <w:sz w:val="24"/>
        </w:rPr>
        <w:t>claim</w:t>
      </w:r>
      <w:r w:rsidR="004C3C59" w:rsidRPr="004C3C59">
        <w:rPr>
          <w:i/>
          <w:sz w:val="24"/>
        </w:rPr>
        <w:t xml:space="preserve"> on </w:t>
      </w:r>
      <w:r w:rsidR="00673D05" w:rsidRPr="004C3C59">
        <w:rPr>
          <w:i/>
          <w:sz w:val="24"/>
        </w:rPr>
        <w:t>11</w:t>
      </w:r>
      <w:r w:rsidR="00673D05">
        <w:rPr>
          <w:i/>
          <w:sz w:val="24"/>
        </w:rPr>
        <w:t xml:space="preserve"> </w:t>
      </w:r>
      <w:r w:rsidR="004C3C59" w:rsidRPr="004C3C59">
        <w:rPr>
          <w:i/>
          <w:sz w:val="24"/>
        </w:rPr>
        <w:t xml:space="preserve">July 2012, </w:t>
      </w:r>
      <w:r w:rsidR="00673D05">
        <w:rPr>
          <w:i/>
          <w:sz w:val="24"/>
        </w:rPr>
        <w:t>namely</w:t>
      </w:r>
      <w:r w:rsidR="004C3C59" w:rsidRPr="004C3C59">
        <w:rPr>
          <w:i/>
          <w:sz w:val="24"/>
        </w:rPr>
        <w:t xml:space="preserve"> after the commencement of the liquidation. Therefore the claim was dismissed as inadmissible under Article 28.1, 28.3, </w:t>
      </w:r>
      <w:r w:rsidR="00673D05">
        <w:rPr>
          <w:i/>
          <w:sz w:val="24"/>
        </w:rPr>
        <w:t xml:space="preserve">of the </w:t>
      </w:r>
      <w:r w:rsidR="004C3C59" w:rsidRPr="004C3C59">
        <w:rPr>
          <w:i/>
          <w:sz w:val="24"/>
        </w:rPr>
        <w:t xml:space="preserve">Annex to the </w:t>
      </w:r>
      <w:r w:rsidR="004C3C59" w:rsidRPr="004C3C59">
        <w:rPr>
          <w:i/>
          <w:sz w:val="24"/>
        </w:rPr>
        <w:lastRenderedPageBreak/>
        <w:t xml:space="preserve">Law on the Special Chamber in conjunction with Article 5.7 of the </w:t>
      </w:r>
      <w:r w:rsidR="00673D05" w:rsidRPr="004C3C59">
        <w:rPr>
          <w:i/>
          <w:sz w:val="24"/>
        </w:rPr>
        <w:t xml:space="preserve">Law </w:t>
      </w:r>
      <w:r w:rsidR="00673D05">
        <w:rPr>
          <w:i/>
          <w:sz w:val="24"/>
        </w:rPr>
        <w:t xml:space="preserve">on </w:t>
      </w:r>
      <w:r w:rsidR="004C3C59" w:rsidRPr="004C3C59">
        <w:rPr>
          <w:i/>
          <w:sz w:val="24"/>
        </w:rPr>
        <w:t>PAK</w:t>
      </w:r>
      <w:r w:rsidR="00BE3019">
        <w:rPr>
          <w:i/>
          <w:sz w:val="24"/>
        </w:rPr>
        <w:t>”</w:t>
      </w:r>
      <w:r w:rsidRPr="0013043F">
        <w:rPr>
          <w:i/>
          <w:sz w:val="24"/>
        </w:rPr>
        <w:t>.</w:t>
      </w:r>
    </w:p>
    <w:p w:rsidR="00E633E6" w:rsidRPr="0013043F" w:rsidRDefault="00E633E6" w:rsidP="0051797C">
      <w:pPr>
        <w:pStyle w:val="ListParagraph"/>
        <w:spacing w:line="240" w:lineRule="auto"/>
        <w:rPr>
          <w:i/>
          <w:sz w:val="24"/>
          <w:lang w:val="en-US"/>
        </w:rPr>
      </w:pPr>
    </w:p>
    <w:p w:rsidR="00E633E6" w:rsidRPr="0013043F" w:rsidRDefault="004C3C59" w:rsidP="0051797C">
      <w:pPr>
        <w:numPr>
          <w:ilvl w:val="0"/>
          <w:numId w:val="1"/>
        </w:numPr>
        <w:spacing w:line="240" w:lineRule="auto"/>
        <w:ind w:left="630" w:hanging="630"/>
        <w:rPr>
          <w:sz w:val="24"/>
        </w:rPr>
      </w:pPr>
      <w:r w:rsidRPr="004C3C59">
        <w:rPr>
          <w:sz w:val="24"/>
        </w:rPr>
        <w:t xml:space="preserve">On 18 April 2014, the Applicants submitted </w:t>
      </w:r>
      <w:r w:rsidR="00673D05">
        <w:rPr>
          <w:sz w:val="24"/>
        </w:rPr>
        <w:t>an appeal</w:t>
      </w:r>
      <w:r w:rsidRPr="004C3C59">
        <w:rPr>
          <w:sz w:val="24"/>
        </w:rPr>
        <w:t xml:space="preserve"> to the Appellate Panel, against the above-mentioned Decision of the Specialized Panel. In their appeal, the Applicants alleged </w:t>
      </w:r>
      <w:r w:rsidR="00673D05">
        <w:rPr>
          <w:sz w:val="24"/>
        </w:rPr>
        <w:t>erroneous</w:t>
      </w:r>
      <w:r w:rsidRPr="004C3C59">
        <w:rPr>
          <w:sz w:val="24"/>
        </w:rPr>
        <w:t xml:space="preserve"> determination of factual situation and erroneous application of </w:t>
      </w:r>
      <w:r w:rsidR="00673D05">
        <w:rPr>
          <w:sz w:val="24"/>
        </w:rPr>
        <w:t xml:space="preserve">the </w:t>
      </w:r>
      <w:r w:rsidRPr="004C3C59">
        <w:rPr>
          <w:sz w:val="24"/>
        </w:rPr>
        <w:t>substantive law</w:t>
      </w:r>
      <w:r w:rsidR="00E633E6" w:rsidRPr="0013043F">
        <w:rPr>
          <w:sz w:val="24"/>
        </w:rPr>
        <w:t>.</w:t>
      </w:r>
    </w:p>
    <w:p w:rsidR="00E633E6" w:rsidRPr="0013043F" w:rsidRDefault="00E633E6" w:rsidP="0051797C">
      <w:pPr>
        <w:pStyle w:val="ListParagraph"/>
        <w:spacing w:line="240" w:lineRule="auto"/>
        <w:rPr>
          <w:sz w:val="24"/>
          <w:lang w:val="en-US"/>
        </w:rPr>
      </w:pPr>
    </w:p>
    <w:p w:rsidR="00E633E6" w:rsidRPr="0013043F" w:rsidRDefault="004C3C59" w:rsidP="0051797C">
      <w:pPr>
        <w:numPr>
          <w:ilvl w:val="0"/>
          <w:numId w:val="1"/>
        </w:numPr>
        <w:spacing w:line="240" w:lineRule="auto"/>
        <w:ind w:left="630" w:hanging="630"/>
        <w:rPr>
          <w:sz w:val="24"/>
        </w:rPr>
      </w:pPr>
      <w:r w:rsidRPr="004C3C59">
        <w:rPr>
          <w:sz w:val="24"/>
        </w:rPr>
        <w:t xml:space="preserve">On 6 July 2017, the Appellate Panel issued an Order requesting that the Municipality of Gllogoc, </w:t>
      </w:r>
      <w:r w:rsidR="00673D05">
        <w:rPr>
          <w:sz w:val="24"/>
        </w:rPr>
        <w:t>namely</w:t>
      </w:r>
      <w:r w:rsidRPr="004C3C59">
        <w:rPr>
          <w:sz w:val="24"/>
        </w:rPr>
        <w:t xml:space="preserve"> the Directorate for Cadastre, Geodesy and Property, within seven (7) days submit to the Appellate Panel the history of cadastral parcels </w:t>
      </w:r>
      <w:r w:rsidR="00673D05">
        <w:rPr>
          <w:sz w:val="24"/>
        </w:rPr>
        <w:t>N</w:t>
      </w:r>
      <w:r w:rsidRPr="004C3C59">
        <w:rPr>
          <w:sz w:val="24"/>
        </w:rPr>
        <w:t xml:space="preserve">o. 165/3 and 165/4, including certificates for these parcels. </w:t>
      </w:r>
      <w:r w:rsidR="00673D05">
        <w:rPr>
          <w:sz w:val="24"/>
        </w:rPr>
        <w:t>From</w:t>
      </w:r>
      <w:r w:rsidRPr="004C3C59">
        <w:rPr>
          <w:sz w:val="24"/>
        </w:rPr>
        <w:t xml:space="preserve"> the Liquidation </w:t>
      </w:r>
      <w:r w:rsidR="00673D05">
        <w:rPr>
          <w:sz w:val="24"/>
        </w:rPr>
        <w:t>Committee</w:t>
      </w:r>
      <w:r w:rsidRPr="004C3C59">
        <w:rPr>
          <w:sz w:val="24"/>
        </w:rPr>
        <w:t xml:space="preserve"> </w:t>
      </w:r>
      <w:r w:rsidR="00673D05">
        <w:rPr>
          <w:sz w:val="24"/>
        </w:rPr>
        <w:t xml:space="preserve">were </w:t>
      </w:r>
      <w:r w:rsidRPr="004C3C59">
        <w:rPr>
          <w:sz w:val="24"/>
        </w:rPr>
        <w:t xml:space="preserve">requested information on whether </w:t>
      </w:r>
      <w:r w:rsidR="00673D05">
        <w:rPr>
          <w:sz w:val="24"/>
        </w:rPr>
        <w:t xml:space="preserve">the </w:t>
      </w:r>
      <w:r w:rsidRPr="004C3C59">
        <w:rPr>
          <w:sz w:val="24"/>
        </w:rPr>
        <w:t>cadastral parcel no</w:t>
      </w:r>
      <w:r w:rsidR="00E633E6" w:rsidRPr="0013043F">
        <w:rPr>
          <w:sz w:val="24"/>
        </w:rPr>
        <w:t>. 165/4</w:t>
      </w:r>
      <w:r w:rsidR="00673D05">
        <w:rPr>
          <w:sz w:val="24"/>
        </w:rPr>
        <w:t xml:space="preserve"> was sold</w:t>
      </w:r>
      <w:r w:rsidR="00E633E6" w:rsidRPr="0013043F">
        <w:rPr>
          <w:sz w:val="24"/>
        </w:rPr>
        <w:t>.</w:t>
      </w:r>
    </w:p>
    <w:p w:rsidR="00E633E6" w:rsidRPr="0013043F" w:rsidRDefault="00E633E6" w:rsidP="0051797C">
      <w:pPr>
        <w:pStyle w:val="ListParagraph"/>
        <w:spacing w:line="240" w:lineRule="auto"/>
        <w:rPr>
          <w:sz w:val="24"/>
          <w:lang w:val="en-US"/>
        </w:rPr>
      </w:pPr>
    </w:p>
    <w:p w:rsidR="00E633E6" w:rsidRPr="0013043F" w:rsidRDefault="004C3C59" w:rsidP="0051797C">
      <w:pPr>
        <w:numPr>
          <w:ilvl w:val="0"/>
          <w:numId w:val="1"/>
        </w:numPr>
        <w:spacing w:line="240" w:lineRule="auto"/>
        <w:ind w:left="630" w:hanging="630"/>
        <w:rPr>
          <w:sz w:val="24"/>
        </w:rPr>
      </w:pPr>
      <w:r w:rsidRPr="004C3C59">
        <w:rPr>
          <w:sz w:val="24"/>
        </w:rPr>
        <w:t>On an unspecified date, the Directorate for Cadastre, Geodesy and Propert</w:t>
      </w:r>
      <w:r w:rsidR="007C18DA">
        <w:rPr>
          <w:sz w:val="24"/>
        </w:rPr>
        <w:t>y of the Municipality of Gllogo</w:t>
      </w:r>
      <w:r w:rsidRPr="004C3C59">
        <w:rPr>
          <w:sz w:val="24"/>
        </w:rPr>
        <w:t xml:space="preserve">c submitted to the Appellate Panel the required history of cadastral parcels no. 165/3 and 165/4, including the </w:t>
      </w:r>
      <w:r w:rsidR="007C18DA">
        <w:rPr>
          <w:sz w:val="24"/>
        </w:rPr>
        <w:t>decision</w:t>
      </w:r>
      <w:r w:rsidRPr="004C3C59">
        <w:rPr>
          <w:sz w:val="24"/>
        </w:rPr>
        <w:t xml:space="preserve"> on </w:t>
      </w:r>
      <w:r w:rsidR="007C18DA">
        <w:rPr>
          <w:sz w:val="24"/>
        </w:rPr>
        <w:t>e</w:t>
      </w:r>
      <w:r w:rsidRPr="004C3C59">
        <w:rPr>
          <w:sz w:val="24"/>
        </w:rPr>
        <w:t xml:space="preserve">xpropriation of 4 June 1982 and </w:t>
      </w:r>
      <w:r w:rsidR="007C18DA">
        <w:rPr>
          <w:sz w:val="24"/>
        </w:rPr>
        <w:t>d</w:t>
      </w:r>
      <w:r w:rsidRPr="004C3C59">
        <w:rPr>
          <w:sz w:val="24"/>
        </w:rPr>
        <w:t xml:space="preserve">ecision on </w:t>
      </w:r>
      <w:r w:rsidR="007C18DA">
        <w:rPr>
          <w:sz w:val="24"/>
        </w:rPr>
        <w:t>d</w:t>
      </w:r>
      <w:r w:rsidRPr="004C3C59">
        <w:rPr>
          <w:sz w:val="24"/>
        </w:rPr>
        <w:t xml:space="preserve">eclaration of </w:t>
      </w:r>
      <w:r w:rsidR="007C18DA" w:rsidRPr="004C3C59">
        <w:rPr>
          <w:sz w:val="24"/>
        </w:rPr>
        <w:t xml:space="preserve">general interest </w:t>
      </w:r>
      <w:r w:rsidR="007C18DA">
        <w:rPr>
          <w:sz w:val="24"/>
        </w:rPr>
        <w:t>for the e</w:t>
      </w:r>
      <w:r w:rsidRPr="004C3C59">
        <w:rPr>
          <w:sz w:val="24"/>
        </w:rPr>
        <w:t xml:space="preserve">xpropriation of </w:t>
      </w:r>
      <w:r w:rsidR="007C18DA">
        <w:rPr>
          <w:sz w:val="24"/>
        </w:rPr>
        <w:t>the property, by culture forest</w:t>
      </w:r>
      <w:r w:rsidRPr="004C3C59">
        <w:rPr>
          <w:sz w:val="24"/>
        </w:rPr>
        <w:t xml:space="preserve"> of 26 May 1982. In this file submitted by the Directorate for Cadastre, Geodesy and </w:t>
      </w:r>
      <w:r w:rsidR="007C18DA">
        <w:rPr>
          <w:sz w:val="24"/>
        </w:rPr>
        <w:t>P</w:t>
      </w:r>
      <w:r w:rsidRPr="004C3C59">
        <w:rPr>
          <w:sz w:val="24"/>
        </w:rPr>
        <w:t xml:space="preserve">roperty of the Municipality of Gllogoc </w:t>
      </w:r>
      <w:r w:rsidR="007C18DA">
        <w:rPr>
          <w:sz w:val="24"/>
        </w:rPr>
        <w:t>there was</w:t>
      </w:r>
      <w:r w:rsidRPr="004C3C59">
        <w:rPr>
          <w:sz w:val="24"/>
        </w:rPr>
        <w:t xml:space="preserve"> </w:t>
      </w:r>
      <w:r w:rsidR="007C18DA">
        <w:rPr>
          <w:sz w:val="24"/>
        </w:rPr>
        <w:t>no</w:t>
      </w:r>
      <w:r w:rsidRPr="004C3C59">
        <w:rPr>
          <w:sz w:val="24"/>
        </w:rPr>
        <w:t xml:space="preserve"> evidence, or any information, whether or not the </w:t>
      </w:r>
      <w:r w:rsidR="007C18DA" w:rsidRPr="00E66B35">
        <w:rPr>
          <w:sz w:val="24"/>
        </w:rPr>
        <w:t>deceden</w:t>
      </w:r>
      <w:r w:rsidR="007C18DA" w:rsidRPr="00057C5B">
        <w:rPr>
          <w:sz w:val="24"/>
        </w:rPr>
        <w:t>t</w:t>
      </w:r>
      <w:r w:rsidRPr="004C3C59">
        <w:rPr>
          <w:sz w:val="24"/>
        </w:rPr>
        <w:t xml:space="preserve"> </w:t>
      </w:r>
      <w:r w:rsidR="007C18DA">
        <w:rPr>
          <w:sz w:val="24"/>
        </w:rPr>
        <w:t>was compensated</w:t>
      </w:r>
      <w:r w:rsidRPr="004C3C59">
        <w:rPr>
          <w:sz w:val="24"/>
        </w:rPr>
        <w:t xml:space="preserve"> for the expropriation of the property in question. </w:t>
      </w:r>
      <w:r w:rsidR="007C18DA">
        <w:rPr>
          <w:sz w:val="24"/>
        </w:rPr>
        <w:t>The</w:t>
      </w:r>
      <w:r w:rsidRPr="004C3C59">
        <w:rPr>
          <w:sz w:val="24"/>
        </w:rPr>
        <w:t xml:space="preserve"> Liquidation </w:t>
      </w:r>
      <w:r w:rsidR="007C18DA">
        <w:rPr>
          <w:sz w:val="24"/>
        </w:rPr>
        <w:t>Committee</w:t>
      </w:r>
      <w:r w:rsidRPr="004C3C59">
        <w:rPr>
          <w:sz w:val="24"/>
        </w:rPr>
        <w:t xml:space="preserve"> </w:t>
      </w:r>
      <w:r w:rsidR="007C18DA">
        <w:rPr>
          <w:sz w:val="24"/>
        </w:rPr>
        <w:t>notified</w:t>
      </w:r>
      <w:r w:rsidRPr="004C3C59">
        <w:rPr>
          <w:sz w:val="24"/>
        </w:rPr>
        <w:t xml:space="preserve"> the Appellate Panel that parcel </w:t>
      </w:r>
      <w:r w:rsidR="007C18DA">
        <w:rPr>
          <w:sz w:val="24"/>
        </w:rPr>
        <w:t>N</w:t>
      </w:r>
      <w:r w:rsidRPr="004C3C59">
        <w:rPr>
          <w:sz w:val="24"/>
        </w:rPr>
        <w:t xml:space="preserve">o. 165/4 </w:t>
      </w:r>
      <w:r w:rsidR="007C18DA">
        <w:rPr>
          <w:sz w:val="24"/>
        </w:rPr>
        <w:t>was not</w:t>
      </w:r>
      <w:r w:rsidRPr="004C3C59">
        <w:rPr>
          <w:sz w:val="24"/>
        </w:rPr>
        <w:t xml:space="preserve"> sold and </w:t>
      </w:r>
      <w:r>
        <w:rPr>
          <w:sz w:val="24"/>
        </w:rPr>
        <w:t>“</w:t>
      </w:r>
      <w:r w:rsidR="007C18DA" w:rsidRPr="007C18DA">
        <w:rPr>
          <w:i/>
          <w:iCs/>
          <w:sz w:val="24"/>
        </w:rPr>
        <w:t>it</w:t>
      </w:r>
      <w:r w:rsidR="007C18DA">
        <w:rPr>
          <w:sz w:val="24"/>
        </w:rPr>
        <w:t xml:space="preserve"> </w:t>
      </w:r>
      <w:r w:rsidRPr="004C3C59">
        <w:rPr>
          <w:i/>
          <w:iCs/>
          <w:sz w:val="24"/>
        </w:rPr>
        <w:t>does not appear in the privatization contract and accompanying documentation</w:t>
      </w:r>
      <w:r w:rsidR="00E633E6" w:rsidRPr="0013043F">
        <w:rPr>
          <w:i/>
          <w:sz w:val="24"/>
        </w:rPr>
        <w:t>”</w:t>
      </w:r>
      <w:r>
        <w:rPr>
          <w:i/>
          <w:sz w:val="24"/>
        </w:rPr>
        <w:t>.</w:t>
      </w:r>
    </w:p>
    <w:p w:rsidR="00E633E6" w:rsidRPr="0013043F" w:rsidRDefault="00E633E6" w:rsidP="0051797C">
      <w:pPr>
        <w:pStyle w:val="ListParagraph"/>
        <w:spacing w:line="240" w:lineRule="auto"/>
        <w:rPr>
          <w:sz w:val="24"/>
          <w:lang w:val="en-US"/>
        </w:rPr>
      </w:pPr>
    </w:p>
    <w:p w:rsidR="00E633E6" w:rsidRPr="0013043F" w:rsidRDefault="004C3C59" w:rsidP="0051797C">
      <w:pPr>
        <w:numPr>
          <w:ilvl w:val="0"/>
          <w:numId w:val="1"/>
        </w:numPr>
        <w:spacing w:line="240" w:lineRule="auto"/>
        <w:ind w:left="630" w:hanging="630"/>
        <w:rPr>
          <w:sz w:val="24"/>
        </w:rPr>
      </w:pPr>
      <w:r w:rsidRPr="004C3C59">
        <w:rPr>
          <w:sz w:val="24"/>
        </w:rPr>
        <w:t xml:space="preserve">On 5 September 2017, the </w:t>
      </w:r>
      <w:r>
        <w:rPr>
          <w:sz w:val="24"/>
        </w:rPr>
        <w:t>PAK</w:t>
      </w:r>
      <w:r w:rsidRPr="004C3C59">
        <w:rPr>
          <w:sz w:val="24"/>
        </w:rPr>
        <w:t xml:space="preserve"> submitted to the SCSC a </w:t>
      </w:r>
      <w:r w:rsidR="002323FB">
        <w:rPr>
          <w:sz w:val="24"/>
        </w:rPr>
        <w:t>submission</w:t>
      </w:r>
      <w:r w:rsidRPr="004C3C59">
        <w:rPr>
          <w:sz w:val="24"/>
        </w:rPr>
        <w:t xml:space="preserve"> </w:t>
      </w:r>
      <w:r w:rsidR="002323FB">
        <w:rPr>
          <w:sz w:val="24"/>
        </w:rPr>
        <w:t>notifying</w:t>
      </w:r>
      <w:r w:rsidRPr="004C3C59">
        <w:rPr>
          <w:sz w:val="24"/>
        </w:rPr>
        <w:t xml:space="preserve"> that on 18 August 2017</w:t>
      </w:r>
      <w:r w:rsidR="00EE323C">
        <w:rPr>
          <w:sz w:val="24"/>
        </w:rPr>
        <w:t>,</w:t>
      </w:r>
      <w:r w:rsidRPr="004C3C59">
        <w:rPr>
          <w:sz w:val="24"/>
        </w:rPr>
        <w:t xml:space="preserve"> </w:t>
      </w:r>
      <w:r>
        <w:rPr>
          <w:sz w:val="24"/>
        </w:rPr>
        <w:t>PAK</w:t>
      </w:r>
      <w:r w:rsidRPr="004C3C59">
        <w:rPr>
          <w:sz w:val="24"/>
        </w:rPr>
        <w:t xml:space="preserve"> officials had personally visited the Municipality of Gllogoc, in which case they requested the expropr</w:t>
      </w:r>
      <w:r w:rsidR="00EE323C">
        <w:rPr>
          <w:sz w:val="24"/>
        </w:rPr>
        <w:t xml:space="preserve">iation file of the parcel no. </w:t>
      </w:r>
      <w:r w:rsidRPr="004C3C59">
        <w:rPr>
          <w:sz w:val="24"/>
        </w:rPr>
        <w:t xml:space="preserve">165/4. According to the PAK submission, the Municipality of Gllogoc </w:t>
      </w:r>
      <w:r w:rsidR="00EE323C">
        <w:rPr>
          <w:sz w:val="24"/>
        </w:rPr>
        <w:t>gave them</w:t>
      </w:r>
      <w:r w:rsidRPr="004C3C59">
        <w:rPr>
          <w:sz w:val="24"/>
        </w:rPr>
        <w:t xml:space="preserve"> a file containing </w:t>
      </w:r>
      <w:r w:rsidR="00EE323C">
        <w:rPr>
          <w:sz w:val="24"/>
        </w:rPr>
        <w:t>d</w:t>
      </w:r>
      <w:r w:rsidR="00EE323C" w:rsidRPr="004C3C59">
        <w:rPr>
          <w:sz w:val="24"/>
        </w:rPr>
        <w:t xml:space="preserve">ecision </w:t>
      </w:r>
      <w:r w:rsidR="00EE323C">
        <w:rPr>
          <w:sz w:val="24"/>
        </w:rPr>
        <w:t>on</w:t>
      </w:r>
      <w:r w:rsidR="00EE323C" w:rsidRPr="004C3C59">
        <w:rPr>
          <w:sz w:val="24"/>
        </w:rPr>
        <w:t xml:space="preserve"> expropriation </w:t>
      </w:r>
      <w:r w:rsidR="00EE323C">
        <w:rPr>
          <w:sz w:val="24"/>
        </w:rPr>
        <w:t>of</w:t>
      </w:r>
      <w:r w:rsidRPr="004C3C59">
        <w:rPr>
          <w:sz w:val="24"/>
        </w:rPr>
        <w:t xml:space="preserve"> 1982. On the same da</w:t>
      </w:r>
      <w:r w:rsidR="00EE323C">
        <w:rPr>
          <w:sz w:val="24"/>
        </w:rPr>
        <w:t>te, the above</w:t>
      </w:r>
      <w:r w:rsidRPr="004C3C59">
        <w:rPr>
          <w:sz w:val="24"/>
        </w:rPr>
        <w:t xml:space="preserve">mentioned officials again filed a request for </w:t>
      </w:r>
      <w:r w:rsidR="00EE323C">
        <w:rPr>
          <w:sz w:val="24"/>
        </w:rPr>
        <w:t>submission of</w:t>
      </w:r>
      <w:r w:rsidRPr="004C3C59">
        <w:rPr>
          <w:sz w:val="24"/>
        </w:rPr>
        <w:t xml:space="preserve"> the file regarding the expropriation of the </w:t>
      </w:r>
      <w:r w:rsidR="00EE323C" w:rsidRPr="004C3C59">
        <w:rPr>
          <w:sz w:val="24"/>
        </w:rPr>
        <w:t>above</w:t>
      </w:r>
      <w:r w:rsidR="00EE323C">
        <w:rPr>
          <w:sz w:val="24"/>
        </w:rPr>
        <w:t>mentioned</w:t>
      </w:r>
      <w:r w:rsidR="00EE323C" w:rsidRPr="004C3C59">
        <w:rPr>
          <w:sz w:val="24"/>
        </w:rPr>
        <w:t xml:space="preserve"> </w:t>
      </w:r>
      <w:r w:rsidRPr="004C3C59">
        <w:rPr>
          <w:sz w:val="24"/>
        </w:rPr>
        <w:t>parcel</w:t>
      </w:r>
      <w:r w:rsidR="00EE323C">
        <w:rPr>
          <w:sz w:val="24"/>
        </w:rPr>
        <w:t>, by</w:t>
      </w:r>
      <w:r w:rsidRPr="004C3C59">
        <w:rPr>
          <w:sz w:val="24"/>
        </w:rPr>
        <w:t xml:space="preserve"> which expressly required the evidence of compensation of the expropriated property. The PAK in its submission emphasized the following: </w:t>
      </w:r>
      <w:r>
        <w:rPr>
          <w:sz w:val="24"/>
        </w:rPr>
        <w:t>“</w:t>
      </w:r>
      <w:r w:rsidR="00EE323C">
        <w:rPr>
          <w:i/>
          <w:iCs/>
          <w:sz w:val="24"/>
        </w:rPr>
        <w:t>We consider that</w:t>
      </w:r>
      <w:r w:rsidRPr="004C3C59">
        <w:rPr>
          <w:i/>
          <w:iCs/>
          <w:sz w:val="24"/>
        </w:rPr>
        <w:t xml:space="preserve"> it is in the </w:t>
      </w:r>
      <w:r w:rsidR="00EE323C">
        <w:rPr>
          <w:i/>
          <w:iCs/>
          <w:sz w:val="24"/>
        </w:rPr>
        <w:t>interest</w:t>
      </w:r>
      <w:r w:rsidRPr="004C3C59">
        <w:rPr>
          <w:i/>
          <w:iCs/>
          <w:sz w:val="24"/>
        </w:rPr>
        <w:t xml:space="preserve"> of the truth that this </w:t>
      </w:r>
      <w:r w:rsidR="00EE323C">
        <w:rPr>
          <w:i/>
          <w:iCs/>
          <w:sz w:val="24"/>
        </w:rPr>
        <w:t>P</w:t>
      </w:r>
      <w:r w:rsidRPr="004C3C59">
        <w:rPr>
          <w:i/>
          <w:iCs/>
          <w:sz w:val="24"/>
        </w:rPr>
        <w:t>anel</w:t>
      </w:r>
      <w:r w:rsidR="00EE323C">
        <w:rPr>
          <w:i/>
          <w:iCs/>
          <w:sz w:val="24"/>
        </w:rPr>
        <w:t>,</w:t>
      </w:r>
      <w:r w:rsidRPr="004C3C59">
        <w:rPr>
          <w:i/>
          <w:iCs/>
          <w:sz w:val="24"/>
        </w:rPr>
        <w:t xml:space="preserve"> </w:t>
      </w:r>
      <w:r w:rsidR="00EE323C">
        <w:rPr>
          <w:i/>
          <w:iCs/>
          <w:sz w:val="24"/>
        </w:rPr>
        <w:t>which</w:t>
      </w:r>
      <w:r w:rsidRPr="004C3C59">
        <w:rPr>
          <w:i/>
          <w:iCs/>
          <w:sz w:val="24"/>
        </w:rPr>
        <w:t xml:space="preserve"> is considering the case,</w:t>
      </w:r>
      <w:r w:rsidR="00EE323C">
        <w:rPr>
          <w:i/>
          <w:iCs/>
          <w:sz w:val="24"/>
        </w:rPr>
        <w:t xml:space="preserve"> requests,</w:t>
      </w:r>
      <w:r w:rsidR="0051797C">
        <w:rPr>
          <w:i/>
          <w:iCs/>
          <w:sz w:val="24"/>
        </w:rPr>
        <w:t xml:space="preserve"> </w:t>
      </w:r>
      <w:r w:rsidRPr="004C3C59">
        <w:rPr>
          <w:i/>
          <w:iCs/>
          <w:sz w:val="24"/>
        </w:rPr>
        <w:t xml:space="preserve">but not the factual situation </w:t>
      </w:r>
      <w:r w:rsidR="00EE323C">
        <w:rPr>
          <w:i/>
          <w:iCs/>
          <w:sz w:val="24"/>
        </w:rPr>
        <w:t>from</w:t>
      </w:r>
      <w:r w:rsidRPr="004C3C59">
        <w:rPr>
          <w:i/>
          <w:iCs/>
          <w:sz w:val="24"/>
        </w:rPr>
        <w:t xml:space="preserve"> the cadastre but the expropriation file in which the bill of payment is expected </w:t>
      </w:r>
      <w:r w:rsidR="00EE323C">
        <w:rPr>
          <w:i/>
          <w:iCs/>
          <w:sz w:val="24"/>
        </w:rPr>
        <w:t>to be for</w:t>
      </w:r>
      <w:r w:rsidRPr="004C3C59">
        <w:rPr>
          <w:i/>
          <w:iCs/>
          <w:sz w:val="24"/>
        </w:rPr>
        <w:t xml:space="preserve"> this expropriated property. The claimants did not submit any evidence proving that they have ever claimed this compensation in the administrative procedure</w:t>
      </w:r>
      <w:r w:rsidR="00E633E6" w:rsidRPr="0013043F">
        <w:rPr>
          <w:i/>
          <w:sz w:val="24"/>
        </w:rPr>
        <w:t>“</w:t>
      </w:r>
      <w:r>
        <w:rPr>
          <w:i/>
          <w:sz w:val="24"/>
        </w:rPr>
        <w:t>.</w:t>
      </w:r>
    </w:p>
    <w:p w:rsidR="00E633E6" w:rsidRPr="0013043F" w:rsidRDefault="00E633E6" w:rsidP="0051797C">
      <w:pPr>
        <w:pStyle w:val="ListParagraph"/>
        <w:spacing w:line="240" w:lineRule="auto"/>
        <w:rPr>
          <w:sz w:val="24"/>
          <w:lang w:val="en-US"/>
        </w:rPr>
      </w:pPr>
    </w:p>
    <w:p w:rsidR="00E633E6" w:rsidRPr="0013043F" w:rsidRDefault="004C3C59" w:rsidP="0051797C">
      <w:pPr>
        <w:numPr>
          <w:ilvl w:val="0"/>
          <w:numId w:val="1"/>
        </w:numPr>
        <w:spacing w:line="240" w:lineRule="auto"/>
        <w:ind w:left="630" w:hanging="630"/>
        <w:rPr>
          <w:sz w:val="24"/>
        </w:rPr>
      </w:pPr>
      <w:r w:rsidRPr="004C3C59">
        <w:rPr>
          <w:sz w:val="24"/>
        </w:rPr>
        <w:t xml:space="preserve">On 29 September 2017, the Appellate Panel issued another </w:t>
      </w:r>
      <w:r w:rsidR="00EE323C">
        <w:rPr>
          <w:sz w:val="24"/>
        </w:rPr>
        <w:t>o</w:t>
      </w:r>
      <w:r w:rsidRPr="004C3C59">
        <w:rPr>
          <w:sz w:val="24"/>
        </w:rPr>
        <w:t>rder</w:t>
      </w:r>
      <w:r w:rsidR="00EE323C">
        <w:rPr>
          <w:sz w:val="24"/>
        </w:rPr>
        <w:t>,</w:t>
      </w:r>
      <w:r w:rsidRPr="004C3C59">
        <w:rPr>
          <w:sz w:val="24"/>
        </w:rPr>
        <w:t xml:space="preserve"> ordering that the </w:t>
      </w:r>
      <w:r w:rsidR="00EE323C">
        <w:rPr>
          <w:sz w:val="24"/>
        </w:rPr>
        <w:t>PAK</w:t>
      </w:r>
      <w:r w:rsidRPr="004C3C59">
        <w:rPr>
          <w:sz w:val="24"/>
        </w:rPr>
        <w:t xml:space="preserve"> submission of 5 September 2017 be sent to the Applicants for information</w:t>
      </w:r>
      <w:r w:rsidR="00E633E6" w:rsidRPr="0013043F">
        <w:rPr>
          <w:sz w:val="24"/>
        </w:rPr>
        <w:t>.</w:t>
      </w:r>
    </w:p>
    <w:p w:rsidR="00E633E6" w:rsidRPr="0013043F" w:rsidRDefault="00E633E6" w:rsidP="0051797C">
      <w:pPr>
        <w:pStyle w:val="ListParagraph"/>
        <w:spacing w:line="240" w:lineRule="auto"/>
        <w:rPr>
          <w:sz w:val="24"/>
          <w:lang w:val="en-US"/>
        </w:rPr>
      </w:pPr>
    </w:p>
    <w:p w:rsidR="00E633E6" w:rsidRPr="0013043F" w:rsidRDefault="004C3C59" w:rsidP="0051797C">
      <w:pPr>
        <w:numPr>
          <w:ilvl w:val="0"/>
          <w:numId w:val="1"/>
        </w:numPr>
        <w:spacing w:line="240" w:lineRule="auto"/>
        <w:ind w:left="630" w:hanging="630"/>
        <w:rPr>
          <w:sz w:val="24"/>
        </w:rPr>
      </w:pPr>
      <w:r w:rsidRPr="004C3C59">
        <w:rPr>
          <w:sz w:val="24"/>
        </w:rPr>
        <w:t>On 11 October 2017, the Applicant</w:t>
      </w:r>
      <w:r>
        <w:rPr>
          <w:sz w:val="24"/>
        </w:rPr>
        <w:t>s in their response to the PAK</w:t>
      </w:r>
      <w:r w:rsidRPr="004C3C59">
        <w:rPr>
          <w:sz w:val="24"/>
        </w:rPr>
        <w:t xml:space="preserve"> submission of 5 September 2017 stated as follows: </w:t>
      </w:r>
      <w:r>
        <w:rPr>
          <w:sz w:val="24"/>
        </w:rPr>
        <w:t>“</w:t>
      </w:r>
      <w:r w:rsidR="00EE323C">
        <w:rPr>
          <w:sz w:val="24"/>
        </w:rPr>
        <w:t xml:space="preserve">The claimants </w:t>
      </w:r>
      <w:r w:rsidR="00EE323C">
        <w:rPr>
          <w:i/>
          <w:iCs/>
          <w:sz w:val="24"/>
        </w:rPr>
        <w:t>[t</w:t>
      </w:r>
      <w:r w:rsidRPr="004C3C59">
        <w:rPr>
          <w:i/>
          <w:iCs/>
          <w:sz w:val="24"/>
        </w:rPr>
        <w:t xml:space="preserve">he Applicants] were also interested in securing evidence and expropriation files </w:t>
      </w:r>
      <w:r w:rsidR="00EE323C">
        <w:rPr>
          <w:i/>
          <w:iCs/>
          <w:sz w:val="24"/>
        </w:rPr>
        <w:t xml:space="preserve">for the </w:t>
      </w:r>
      <w:r w:rsidRPr="004C3C59">
        <w:rPr>
          <w:i/>
          <w:iCs/>
          <w:sz w:val="24"/>
        </w:rPr>
        <w:t xml:space="preserve">cadastral </w:t>
      </w:r>
      <w:r w:rsidR="00EE323C" w:rsidRPr="004C3C59">
        <w:rPr>
          <w:i/>
          <w:iCs/>
          <w:sz w:val="24"/>
        </w:rPr>
        <w:t xml:space="preserve">and disputed </w:t>
      </w:r>
      <w:r w:rsidRPr="004C3C59">
        <w:rPr>
          <w:i/>
          <w:iCs/>
          <w:sz w:val="24"/>
        </w:rPr>
        <w:t xml:space="preserve">parcel, </w:t>
      </w:r>
      <w:r w:rsidR="00EE323C">
        <w:rPr>
          <w:i/>
          <w:iCs/>
          <w:sz w:val="24"/>
        </w:rPr>
        <w:t>which</w:t>
      </w:r>
      <w:r w:rsidRPr="004C3C59">
        <w:rPr>
          <w:i/>
          <w:iCs/>
          <w:sz w:val="24"/>
        </w:rPr>
        <w:t xml:space="preserve"> is evidenced by the requests addressed to the </w:t>
      </w:r>
      <w:r w:rsidR="00EE323C">
        <w:rPr>
          <w:i/>
          <w:iCs/>
          <w:sz w:val="24"/>
        </w:rPr>
        <w:t>a</w:t>
      </w:r>
      <w:r w:rsidRPr="004C3C59">
        <w:rPr>
          <w:i/>
          <w:iCs/>
          <w:sz w:val="24"/>
        </w:rPr>
        <w:t xml:space="preserve">dministration </w:t>
      </w:r>
      <w:r w:rsidR="00EE323C">
        <w:rPr>
          <w:i/>
          <w:iCs/>
          <w:sz w:val="24"/>
        </w:rPr>
        <w:t>authority</w:t>
      </w:r>
      <w:r w:rsidRPr="004C3C59">
        <w:rPr>
          <w:i/>
          <w:iCs/>
          <w:sz w:val="24"/>
        </w:rPr>
        <w:t xml:space="preserve"> in the Municipality of Gllogoc, the Cadastral Agency of Kosovo, but so far none of these </w:t>
      </w:r>
      <w:r w:rsidR="0050695A">
        <w:rPr>
          <w:i/>
          <w:iCs/>
          <w:sz w:val="24"/>
        </w:rPr>
        <w:t>authorities</w:t>
      </w:r>
      <w:r w:rsidRPr="004C3C59">
        <w:rPr>
          <w:i/>
          <w:iCs/>
          <w:sz w:val="24"/>
        </w:rPr>
        <w:t xml:space="preserve"> have obtained such evidence. </w:t>
      </w:r>
      <w:r w:rsidR="0050695A">
        <w:rPr>
          <w:i/>
          <w:iCs/>
          <w:sz w:val="24"/>
        </w:rPr>
        <w:t>It is s</w:t>
      </w:r>
      <w:r w:rsidRPr="004C3C59">
        <w:rPr>
          <w:i/>
          <w:iCs/>
          <w:sz w:val="24"/>
        </w:rPr>
        <w:t>urprising, [</w:t>
      </w:r>
      <w:r w:rsidR="0050695A">
        <w:rPr>
          <w:i/>
          <w:iCs/>
          <w:sz w:val="24"/>
        </w:rPr>
        <w:t>PAK</w:t>
      </w:r>
      <w:r w:rsidRPr="004C3C59">
        <w:rPr>
          <w:i/>
          <w:iCs/>
          <w:sz w:val="24"/>
        </w:rPr>
        <w:t xml:space="preserve">], [...] when it states that the </w:t>
      </w:r>
      <w:r w:rsidR="0050695A">
        <w:rPr>
          <w:i/>
          <w:iCs/>
          <w:sz w:val="24"/>
        </w:rPr>
        <w:t>claimants</w:t>
      </w:r>
      <w:r w:rsidRPr="004C3C59">
        <w:rPr>
          <w:i/>
          <w:iCs/>
          <w:sz w:val="24"/>
        </w:rPr>
        <w:t xml:space="preserve"> did not file a claim for </w:t>
      </w:r>
      <w:r w:rsidRPr="004C3C59">
        <w:rPr>
          <w:i/>
          <w:iCs/>
          <w:sz w:val="24"/>
        </w:rPr>
        <w:lastRenderedPageBreak/>
        <w:t xml:space="preserve">compensation </w:t>
      </w:r>
      <w:r w:rsidR="0050695A">
        <w:rPr>
          <w:i/>
          <w:iCs/>
          <w:sz w:val="24"/>
        </w:rPr>
        <w:t xml:space="preserve">of </w:t>
      </w:r>
      <w:r w:rsidR="0050695A" w:rsidRPr="004C3C59">
        <w:rPr>
          <w:i/>
          <w:iCs/>
          <w:sz w:val="24"/>
        </w:rPr>
        <w:t xml:space="preserve">land </w:t>
      </w:r>
      <w:r w:rsidRPr="004C3C59">
        <w:rPr>
          <w:i/>
          <w:iCs/>
          <w:sz w:val="24"/>
        </w:rPr>
        <w:t xml:space="preserve">in the administrative procedure. The reason </w:t>
      </w:r>
      <w:r w:rsidR="0050695A">
        <w:rPr>
          <w:i/>
          <w:iCs/>
          <w:sz w:val="24"/>
        </w:rPr>
        <w:t>for which</w:t>
      </w:r>
      <w:r w:rsidRPr="004C3C59">
        <w:rPr>
          <w:i/>
          <w:iCs/>
          <w:sz w:val="24"/>
        </w:rPr>
        <w:t xml:space="preserve"> </w:t>
      </w:r>
      <w:r w:rsidR="0050695A">
        <w:rPr>
          <w:i/>
          <w:iCs/>
          <w:sz w:val="24"/>
        </w:rPr>
        <w:t>the claimants</w:t>
      </w:r>
      <w:r w:rsidRPr="004C3C59">
        <w:rPr>
          <w:i/>
          <w:iCs/>
          <w:sz w:val="24"/>
        </w:rPr>
        <w:t xml:space="preserve"> did not request was because they did not know that the land </w:t>
      </w:r>
      <w:r w:rsidR="0050695A">
        <w:rPr>
          <w:i/>
          <w:iCs/>
          <w:sz w:val="24"/>
        </w:rPr>
        <w:t>was</w:t>
      </w:r>
      <w:r w:rsidRPr="004C3C59">
        <w:rPr>
          <w:i/>
          <w:iCs/>
          <w:sz w:val="24"/>
        </w:rPr>
        <w:t xml:space="preserve"> expropriated and</w:t>
      </w:r>
      <w:r w:rsidR="0050695A">
        <w:rPr>
          <w:i/>
          <w:iCs/>
          <w:sz w:val="24"/>
        </w:rPr>
        <w:t xml:space="preserve"> they</w:t>
      </w:r>
      <w:r w:rsidRPr="004C3C59">
        <w:rPr>
          <w:i/>
          <w:iCs/>
          <w:sz w:val="24"/>
        </w:rPr>
        <w:t xml:space="preserve"> </w:t>
      </w:r>
      <w:r w:rsidR="0050695A" w:rsidRPr="004C3C59">
        <w:rPr>
          <w:i/>
          <w:iCs/>
          <w:sz w:val="24"/>
        </w:rPr>
        <w:t xml:space="preserve">used </w:t>
      </w:r>
      <w:r w:rsidR="0050695A">
        <w:rPr>
          <w:i/>
          <w:iCs/>
          <w:sz w:val="24"/>
        </w:rPr>
        <w:t xml:space="preserve">it </w:t>
      </w:r>
      <w:r w:rsidRPr="004C3C59">
        <w:rPr>
          <w:i/>
          <w:iCs/>
          <w:sz w:val="24"/>
        </w:rPr>
        <w:t xml:space="preserve">consistently. And for this </w:t>
      </w:r>
      <w:r w:rsidR="0050695A">
        <w:rPr>
          <w:i/>
          <w:iCs/>
          <w:sz w:val="24"/>
        </w:rPr>
        <w:t xml:space="preserve">reason, </w:t>
      </w:r>
      <w:r w:rsidRPr="004C3C59">
        <w:rPr>
          <w:i/>
          <w:iCs/>
          <w:sz w:val="24"/>
        </w:rPr>
        <w:t xml:space="preserve">[the Applicant] initiated this </w:t>
      </w:r>
      <w:r w:rsidR="0050695A">
        <w:rPr>
          <w:i/>
          <w:iCs/>
          <w:sz w:val="24"/>
        </w:rPr>
        <w:t>claim</w:t>
      </w:r>
      <w:r w:rsidRPr="004C3C59">
        <w:rPr>
          <w:i/>
          <w:iCs/>
          <w:sz w:val="24"/>
        </w:rPr>
        <w:t xml:space="preserve"> for compensation of this land</w:t>
      </w:r>
      <w:r w:rsidR="00E633E6" w:rsidRPr="0013043F">
        <w:rPr>
          <w:i/>
          <w:sz w:val="24"/>
        </w:rPr>
        <w:t>”</w:t>
      </w:r>
      <w:r>
        <w:rPr>
          <w:i/>
          <w:sz w:val="24"/>
        </w:rPr>
        <w:t>.</w:t>
      </w:r>
    </w:p>
    <w:p w:rsidR="00E633E6" w:rsidRPr="0013043F" w:rsidRDefault="00E633E6" w:rsidP="0051797C">
      <w:pPr>
        <w:pStyle w:val="ListParagraph"/>
        <w:spacing w:line="240" w:lineRule="auto"/>
        <w:rPr>
          <w:sz w:val="24"/>
          <w:lang w:val="en-US"/>
        </w:rPr>
      </w:pPr>
    </w:p>
    <w:p w:rsidR="00E633E6" w:rsidRPr="0013043F" w:rsidRDefault="004C3C59" w:rsidP="0051797C">
      <w:pPr>
        <w:numPr>
          <w:ilvl w:val="0"/>
          <w:numId w:val="1"/>
        </w:numPr>
        <w:spacing w:line="240" w:lineRule="auto"/>
        <w:ind w:left="630" w:hanging="630"/>
        <w:rPr>
          <w:sz w:val="24"/>
        </w:rPr>
      </w:pPr>
      <w:r w:rsidRPr="004C3C59">
        <w:rPr>
          <w:sz w:val="24"/>
        </w:rPr>
        <w:t xml:space="preserve">On 30 November 2017, the Appellate Panel, </w:t>
      </w:r>
      <w:r w:rsidR="0050695A">
        <w:rPr>
          <w:sz w:val="24"/>
        </w:rPr>
        <w:t>by Decision AC-I-14-0123</w:t>
      </w:r>
      <w:r w:rsidRPr="004C3C59">
        <w:rPr>
          <w:sz w:val="24"/>
        </w:rPr>
        <w:t xml:space="preserve"> rejected the Applicants</w:t>
      </w:r>
      <w:r w:rsidR="0050695A">
        <w:rPr>
          <w:sz w:val="24"/>
        </w:rPr>
        <w:t>’</w:t>
      </w:r>
      <w:r w:rsidRPr="004C3C59">
        <w:rPr>
          <w:sz w:val="24"/>
        </w:rPr>
        <w:t xml:space="preserve"> appeal as un</w:t>
      </w:r>
      <w:r w:rsidR="0050695A">
        <w:rPr>
          <w:sz w:val="24"/>
        </w:rPr>
        <w:t>gr</w:t>
      </w:r>
      <w:r w:rsidRPr="004C3C59">
        <w:rPr>
          <w:sz w:val="24"/>
        </w:rPr>
        <w:t>ounded and upheld the Decision of the Specialized Panel of 25 March 2014</w:t>
      </w:r>
      <w:r w:rsidR="00E633E6" w:rsidRPr="0013043F">
        <w:rPr>
          <w:sz w:val="24"/>
        </w:rPr>
        <w:t>.</w:t>
      </w:r>
      <w:r w:rsidR="0051797C">
        <w:rPr>
          <w:sz w:val="24"/>
        </w:rPr>
        <w:t xml:space="preserve"> </w:t>
      </w:r>
    </w:p>
    <w:p w:rsidR="00E633E6" w:rsidRPr="0013043F" w:rsidRDefault="00E633E6" w:rsidP="0051797C">
      <w:pPr>
        <w:tabs>
          <w:tab w:val="left" w:pos="540"/>
        </w:tabs>
        <w:spacing w:line="240" w:lineRule="auto"/>
        <w:rPr>
          <w:sz w:val="24"/>
        </w:rPr>
      </w:pPr>
    </w:p>
    <w:p w:rsidR="00E633E6" w:rsidRPr="0013043F" w:rsidRDefault="004C3C59" w:rsidP="0051797C">
      <w:pPr>
        <w:numPr>
          <w:ilvl w:val="0"/>
          <w:numId w:val="1"/>
        </w:numPr>
        <w:spacing w:line="240" w:lineRule="auto"/>
        <w:ind w:left="630" w:hanging="630"/>
        <w:rPr>
          <w:sz w:val="24"/>
        </w:rPr>
      </w:pPr>
      <w:r w:rsidRPr="004C3C59">
        <w:rPr>
          <w:sz w:val="24"/>
        </w:rPr>
        <w:t xml:space="preserve">The Appellate Panel in its </w:t>
      </w:r>
      <w:r w:rsidR="0050695A">
        <w:rPr>
          <w:sz w:val="24"/>
        </w:rPr>
        <w:t>decision</w:t>
      </w:r>
      <w:r w:rsidRPr="004C3C59">
        <w:rPr>
          <w:sz w:val="24"/>
        </w:rPr>
        <w:t xml:space="preserve"> agreed with the </w:t>
      </w:r>
      <w:r w:rsidR="0050695A">
        <w:rPr>
          <w:sz w:val="24"/>
        </w:rPr>
        <w:t>assessment</w:t>
      </w:r>
      <w:r w:rsidRPr="004C3C59">
        <w:rPr>
          <w:sz w:val="24"/>
        </w:rPr>
        <w:t xml:space="preserve"> of the Specialized Panel, which </w:t>
      </w:r>
      <w:r w:rsidR="0050695A">
        <w:rPr>
          <w:sz w:val="24"/>
        </w:rPr>
        <w:t>“</w:t>
      </w:r>
      <w:r w:rsidRPr="004C3C59">
        <w:rPr>
          <w:i/>
          <w:iCs/>
          <w:sz w:val="24"/>
        </w:rPr>
        <w:t>dismissed the claim</w:t>
      </w:r>
      <w:r w:rsidR="0050695A">
        <w:rPr>
          <w:i/>
          <w:iCs/>
          <w:sz w:val="24"/>
        </w:rPr>
        <w:t xml:space="preserve"> (s)</w:t>
      </w:r>
      <w:r w:rsidRPr="004C3C59">
        <w:rPr>
          <w:i/>
          <w:iCs/>
          <w:sz w:val="24"/>
        </w:rPr>
        <w:t xml:space="preserve"> as inadmissible on the ground that after the liquidation of the </w:t>
      </w:r>
      <w:r w:rsidR="0050695A">
        <w:rPr>
          <w:i/>
          <w:iCs/>
          <w:sz w:val="24"/>
        </w:rPr>
        <w:t>respondent</w:t>
      </w:r>
      <w:r w:rsidRPr="004C3C59">
        <w:rPr>
          <w:i/>
          <w:iCs/>
          <w:sz w:val="24"/>
        </w:rPr>
        <w:t xml:space="preserve"> began, the proceedings </w:t>
      </w:r>
      <w:r w:rsidR="0050695A">
        <w:rPr>
          <w:i/>
          <w:iCs/>
          <w:sz w:val="24"/>
        </w:rPr>
        <w:t>before</w:t>
      </w:r>
      <w:r w:rsidRPr="004C3C59">
        <w:rPr>
          <w:i/>
          <w:iCs/>
          <w:sz w:val="24"/>
        </w:rPr>
        <w:t xml:space="preserve"> the </w:t>
      </w:r>
      <w:r w:rsidR="0050695A">
        <w:rPr>
          <w:i/>
          <w:iCs/>
          <w:sz w:val="24"/>
        </w:rPr>
        <w:t>regular</w:t>
      </w:r>
      <w:r w:rsidRPr="004C3C59">
        <w:rPr>
          <w:i/>
          <w:iCs/>
          <w:sz w:val="24"/>
        </w:rPr>
        <w:t xml:space="preserve"> court are not allowed</w:t>
      </w:r>
      <w:r w:rsidR="0050695A" w:rsidRPr="0013043F">
        <w:rPr>
          <w:i/>
          <w:sz w:val="24"/>
        </w:rPr>
        <w:t>”</w:t>
      </w:r>
      <w:r w:rsidR="00E633E6" w:rsidRPr="0013043F">
        <w:rPr>
          <w:i/>
          <w:sz w:val="24"/>
        </w:rPr>
        <w:t>.</w:t>
      </w:r>
      <w:r w:rsidR="00E633E6" w:rsidRPr="0013043F">
        <w:rPr>
          <w:sz w:val="24"/>
        </w:rPr>
        <w:t xml:space="preserve"> </w:t>
      </w:r>
    </w:p>
    <w:p w:rsidR="00E633E6" w:rsidRPr="0013043F" w:rsidRDefault="00E633E6" w:rsidP="0051797C">
      <w:pPr>
        <w:pStyle w:val="ListParagraph"/>
        <w:spacing w:line="240" w:lineRule="auto"/>
        <w:rPr>
          <w:sz w:val="24"/>
          <w:lang w:val="en-US"/>
        </w:rPr>
      </w:pPr>
    </w:p>
    <w:p w:rsidR="00E633E6" w:rsidRPr="0013043F" w:rsidRDefault="004C3C59" w:rsidP="0051797C">
      <w:pPr>
        <w:numPr>
          <w:ilvl w:val="0"/>
          <w:numId w:val="1"/>
        </w:numPr>
        <w:spacing w:line="240" w:lineRule="auto"/>
        <w:ind w:left="630" w:hanging="630"/>
        <w:rPr>
          <w:sz w:val="24"/>
        </w:rPr>
      </w:pPr>
      <w:r w:rsidRPr="004C3C59">
        <w:rPr>
          <w:sz w:val="24"/>
        </w:rPr>
        <w:t xml:space="preserve">The Appellate Panel further confirmed that after the liquidation proceeding began with the Liquidation Authority, the claims against the SOE in liquidation should be addressed to the Liquidation Authority and proceeded as provided by the relevant provisions of the </w:t>
      </w:r>
      <w:r w:rsidR="00BD06F2" w:rsidRPr="004C3C59">
        <w:rPr>
          <w:sz w:val="24"/>
        </w:rPr>
        <w:t xml:space="preserve">Law </w:t>
      </w:r>
      <w:r w:rsidR="00BD06F2">
        <w:rPr>
          <w:sz w:val="24"/>
        </w:rPr>
        <w:t xml:space="preserve">on </w:t>
      </w:r>
      <w:r w:rsidRPr="004C3C59">
        <w:rPr>
          <w:sz w:val="24"/>
        </w:rPr>
        <w:t>PAK</w:t>
      </w:r>
      <w:r w:rsidR="00E633E6" w:rsidRPr="0013043F">
        <w:rPr>
          <w:sz w:val="24"/>
        </w:rPr>
        <w:t>.</w:t>
      </w:r>
      <w:r w:rsidR="0051797C">
        <w:rPr>
          <w:sz w:val="24"/>
        </w:rPr>
        <w:t xml:space="preserve"> </w:t>
      </w:r>
    </w:p>
    <w:p w:rsidR="00E633E6" w:rsidRPr="0013043F" w:rsidRDefault="00E633E6" w:rsidP="0051797C">
      <w:pPr>
        <w:pStyle w:val="ListParagraph"/>
        <w:spacing w:line="240" w:lineRule="auto"/>
        <w:rPr>
          <w:i/>
          <w:sz w:val="24"/>
          <w:lang w:val="en-US"/>
        </w:rPr>
      </w:pPr>
    </w:p>
    <w:p w:rsidR="00E633E6" w:rsidRPr="0013043F" w:rsidRDefault="004C3C59" w:rsidP="0051797C">
      <w:pPr>
        <w:numPr>
          <w:ilvl w:val="0"/>
          <w:numId w:val="1"/>
        </w:numPr>
        <w:spacing w:line="240" w:lineRule="auto"/>
        <w:ind w:left="630" w:hanging="630"/>
        <w:rPr>
          <w:sz w:val="24"/>
        </w:rPr>
      </w:pPr>
      <w:r w:rsidRPr="004C3C59">
        <w:rPr>
          <w:sz w:val="24"/>
        </w:rPr>
        <w:t>The Appellate Panel further emphasized</w:t>
      </w:r>
      <w:r w:rsidR="00E633E6" w:rsidRPr="0013043F">
        <w:rPr>
          <w:sz w:val="24"/>
        </w:rPr>
        <w:t xml:space="preserve">: </w:t>
      </w:r>
    </w:p>
    <w:p w:rsidR="00E633E6" w:rsidRPr="0013043F" w:rsidRDefault="00E633E6" w:rsidP="0051797C">
      <w:pPr>
        <w:pStyle w:val="ListParagraph"/>
        <w:spacing w:line="240" w:lineRule="auto"/>
        <w:rPr>
          <w:i/>
          <w:sz w:val="24"/>
          <w:lang w:val="en-US"/>
        </w:rPr>
      </w:pPr>
    </w:p>
    <w:p w:rsidR="00E633E6" w:rsidRPr="0013043F" w:rsidRDefault="00E633E6" w:rsidP="0051797C">
      <w:pPr>
        <w:tabs>
          <w:tab w:val="left" w:pos="990"/>
        </w:tabs>
        <w:spacing w:line="240" w:lineRule="auto"/>
        <w:ind w:left="990"/>
        <w:rPr>
          <w:sz w:val="24"/>
        </w:rPr>
      </w:pPr>
      <w:r w:rsidRPr="0013043F">
        <w:rPr>
          <w:i/>
          <w:sz w:val="24"/>
        </w:rPr>
        <w:t>“</w:t>
      </w:r>
      <w:r w:rsidR="004C3C59" w:rsidRPr="004C3C59">
        <w:rPr>
          <w:i/>
          <w:sz w:val="24"/>
        </w:rPr>
        <w:t xml:space="preserve">However, Article 10 of the Annex to the </w:t>
      </w:r>
      <w:r w:rsidR="00BD06F2" w:rsidRPr="004C3C59">
        <w:rPr>
          <w:i/>
          <w:sz w:val="24"/>
        </w:rPr>
        <w:t xml:space="preserve">Law </w:t>
      </w:r>
      <w:r w:rsidR="00BD06F2">
        <w:rPr>
          <w:i/>
          <w:sz w:val="24"/>
        </w:rPr>
        <w:t xml:space="preserve">on </w:t>
      </w:r>
      <w:r w:rsidR="004C3C59" w:rsidRPr="004C3C59">
        <w:rPr>
          <w:i/>
          <w:sz w:val="24"/>
        </w:rPr>
        <w:t xml:space="preserve">PAK should be taken into account. While Article 10 paragraph 1 of the Annex to the </w:t>
      </w:r>
      <w:r w:rsidR="00BD06F2" w:rsidRPr="004C3C59">
        <w:rPr>
          <w:i/>
          <w:sz w:val="24"/>
        </w:rPr>
        <w:t xml:space="preserve">Law </w:t>
      </w:r>
      <w:r w:rsidR="00BD06F2">
        <w:rPr>
          <w:i/>
          <w:sz w:val="24"/>
        </w:rPr>
        <w:t xml:space="preserve">on </w:t>
      </w:r>
      <w:r w:rsidR="004C3C59" w:rsidRPr="004C3C59">
        <w:rPr>
          <w:i/>
          <w:sz w:val="24"/>
        </w:rPr>
        <w:t xml:space="preserve">PAK foresees the rule that the liquidation procedure has priority over </w:t>
      </w:r>
      <w:r w:rsidR="00BD06F2">
        <w:rPr>
          <w:i/>
          <w:sz w:val="24"/>
        </w:rPr>
        <w:t xml:space="preserve">the </w:t>
      </w:r>
      <w:r w:rsidR="004C3C59" w:rsidRPr="004C3C59">
        <w:rPr>
          <w:i/>
          <w:sz w:val="24"/>
        </w:rPr>
        <w:t xml:space="preserve">regular court proceedings, Article 10 paragraph 2 of the Annex to the </w:t>
      </w:r>
      <w:r w:rsidR="00BD06F2" w:rsidRPr="004C3C59">
        <w:rPr>
          <w:i/>
          <w:sz w:val="24"/>
        </w:rPr>
        <w:t xml:space="preserve">Law </w:t>
      </w:r>
      <w:r w:rsidR="00BD06F2">
        <w:rPr>
          <w:i/>
          <w:sz w:val="24"/>
        </w:rPr>
        <w:t xml:space="preserve">on </w:t>
      </w:r>
      <w:r w:rsidR="004C3C59" w:rsidRPr="004C3C59">
        <w:rPr>
          <w:i/>
          <w:sz w:val="24"/>
        </w:rPr>
        <w:t xml:space="preserve">PAK provides for exceptions. Therefore, if a party files a regular </w:t>
      </w:r>
      <w:r w:rsidR="00BD06F2">
        <w:rPr>
          <w:i/>
          <w:sz w:val="24"/>
        </w:rPr>
        <w:t>claim</w:t>
      </w:r>
      <w:r w:rsidR="004C3C59" w:rsidRPr="004C3C59">
        <w:rPr>
          <w:i/>
          <w:sz w:val="24"/>
        </w:rPr>
        <w:t xml:space="preserve"> after the commencement of liquidation, and if a </w:t>
      </w:r>
      <w:r w:rsidR="00BD06F2">
        <w:rPr>
          <w:i/>
          <w:sz w:val="24"/>
        </w:rPr>
        <w:t>regular claim</w:t>
      </w:r>
      <w:r w:rsidR="004C3C59" w:rsidRPr="004C3C59">
        <w:rPr>
          <w:i/>
          <w:sz w:val="24"/>
        </w:rPr>
        <w:t xml:space="preserve"> is suspended after the commencement of the liquidation, the court must consider whether </w:t>
      </w:r>
      <w:r w:rsidR="00BD06F2">
        <w:rPr>
          <w:i/>
          <w:sz w:val="24"/>
        </w:rPr>
        <w:t>it</w:t>
      </w:r>
      <w:r w:rsidR="004C3C59" w:rsidRPr="004C3C59">
        <w:rPr>
          <w:i/>
          <w:sz w:val="24"/>
        </w:rPr>
        <w:t xml:space="preserve"> will make an exception to such a case or </w:t>
      </w:r>
      <w:r w:rsidR="00BD06F2">
        <w:rPr>
          <w:i/>
          <w:sz w:val="24"/>
        </w:rPr>
        <w:t>that claim</w:t>
      </w:r>
      <w:r w:rsidR="004C3C59" w:rsidRPr="004C3C59">
        <w:rPr>
          <w:i/>
          <w:sz w:val="24"/>
        </w:rPr>
        <w:t xml:space="preserve"> be approved. Although the law does not limit the discretion of the court, it should be noted that the possibility of making exceptions</w:t>
      </w:r>
      <w:r w:rsidR="00BD06F2">
        <w:rPr>
          <w:i/>
          <w:sz w:val="24"/>
        </w:rPr>
        <w:t xml:space="preserve"> according</w:t>
      </w:r>
      <w:r w:rsidR="004C3C59" w:rsidRPr="004C3C59">
        <w:rPr>
          <w:i/>
          <w:sz w:val="24"/>
        </w:rPr>
        <w:t xml:space="preserve"> to the priority rule of the liquidati</w:t>
      </w:r>
      <w:r w:rsidR="00BD06F2">
        <w:rPr>
          <w:i/>
          <w:sz w:val="24"/>
        </w:rPr>
        <w:t>on procedure is limited and can</w:t>
      </w:r>
      <w:r w:rsidR="004C3C59" w:rsidRPr="004C3C59">
        <w:rPr>
          <w:i/>
          <w:sz w:val="24"/>
        </w:rPr>
        <w:t xml:space="preserve">not lead to results that the legal deadlines in the liquidation </w:t>
      </w:r>
      <w:r w:rsidR="00BD06F2">
        <w:rPr>
          <w:i/>
          <w:sz w:val="24"/>
        </w:rPr>
        <w:t>procedure</w:t>
      </w:r>
      <w:r w:rsidR="004C3C59" w:rsidRPr="004C3C59">
        <w:rPr>
          <w:i/>
          <w:sz w:val="24"/>
        </w:rPr>
        <w:t xml:space="preserve"> be avoided. </w:t>
      </w:r>
      <w:r w:rsidR="00BD06F2">
        <w:rPr>
          <w:i/>
          <w:sz w:val="24"/>
        </w:rPr>
        <w:t>Missing the</w:t>
      </w:r>
      <w:r w:rsidR="004C3C59" w:rsidRPr="004C3C59">
        <w:rPr>
          <w:i/>
          <w:sz w:val="24"/>
        </w:rPr>
        <w:t xml:space="preserve"> deadline to submit the claim to the liquidation authority generally leads to the closing of the claim essentially. In the present case, the Appellate Panel, having considered all the arguments put forward by the complainant</w:t>
      </w:r>
      <w:r w:rsidR="00BD06F2">
        <w:rPr>
          <w:i/>
          <w:sz w:val="24"/>
        </w:rPr>
        <w:t>s</w:t>
      </w:r>
      <w:r w:rsidR="004C3C59" w:rsidRPr="004C3C59">
        <w:rPr>
          <w:i/>
          <w:sz w:val="24"/>
        </w:rPr>
        <w:t xml:space="preserve"> [the Applicant</w:t>
      </w:r>
      <w:r w:rsidR="00BD06F2">
        <w:rPr>
          <w:i/>
          <w:sz w:val="24"/>
        </w:rPr>
        <w:t>s</w:t>
      </w:r>
      <w:r w:rsidR="004C3C59" w:rsidRPr="004C3C59">
        <w:rPr>
          <w:i/>
          <w:sz w:val="24"/>
        </w:rPr>
        <w:t>], found that there was no reason to allow an exemption under Article 10.2 of the Annex to the PAK Law</w:t>
      </w:r>
      <w:r w:rsidRPr="0013043F">
        <w:rPr>
          <w:i/>
          <w:sz w:val="24"/>
        </w:rPr>
        <w:t>”</w:t>
      </w:r>
      <w:r w:rsidR="004C3C59">
        <w:rPr>
          <w:i/>
          <w:sz w:val="24"/>
        </w:rPr>
        <w:t>.</w:t>
      </w:r>
    </w:p>
    <w:p w:rsidR="00BA4277" w:rsidRPr="0013043F" w:rsidRDefault="00BA4277" w:rsidP="0051797C">
      <w:pPr>
        <w:tabs>
          <w:tab w:val="left" w:pos="540"/>
        </w:tabs>
        <w:spacing w:line="240" w:lineRule="auto"/>
        <w:rPr>
          <w:b/>
          <w:sz w:val="24"/>
        </w:rPr>
      </w:pPr>
    </w:p>
    <w:p w:rsidR="00B01D85" w:rsidRPr="0013043F" w:rsidRDefault="00726F23" w:rsidP="0051797C">
      <w:pPr>
        <w:tabs>
          <w:tab w:val="left" w:pos="540"/>
        </w:tabs>
        <w:spacing w:line="240" w:lineRule="auto"/>
        <w:rPr>
          <w:b/>
          <w:sz w:val="24"/>
        </w:rPr>
      </w:pPr>
      <w:r>
        <w:rPr>
          <w:b/>
          <w:sz w:val="24"/>
        </w:rPr>
        <w:t>Applicant’s allegations</w:t>
      </w:r>
      <w:r w:rsidR="00B01D85" w:rsidRPr="0013043F">
        <w:rPr>
          <w:b/>
          <w:sz w:val="24"/>
        </w:rPr>
        <w:t xml:space="preserve"> </w:t>
      </w:r>
    </w:p>
    <w:p w:rsidR="00701960" w:rsidRPr="0013043F" w:rsidRDefault="00701960" w:rsidP="0051797C">
      <w:pPr>
        <w:tabs>
          <w:tab w:val="left" w:pos="540"/>
        </w:tabs>
        <w:spacing w:line="240" w:lineRule="auto"/>
        <w:ind w:left="634" w:hanging="634"/>
        <w:rPr>
          <w:b/>
          <w:sz w:val="24"/>
        </w:rPr>
      </w:pPr>
    </w:p>
    <w:p w:rsidR="00E633E6" w:rsidRPr="00726F23" w:rsidRDefault="00726F23" w:rsidP="0051797C">
      <w:pPr>
        <w:numPr>
          <w:ilvl w:val="0"/>
          <w:numId w:val="1"/>
        </w:numPr>
        <w:spacing w:line="240" w:lineRule="auto"/>
        <w:ind w:left="630" w:hanging="630"/>
        <w:rPr>
          <w:b/>
          <w:sz w:val="24"/>
        </w:rPr>
      </w:pPr>
      <w:r w:rsidRPr="00726F23">
        <w:rPr>
          <w:bCs/>
          <w:iCs/>
          <w:sz w:val="24"/>
        </w:rPr>
        <w:t xml:space="preserve">The Applicants </w:t>
      </w:r>
      <w:r w:rsidRPr="00BE3019">
        <w:rPr>
          <w:sz w:val="24"/>
        </w:rPr>
        <w:t>allege</w:t>
      </w:r>
      <w:r w:rsidRPr="00726F23">
        <w:rPr>
          <w:bCs/>
          <w:iCs/>
          <w:sz w:val="24"/>
        </w:rPr>
        <w:t xml:space="preserve"> that the challenged </w:t>
      </w:r>
      <w:r w:rsidRPr="0051797C">
        <w:rPr>
          <w:sz w:val="24"/>
        </w:rPr>
        <w:t>decision</w:t>
      </w:r>
      <w:r w:rsidRPr="00726F23">
        <w:rPr>
          <w:bCs/>
          <w:iCs/>
          <w:sz w:val="24"/>
        </w:rPr>
        <w:t xml:space="preserve"> violated their rights guaranteed by Article 46 [Protection of Property] of the Constitution and Article 1 of Protocol no. 1 to the ECHR</w:t>
      </w:r>
      <w:r w:rsidR="00E633E6" w:rsidRPr="00726F23">
        <w:rPr>
          <w:bCs/>
          <w:iCs/>
          <w:sz w:val="24"/>
        </w:rPr>
        <w:t>.</w:t>
      </w:r>
      <w:r w:rsidR="0051797C">
        <w:rPr>
          <w:bCs/>
          <w:iCs/>
          <w:sz w:val="24"/>
        </w:rPr>
        <w:t xml:space="preserve"> </w:t>
      </w:r>
    </w:p>
    <w:p w:rsidR="00E633E6" w:rsidRPr="0013043F" w:rsidRDefault="00E633E6" w:rsidP="0051797C">
      <w:pPr>
        <w:spacing w:line="240" w:lineRule="auto"/>
        <w:ind w:left="540" w:hanging="540"/>
        <w:rPr>
          <w:sz w:val="24"/>
        </w:rPr>
      </w:pPr>
    </w:p>
    <w:p w:rsidR="00E633E6" w:rsidRPr="0013043F" w:rsidRDefault="00726F23" w:rsidP="0051797C">
      <w:pPr>
        <w:numPr>
          <w:ilvl w:val="0"/>
          <w:numId w:val="1"/>
        </w:numPr>
        <w:spacing w:line="240" w:lineRule="auto"/>
        <w:ind w:left="630" w:hanging="630"/>
        <w:rPr>
          <w:sz w:val="24"/>
        </w:rPr>
      </w:pPr>
      <w:r w:rsidRPr="00726F23">
        <w:rPr>
          <w:sz w:val="24"/>
        </w:rPr>
        <w:t xml:space="preserve">The Applicants in particular </w:t>
      </w:r>
      <w:r>
        <w:rPr>
          <w:sz w:val="24"/>
        </w:rPr>
        <w:t>allege</w:t>
      </w:r>
      <w:r w:rsidRPr="00726F23">
        <w:rPr>
          <w:sz w:val="24"/>
        </w:rPr>
        <w:t xml:space="preserve"> that </w:t>
      </w:r>
      <w:r>
        <w:rPr>
          <w:sz w:val="24"/>
        </w:rPr>
        <w:t>the Decision</w:t>
      </w:r>
      <w:r w:rsidRPr="00726F23">
        <w:rPr>
          <w:sz w:val="24"/>
        </w:rPr>
        <w:t xml:space="preserve"> of the Appellate Panel has violated their right to compensation of property</w:t>
      </w:r>
      <w:r w:rsidR="00E633E6" w:rsidRPr="0013043F">
        <w:rPr>
          <w:sz w:val="24"/>
        </w:rPr>
        <w:t xml:space="preserve">. </w:t>
      </w:r>
    </w:p>
    <w:p w:rsidR="00E633E6" w:rsidRPr="0013043F" w:rsidRDefault="00E633E6" w:rsidP="0051797C">
      <w:pPr>
        <w:pStyle w:val="ListParagraph"/>
        <w:spacing w:line="240" w:lineRule="auto"/>
        <w:rPr>
          <w:sz w:val="24"/>
          <w:lang w:val="en-US"/>
        </w:rPr>
      </w:pPr>
    </w:p>
    <w:p w:rsidR="00E633E6" w:rsidRPr="0013043F" w:rsidRDefault="00726F23" w:rsidP="0051797C">
      <w:pPr>
        <w:numPr>
          <w:ilvl w:val="0"/>
          <w:numId w:val="1"/>
        </w:numPr>
        <w:spacing w:line="240" w:lineRule="auto"/>
        <w:ind w:left="630" w:hanging="630"/>
        <w:rPr>
          <w:sz w:val="24"/>
        </w:rPr>
      </w:pPr>
      <w:r w:rsidRPr="00726F23">
        <w:rPr>
          <w:iCs/>
          <w:sz w:val="24"/>
        </w:rPr>
        <w:t xml:space="preserve">The </w:t>
      </w:r>
      <w:r w:rsidRPr="00BE3019">
        <w:rPr>
          <w:sz w:val="24"/>
        </w:rPr>
        <w:t>Applicants</w:t>
      </w:r>
      <w:r w:rsidRPr="00726F23">
        <w:rPr>
          <w:iCs/>
          <w:sz w:val="24"/>
        </w:rPr>
        <w:t xml:space="preserve"> allege that</w:t>
      </w:r>
      <w:r w:rsidRPr="00726F23">
        <w:rPr>
          <w:i/>
          <w:sz w:val="24"/>
        </w:rPr>
        <w:t xml:space="preserve"> </w:t>
      </w:r>
      <w:r>
        <w:rPr>
          <w:i/>
          <w:sz w:val="24"/>
        </w:rPr>
        <w:t>“</w:t>
      </w:r>
      <w:r w:rsidRPr="00726F23">
        <w:rPr>
          <w:i/>
          <w:sz w:val="24"/>
        </w:rPr>
        <w:t>[...] the two Panels of the Special Chamber have violated the provisi</w:t>
      </w:r>
      <w:r>
        <w:rPr>
          <w:i/>
          <w:sz w:val="24"/>
        </w:rPr>
        <w:t>on of Article 6.1 of Law No. 04/</w:t>
      </w:r>
      <w:r w:rsidRPr="00726F23">
        <w:rPr>
          <w:i/>
          <w:sz w:val="24"/>
        </w:rPr>
        <w:t xml:space="preserve">L-033. The </w:t>
      </w:r>
      <w:r>
        <w:rPr>
          <w:i/>
          <w:sz w:val="24"/>
        </w:rPr>
        <w:t>claim</w:t>
      </w:r>
      <w:r w:rsidRPr="00726F23">
        <w:rPr>
          <w:i/>
          <w:sz w:val="24"/>
        </w:rPr>
        <w:t xml:space="preserve"> and the </w:t>
      </w:r>
      <w:r>
        <w:rPr>
          <w:i/>
          <w:sz w:val="24"/>
        </w:rPr>
        <w:t xml:space="preserve">statement of </w:t>
      </w:r>
      <w:r w:rsidRPr="00726F23">
        <w:rPr>
          <w:i/>
          <w:sz w:val="24"/>
        </w:rPr>
        <w:t xml:space="preserve">claim is </w:t>
      </w:r>
      <w:r>
        <w:rPr>
          <w:i/>
          <w:sz w:val="24"/>
        </w:rPr>
        <w:t>in time</w:t>
      </w:r>
      <w:r w:rsidRPr="00726F23">
        <w:rPr>
          <w:i/>
          <w:sz w:val="24"/>
        </w:rPr>
        <w:t xml:space="preserve"> because it is submitted within the deadline </w:t>
      </w:r>
      <w:r>
        <w:rPr>
          <w:i/>
          <w:sz w:val="24"/>
        </w:rPr>
        <w:t>with</w:t>
      </w:r>
      <w:r w:rsidRPr="00726F23">
        <w:rPr>
          <w:i/>
          <w:sz w:val="24"/>
        </w:rPr>
        <w:t xml:space="preserve">in the </w:t>
      </w:r>
      <w:r>
        <w:rPr>
          <w:i/>
          <w:sz w:val="24"/>
        </w:rPr>
        <w:t>meaning</w:t>
      </w:r>
      <w:r w:rsidRPr="00726F23">
        <w:rPr>
          <w:i/>
          <w:sz w:val="24"/>
        </w:rPr>
        <w:t xml:space="preserve"> of the provision </w:t>
      </w:r>
      <w:r>
        <w:rPr>
          <w:i/>
          <w:sz w:val="24"/>
        </w:rPr>
        <w:t>of Article 6.1 of Law no. 04/</w:t>
      </w:r>
      <w:r w:rsidRPr="00726F23">
        <w:rPr>
          <w:i/>
          <w:sz w:val="24"/>
        </w:rPr>
        <w:t>L-033 [Law on Special Chamber] because the [Applicant</w:t>
      </w:r>
      <w:r>
        <w:rPr>
          <w:i/>
          <w:sz w:val="24"/>
        </w:rPr>
        <w:t>s</w:t>
      </w:r>
      <w:r w:rsidRPr="00726F23">
        <w:rPr>
          <w:i/>
          <w:sz w:val="24"/>
        </w:rPr>
        <w:t xml:space="preserve">] have learned </w:t>
      </w:r>
      <w:r>
        <w:rPr>
          <w:i/>
          <w:sz w:val="24"/>
        </w:rPr>
        <w:t>about the</w:t>
      </w:r>
      <w:r w:rsidRPr="00726F23">
        <w:rPr>
          <w:i/>
          <w:sz w:val="24"/>
        </w:rPr>
        <w:t xml:space="preserve"> lack of immovable </w:t>
      </w:r>
      <w:r w:rsidRPr="00726F23">
        <w:rPr>
          <w:i/>
          <w:sz w:val="24"/>
        </w:rPr>
        <w:lastRenderedPageBreak/>
        <w:t xml:space="preserve">property in </w:t>
      </w:r>
      <w:r w:rsidR="00BD06F2">
        <w:rPr>
          <w:i/>
          <w:sz w:val="24"/>
        </w:rPr>
        <w:t>a surface</w:t>
      </w:r>
      <w:r w:rsidRPr="00726F23">
        <w:rPr>
          <w:i/>
          <w:sz w:val="24"/>
        </w:rPr>
        <w:t xml:space="preserve"> area of 0.43.40 ha from 08.05.2012, is admissible</w:t>
      </w:r>
      <w:r w:rsidR="00BD06F2">
        <w:rPr>
          <w:i/>
          <w:sz w:val="24"/>
        </w:rPr>
        <w:t>,</w:t>
      </w:r>
      <w:r w:rsidRPr="00726F23">
        <w:rPr>
          <w:i/>
          <w:sz w:val="24"/>
        </w:rPr>
        <w:t xml:space="preserve"> because the claimants initially </w:t>
      </w:r>
      <w:r>
        <w:rPr>
          <w:i/>
          <w:sz w:val="24"/>
        </w:rPr>
        <w:t>by</w:t>
      </w:r>
      <w:r w:rsidRPr="00726F23">
        <w:rPr>
          <w:i/>
          <w:sz w:val="24"/>
        </w:rPr>
        <w:t xml:space="preserve"> </w:t>
      </w:r>
      <w:r w:rsidR="00BD06F2">
        <w:rPr>
          <w:i/>
          <w:sz w:val="24"/>
        </w:rPr>
        <w:t>request addressed the PAK Board</w:t>
      </w:r>
      <w:r w:rsidRPr="00726F23">
        <w:rPr>
          <w:i/>
          <w:sz w:val="24"/>
        </w:rPr>
        <w:t xml:space="preserve">, the latter (the Board) by letter of 24.07.2012 </w:t>
      </w:r>
      <w:r w:rsidR="00BD06F2">
        <w:rPr>
          <w:i/>
          <w:sz w:val="24"/>
        </w:rPr>
        <w:t>notified</w:t>
      </w:r>
      <w:r w:rsidRPr="00726F23">
        <w:rPr>
          <w:i/>
          <w:sz w:val="24"/>
        </w:rPr>
        <w:t xml:space="preserve"> the </w:t>
      </w:r>
      <w:r>
        <w:rPr>
          <w:i/>
          <w:sz w:val="24"/>
        </w:rPr>
        <w:t>claimants</w:t>
      </w:r>
      <w:r w:rsidRPr="00726F23">
        <w:rPr>
          <w:i/>
          <w:sz w:val="24"/>
        </w:rPr>
        <w:t xml:space="preserve"> that when the Liquidation Authority is established, </w:t>
      </w:r>
      <w:r w:rsidR="00BD06F2">
        <w:rPr>
          <w:i/>
          <w:sz w:val="24"/>
        </w:rPr>
        <w:t>it</w:t>
      </w:r>
      <w:r w:rsidRPr="00726F23">
        <w:rPr>
          <w:i/>
          <w:sz w:val="24"/>
        </w:rPr>
        <w:t xml:space="preserve"> will reply to </w:t>
      </w:r>
      <w:r w:rsidR="00BD06F2">
        <w:rPr>
          <w:i/>
          <w:sz w:val="24"/>
        </w:rPr>
        <w:t xml:space="preserve">them as </w:t>
      </w:r>
      <w:r w:rsidRPr="00726F23">
        <w:rPr>
          <w:i/>
          <w:sz w:val="24"/>
        </w:rPr>
        <w:t>creditor</w:t>
      </w:r>
      <w:r w:rsidR="00BD06F2">
        <w:rPr>
          <w:i/>
          <w:sz w:val="24"/>
        </w:rPr>
        <w:t>s</w:t>
      </w:r>
      <w:r w:rsidRPr="00726F23">
        <w:rPr>
          <w:i/>
          <w:sz w:val="24"/>
        </w:rPr>
        <w:t xml:space="preserve">. Despite this notification </w:t>
      </w:r>
      <w:r>
        <w:rPr>
          <w:i/>
          <w:sz w:val="24"/>
        </w:rPr>
        <w:t>of the PAK</w:t>
      </w:r>
      <w:r w:rsidRPr="00726F23">
        <w:rPr>
          <w:i/>
          <w:sz w:val="24"/>
        </w:rPr>
        <w:t>, the Liquidation Authority to date has never responded to the claimants</w:t>
      </w:r>
      <w:r w:rsidR="00E633E6" w:rsidRPr="0013043F">
        <w:rPr>
          <w:i/>
          <w:sz w:val="24"/>
        </w:rPr>
        <w:t>”</w:t>
      </w:r>
      <w:r>
        <w:rPr>
          <w:i/>
          <w:sz w:val="24"/>
        </w:rPr>
        <w:t>.</w:t>
      </w:r>
    </w:p>
    <w:p w:rsidR="00E633E6" w:rsidRPr="0013043F" w:rsidRDefault="00E633E6" w:rsidP="0051797C">
      <w:pPr>
        <w:pStyle w:val="ListParagraph"/>
        <w:spacing w:line="240" w:lineRule="auto"/>
        <w:rPr>
          <w:sz w:val="24"/>
          <w:lang w:val="en-US"/>
        </w:rPr>
      </w:pPr>
    </w:p>
    <w:p w:rsidR="00E633E6" w:rsidRPr="0013043F" w:rsidRDefault="0025457F" w:rsidP="0051797C">
      <w:pPr>
        <w:numPr>
          <w:ilvl w:val="0"/>
          <w:numId w:val="1"/>
        </w:numPr>
        <w:spacing w:line="240" w:lineRule="auto"/>
        <w:ind w:left="630" w:hanging="630"/>
        <w:rPr>
          <w:sz w:val="24"/>
        </w:rPr>
      </w:pPr>
      <w:r w:rsidRPr="0025457F">
        <w:rPr>
          <w:iCs/>
          <w:sz w:val="24"/>
        </w:rPr>
        <w:t xml:space="preserve">The Applicants </w:t>
      </w:r>
      <w:r w:rsidRPr="0051797C">
        <w:rPr>
          <w:sz w:val="24"/>
        </w:rPr>
        <w:t>further</w:t>
      </w:r>
      <w:r w:rsidRPr="0025457F">
        <w:rPr>
          <w:iCs/>
          <w:sz w:val="24"/>
        </w:rPr>
        <w:t xml:space="preserve"> allege that the Specialized Panel and the Appellate Panel were unable to provide evidence of the payment of compensation for the expropriated property. Consequently, the Applicants allege that</w:t>
      </w:r>
      <w:r w:rsidRPr="0025457F">
        <w:rPr>
          <w:i/>
          <w:sz w:val="24"/>
        </w:rPr>
        <w:t xml:space="preserve"> </w:t>
      </w:r>
      <w:r>
        <w:rPr>
          <w:i/>
          <w:sz w:val="24"/>
        </w:rPr>
        <w:t>“</w:t>
      </w:r>
      <w:r w:rsidRPr="0025457F">
        <w:rPr>
          <w:i/>
          <w:sz w:val="24"/>
        </w:rPr>
        <w:t xml:space="preserve">[...] the two Panels are aware that the claimants [the Applicants] </w:t>
      </w:r>
      <w:r>
        <w:rPr>
          <w:i/>
          <w:sz w:val="24"/>
        </w:rPr>
        <w:t xml:space="preserve">were not compensated for the </w:t>
      </w:r>
      <w:r w:rsidRPr="0025457F">
        <w:rPr>
          <w:i/>
          <w:sz w:val="24"/>
        </w:rPr>
        <w:t xml:space="preserve">expropriated immovable property on the surface </w:t>
      </w:r>
      <w:r>
        <w:rPr>
          <w:i/>
          <w:sz w:val="24"/>
        </w:rPr>
        <w:t xml:space="preserve">area </w:t>
      </w:r>
      <w:r w:rsidRPr="0025457F">
        <w:rPr>
          <w:i/>
          <w:sz w:val="24"/>
        </w:rPr>
        <w:t xml:space="preserve">of 0.43.40 ha in parcel </w:t>
      </w:r>
      <w:r w:rsidR="00BD06F2">
        <w:rPr>
          <w:i/>
          <w:sz w:val="24"/>
        </w:rPr>
        <w:t xml:space="preserve">no. </w:t>
      </w:r>
      <w:r w:rsidRPr="0025457F">
        <w:rPr>
          <w:i/>
          <w:sz w:val="24"/>
        </w:rPr>
        <w:t xml:space="preserve">165/4. These </w:t>
      </w:r>
      <w:r>
        <w:rPr>
          <w:i/>
          <w:sz w:val="24"/>
        </w:rPr>
        <w:t xml:space="preserve">panels of the </w:t>
      </w:r>
      <w:r w:rsidRPr="0025457F">
        <w:rPr>
          <w:i/>
          <w:sz w:val="24"/>
        </w:rPr>
        <w:t xml:space="preserve">Special Chamber </w:t>
      </w:r>
      <w:r>
        <w:rPr>
          <w:i/>
          <w:sz w:val="24"/>
        </w:rPr>
        <w:t>silently try</w:t>
      </w:r>
      <w:r w:rsidRPr="0025457F">
        <w:rPr>
          <w:i/>
          <w:sz w:val="24"/>
        </w:rPr>
        <w:t xml:space="preserve"> to </w:t>
      </w:r>
      <w:r w:rsidR="00BD06F2">
        <w:rPr>
          <w:i/>
          <w:sz w:val="24"/>
        </w:rPr>
        <w:t>avoid</w:t>
      </w:r>
      <w:r w:rsidRPr="0025457F">
        <w:rPr>
          <w:i/>
          <w:sz w:val="24"/>
        </w:rPr>
        <w:t xml:space="preserve">, </w:t>
      </w:r>
      <w:r w:rsidR="00BD06F2">
        <w:rPr>
          <w:i/>
          <w:sz w:val="24"/>
        </w:rPr>
        <w:t>by stating</w:t>
      </w:r>
      <w:r w:rsidR="0051797C">
        <w:rPr>
          <w:i/>
          <w:sz w:val="24"/>
        </w:rPr>
        <w:t xml:space="preserve"> </w:t>
      </w:r>
      <w:r w:rsidR="00726F23">
        <w:rPr>
          <w:i/>
          <w:sz w:val="24"/>
        </w:rPr>
        <w:t>that</w:t>
      </w:r>
      <w:r w:rsidR="0051797C">
        <w:rPr>
          <w:i/>
          <w:sz w:val="24"/>
        </w:rPr>
        <w:t xml:space="preserve"> </w:t>
      </w:r>
      <w:r w:rsidRPr="0025457F">
        <w:rPr>
          <w:i/>
          <w:sz w:val="24"/>
        </w:rPr>
        <w:t xml:space="preserve">the </w:t>
      </w:r>
      <w:r w:rsidR="00726F23">
        <w:rPr>
          <w:i/>
          <w:sz w:val="24"/>
        </w:rPr>
        <w:t>claim</w:t>
      </w:r>
      <w:r w:rsidRPr="0025457F">
        <w:rPr>
          <w:i/>
          <w:sz w:val="24"/>
        </w:rPr>
        <w:t xml:space="preserve"> is </w:t>
      </w:r>
      <w:r w:rsidR="00726F23">
        <w:rPr>
          <w:i/>
          <w:sz w:val="24"/>
        </w:rPr>
        <w:t>out of time</w:t>
      </w:r>
      <w:r w:rsidR="00E633E6" w:rsidRPr="0013043F">
        <w:rPr>
          <w:i/>
          <w:sz w:val="24"/>
        </w:rPr>
        <w:t>”</w:t>
      </w:r>
      <w:r w:rsidR="00726F23">
        <w:rPr>
          <w:i/>
          <w:sz w:val="24"/>
        </w:rPr>
        <w:t>.</w:t>
      </w:r>
    </w:p>
    <w:p w:rsidR="00E633E6" w:rsidRPr="0013043F" w:rsidRDefault="00E633E6" w:rsidP="0051797C">
      <w:pPr>
        <w:pStyle w:val="ListParagraph"/>
        <w:spacing w:line="240" w:lineRule="auto"/>
        <w:rPr>
          <w:sz w:val="24"/>
          <w:lang w:val="en-US"/>
        </w:rPr>
      </w:pPr>
    </w:p>
    <w:p w:rsidR="00E633E6" w:rsidRPr="0013043F" w:rsidRDefault="0025457F" w:rsidP="0051797C">
      <w:pPr>
        <w:numPr>
          <w:ilvl w:val="0"/>
          <w:numId w:val="1"/>
        </w:numPr>
        <w:spacing w:line="240" w:lineRule="auto"/>
        <w:ind w:left="630" w:hanging="630"/>
        <w:rPr>
          <w:sz w:val="24"/>
        </w:rPr>
      </w:pPr>
      <w:r w:rsidRPr="0025457F">
        <w:rPr>
          <w:sz w:val="24"/>
        </w:rPr>
        <w:t xml:space="preserve">Finally, the Applicants request the annulment of the challenged </w:t>
      </w:r>
      <w:r>
        <w:rPr>
          <w:sz w:val="24"/>
        </w:rPr>
        <w:t>decision</w:t>
      </w:r>
      <w:r w:rsidRPr="0025457F">
        <w:rPr>
          <w:sz w:val="24"/>
        </w:rPr>
        <w:t xml:space="preserve"> of the Appellate Panel and </w:t>
      </w:r>
      <w:r>
        <w:rPr>
          <w:sz w:val="24"/>
        </w:rPr>
        <w:t>remand</w:t>
      </w:r>
      <w:r w:rsidRPr="0025457F">
        <w:rPr>
          <w:sz w:val="24"/>
        </w:rPr>
        <w:t xml:space="preserve"> the case </w:t>
      </w:r>
      <w:r w:rsidR="000A3603">
        <w:rPr>
          <w:sz w:val="24"/>
        </w:rPr>
        <w:t>for retrial</w:t>
      </w:r>
      <w:r w:rsidR="00E633E6" w:rsidRPr="0013043F">
        <w:rPr>
          <w:sz w:val="24"/>
        </w:rPr>
        <w:t xml:space="preserve">. </w:t>
      </w:r>
    </w:p>
    <w:p w:rsidR="00E633E6" w:rsidRPr="0013043F" w:rsidRDefault="00E633E6" w:rsidP="0051797C">
      <w:pPr>
        <w:spacing w:line="240" w:lineRule="auto"/>
        <w:rPr>
          <w:b/>
          <w:sz w:val="24"/>
        </w:rPr>
      </w:pPr>
    </w:p>
    <w:p w:rsidR="00E633E6" w:rsidRPr="0013043F" w:rsidRDefault="007E5C7A" w:rsidP="0051797C">
      <w:pPr>
        <w:spacing w:line="240" w:lineRule="auto"/>
        <w:rPr>
          <w:sz w:val="24"/>
        </w:rPr>
      </w:pPr>
      <w:r>
        <w:rPr>
          <w:b/>
          <w:sz w:val="24"/>
        </w:rPr>
        <w:t>Relevant legal provisions</w:t>
      </w:r>
    </w:p>
    <w:p w:rsidR="00E633E6" w:rsidRPr="0013043F" w:rsidRDefault="00E633E6" w:rsidP="0051797C">
      <w:pPr>
        <w:tabs>
          <w:tab w:val="center" w:pos="360"/>
        </w:tabs>
        <w:spacing w:line="240" w:lineRule="auto"/>
        <w:ind w:left="540"/>
        <w:rPr>
          <w:rFonts w:cs="Arial"/>
          <w:sz w:val="24"/>
        </w:rPr>
      </w:pPr>
    </w:p>
    <w:p w:rsidR="00E633E6" w:rsidRPr="0013043F" w:rsidRDefault="007E5C7A" w:rsidP="0051797C">
      <w:pPr>
        <w:spacing w:line="240" w:lineRule="auto"/>
        <w:ind w:left="540"/>
        <w:rPr>
          <w:rFonts w:cs="Arial"/>
          <w:i/>
          <w:sz w:val="24"/>
        </w:rPr>
      </w:pPr>
      <w:r w:rsidRPr="007E5C7A">
        <w:rPr>
          <w:rFonts w:cs="Arial"/>
          <w:i/>
          <w:sz w:val="24"/>
        </w:rPr>
        <w:t xml:space="preserve">Law </w:t>
      </w:r>
      <w:r>
        <w:rPr>
          <w:rFonts w:cs="Arial"/>
          <w:i/>
          <w:sz w:val="24"/>
        </w:rPr>
        <w:t>No. 04/</w:t>
      </w:r>
      <w:r w:rsidRPr="007E5C7A">
        <w:rPr>
          <w:rFonts w:cs="Arial"/>
          <w:i/>
          <w:sz w:val="24"/>
        </w:rPr>
        <w:t>L-034 on the Privatization Agency of Kosovo (published in the Official Gazette of the Republic of Kosovo on 21 September 2011</w:t>
      </w:r>
      <w:r w:rsidR="00E633E6" w:rsidRPr="0013043F">
        <w:rPr>
          <w:rFonts w:cs="Arial"/>
          <w:i/>
          <w:sz w:val="24"/>
        </w:rPr>
        <w:t>)</w:t>
      </w:r>
    </w:p>
    <w:p w:rsidR="00E633E6" w:rsidRPr="0013043F" w:rsidRDefault="00E633E6" w:rsidP="0051797C">
      <w:pPr>
        <w:pStyle w:val="ListParagraph"/>
        <w:spacing w:line="240" w:lineRule="auto"/>
        <w:ind w:left="540"/>
        <w:rPr>
          <w:rFonts w:cs="Arial"/>
          <w:sz w:val="24"/>
          <w:lang w:val="en-US"/>
        </w:rPr>
      </w:pPr>
    </w:p>
    <w:p w:rsidR="00E633E6" w:rsidRPr="0025457F" w:rsidRDefault="0025457F" w:rsidP="0051797C">
      <w:pPr>
        <w:pStyle w:val="ListParagraph"/>
        <w:spacing w:line="240" w:lineRule="auto"/>
        <w:ind w:left="540"/>
        <w:jc w:val="center"/>
        <w:rPr>
          <w:rFonts w:cs="Arial"/>
          <w:i/>
          <w:iCs/>
          <w:sz w:val="24"/>
          <w:lang w:val="en-US"/>
        </w:rPr>
      </w:pPr>
      <w:r w:rsidRPr="0025457F">
        <w:rPr>
          <w:rFonts w:cs="Arial"/>
          <w:i/>
          <w:iCs/>
          <w:sz w:val="24"/>
          <w:lang w:val="en-US"/>
        </w:rPr>
        <w:t>Article</w:t>
      </w:r>
      <w:r w:rsidR="00E633E6" w:rsidRPr="0025457F">
        <w:rPr>
          <w:rFonts w:cs="Arial"/>
          <w:i/>
          <w:iCs/>
          <w:sz w:val="24"/>
          <w:lang w:val="en-US"/>
        </w:rPr>
        <w:t xml:space="preserve"> 5</w:t>
      </w:r>
    </w:p>
    <w:p w:rsidR="00E633E6" w:rsidRPr="0025457F" w:rsidRDefault="0025457F" w:rsidP="0051797C">
      <w:pPr>
        <w:pStyle w:val="ListParagraph"/>
        <w:spacing w:line="240" w:lineRule="auto"/>
        <w:ind w:left="0"/>
        <w:jc w:val="center"/>
        <w:rPr>
          <w:rFonts w:cs="Arial"/>
          <w:i/>
          <w:iCs/>
          <w:sz w:val="24"/>
          <w:lang w:val="en-US"/>
        </w:rPr>
      </w:pPr>
      <w:r w:rsidRPr="0025457F">
        <w:rPr>
          <w:i/>
          <w:iCs/>
          <w:sz w:val="24"/>
          <w:lang w:val="en-US"/>
        </w:rPr>
        <w:t>Enterprises and Assets Subject to the Administrative Authority of the Agency</w:t>
      </w:r>
    </w:p>
    <w:p w:rsidR="00E633E6" w:rsidRPr="0025457F" w:rsidRDefault="00E633E6" w:rsidP="0051797C">
      <w:pPr>
        <w:pStyle w:val="ListParagraph"/>
        <w:spacing w:line="240" w:lineRule="auto"/>
        <w:ind w:left="540"/>
        <w:rPr>
          <w:rFonts w:cs="Arial"/>
          <w:i/>
          <w:iCs/>
          <w:sz w:val="24"/>
          <w:lang w:val="en-US"/>
        </w:rPr>
      </w:pPr>
    </w:p>
    <w:p w:rsidR="0025457F" w:rsidRDefault="00E633E6" w:rsidP="0051797C">
      <w:pPr>
        <w:spacing w:line="240" w:lineRule="auto"/>
        <w:ind w:left="540"/>
        <w:rPr>
          <w:i/>
          <w:iCs/>
          <w:sz w:val="24"/>
        </w:rPr>
      </w:pPr>
      <w:r w:rsidRPr="0025457F">
        <w:rPr>
          <w:rFonts w:cs="Arial"/>
          <w:i/>
          <w:iCs/>
          <w:sz w:val="24"/>
        </w:rPr>
        <w:t xml:space="preserve">7. </w:t>
      </w:r>
      <w:r w:rsidR="0025457F" w:rsidRPr="0025457F">
        <w:rPr>
          <w:i/>
          <w:iCs/>
          <w:sz w:val="24"/>
        </w:rPr>
        <w:t xml:space="preserve">All matters related to or arising in connection with the liquidation of an Enterprise or Corporation pursuant to the Agency’s authority under Article 6, paragraph 2.1,including but not limited to the determination of the validity of any claim made by an alleged Creditor or any assertion of equity or ownership interest made by an alleged Owner and the determination of appropriate distribution of Proceeds to Creditors and Owners - shall be the responsibility of the concerned Liquidation Authority, which shall comply with the rules established by Annex 1 of the present Law. </w:t>
      </w:r>
    </w:p>
    <w:p w:rsidR="00E633E6" w:rsidRPr="0025457F" w:rsidRDefault="0025457F" w:rsidP="0051797C">
      <w:pPr>
        <w:spacing w:line="240" w:lineRule="auto"/>
        <w:ind w:left="540"/>
        <w:rPr>
          <w:rFonts w:cs="Arial"/>
          <w:i/>
          <w:iCs/>
          <w:sz w:val="24"/>
        </w:rPr>
      </w:pPr>
      <w:r w:rsidRPr="0025457F">
        <w:rPr>
          <w:i/>
          <w:iCs/>
          <w:sz w:val="24"/>
        </w:rPr>
        <w:t>Any person filing such a claim or alleging such an interest who disagrees with the Liquidation Authority’s determination affecting that claim or alleged interest shall have the right to challenge such determination at the Special Chamber by timely complying with the procedural requirements set forth in Article 37.7 of Annex 1.</w:t>
      </w:r>
      <w:r w:rsidR="00E633E6" w:rsidRPr="0025457F">
        <w:rPr>
          <w:rFonts w:cs="Arial"/>
          <w:i/>
          <w:iCs/>
          <w:sz w:val="24"/>
        </w:rPr>
        <w:t xml:space="preserve">i. </w:t>
      </w:r>
    </w:p>
    <w:p w:rsidR="00E633E6" w:rsidRPr="0013043F" w:rsidRDefault="00E633E6" w:rsidP="0051797C">
      <w:pPr>
        <w:spacing w:line="240" w:lineRule="auto"/>
        <w:ind w:left="540"/>
        <w:rPr>
          <w:rFonts w:cs="Arial"/>
          <w:i/>
          <w:sz w:val="24"/>
        </w:rPr>
      </w:pPr>
    </w:p>
    <w:p w:rsidR="0051797C" w:rsidRDefault="0051797C" w:rsidP="0051797C">
      <w:pPr>
        <w:spacing w:line="240" w:lineRule="auto"/>
        <w:ind w:left="540"/>
        <w:rPr>
          <w:i/>
          <w:iCs/>
          <w:sz w:val="24"/>
        </w:rPr>
      </w:pPr>
    </w:p>
    <w:p w:rsidR="0025457F" w:rsidRPr="0025457F" w:rsidRDefault="0025457F" w:rsidP="0051797C">
      <w:pPr>
        <w:spacing w:line="240" w:lineRule="auto"/>
        <w:ind w:left="540"/>
        <w:rPr>
          <w:rFonts w:cs="Arial"/>
          <w:i/>
          <w:iCs/>
          <w:sz w:val="24"/>
        </w:rPr>
      </w:pPr>
      <w:r w:rsidRPr="0025457F">
        <w:rPr>
          <w:i/>
          <w:iCs/>
          <w:sz w:val="24"/>
        </w:rPr>
        <w:t xml:space="preserve">Annex </w:t>
      </w:r>
      <w:r>
        <w:rPr>
          <w:i/>
          <w:iCs/>
          <w:sz w:val="24"/>
        </w:rPr>
        <w:t>o</w:t>
      </w:r>
      <w:r w:rsidRPr="0025457F">
        <w:rPr>
          <w:i/>
          <w:iCs/>
          <w:sz w:val="24"/>
        </w:rPr>
        <w:t xml:space="preserve">f </w:t>
      </w:r>
      <w:r w:rsidR="000A3603">
        <w:rPr>
          <w:i/>
          <w:iCs/>
          <w:sz w:val="24"/>
        </w:rPr>
        <w:t>t</w:t>
      </w:r>
      <w:r w:rsidRPr="0025457F">
        <w:rPr>
          <w:i/>
          <w:iCs/>
          <w:sz w:val="24"/>
        </w:rPr>
        <w:t xml:space="preserve">he Law No.04/L-034 </w:t>
      </w:r>
      <w:r>
        <w:rPr>
          <w:i/>
          <w:iCs/>
          <w:sz w:val="24"/>
        </w:rPr>
        <w:t>o</w:t>
      </w:r>
      <w:r w:rsidRPr="0025457F">
        <w:rPr>
          <w:i/>
          <w:iCs/>
          <w:sz w:val="24"/>
        </w:rPr>
        <w:t xml:space="preserve">n </w:t>
      </w:r>
      <w:r>
        <w:rPr>
          <w:i/>
          <w:iCs/>
          <w:sz w:val="24"/>
        </w:rPr>
        <w:t>t</w:t>
      </w:r>
      <w:r w:rsidRPr="0025457F">
        <w:rPr>
          <w:i/>
          <w:iCs/>
          <w:sz w:val="24"/>
        </w:rPr>
        <w:t xml:space="preserve">he Privatization Agency </w:t>
      </w:r>
      <w:r w:rsidR="00202227">
        <w:rPr>
          <w:i/>
          <w:iCs/>
          <w:sz w:val="24"/>
        </w:rPr>
        <w:t>o</w:t>
      </w:r>
      <w:r w:rsidRPr="0025457F">
        <w:rPr>
          <w:i/>
          <w:iCs/>
          <w:sz w:val="24"/>
        </w:rPr>
        <w:t>f Kosovo</w:t>
      </w:r>
    </w:p>
    <w:p w:rsidR="00E633E6" w:rsidRPr="0013043F" w:rsidRDefault="00E633E6" w:rsidP="0051797C">
      <w:pPr>
        <w:spacing w:line="240" w:lineRule="auto"/>
        <w:ind w:left="540"/>
        <w:jc w:val="center"/>
        <w:rPr>
          <w:rFonts w:cs="Arial"/>
          <w:sz w:val="24"/>
        </w:rPr>
      </w:pPr>
    </w:p>
    <w:p w:rsidR="00E633E6" w:rsidRPr="0025457F" w:rsidRDefault="0025457F" w:rsidP="0051797C">
      <w:pPr>
        <w:spacing w:line="240" w:lineRule="auto"/>
        <w:ind w:left="540"/>
        <w:jc w:val="center"/>
        <w:rPr>
          <w:rFonts w:cs="Arial"/>
          <w:sz w:val="24"/>
        </w:rPr>
      </w:pPr>
      <w:r w:rsidRPr="0025457F">
        <w:rPr>
          <w:rFonts w:cs="Arial"/>
          <w:sz w:val="24"/>
        </w:rPr>
        <w:t>Article</w:t>
      </w:r>
      <w:r w:rsidR="00E633E6" w:rsidRPr="0025457F">
        <w:rPr>
          <w:rFonts w:cs="Arial"/>
          <w:sz w:val="24"/>
        </w:rPr>
        <w:t xml:space="preserve"> 10</w:t>
      </w:r>
    </w:p>
    <w:p w:rsidR="00E633E6" w:rsidRPr="0025457F" w:rsidRDefault="0025457F" w:rsidP="0051797C">
      <w:pPr>
        <w:spacing w:line="240" w:lineRule="auto"/>
        <w:ind w:left="540"/>
        <w:jc w:val="center"/>
        <w:rPr>
          <w:rFonts w:cs="Arial"/>
          <w:sz w:val="24"/>
        </w:rPr>
      </w:pPr>
      <w:r w:rsidRPr="0025457F">
        <w:rPr>
          <w:sz w:val="24"/>
        </w:rPr>
        <w:t>Suspension of actions</w:t>
      </w:r>
    </w:p>
    <w:p w:rsidR="00E633E6" w:rsidRPr="0013043F" w:rsidRDefault="00E633E6" w:rsidP="0051797C">
      <w:pPr>
        <w:spacing w:line="240" w:lineRule="auto"/>
        <w:ind w:left="540"/>
        <w:rPr>
          <w:rFonts w:cs="Arial"/>
          <w:i/>
        </w:rPr>
      </w:pPr>
    </w:p>
    <w:p w:rsidR="00E633E6" w:rsidRPr="0025457F" w:rsidRDefault="0025457F" w:rsidP="0051797C">
      <w:pPr>
        <w:pStyle w:val="ListParagraph"/>
        <w:numPr>
          <w:ilvl w:val="0"/>
          <w:numId w:val="40"/>
        </w:numPr>
        <w:tabs>
          <w:tab w:val="center" w:pos="270"/>
        </w:tabs>
        <w:spacing w:line="240" w:lineRule="auto"/>
        <w:ind w:left="540" w:firstLine="0"/>
        <w:contextualSpacing/>
        <w:rPr>
          <w:rFonts w:cs="Arial"/>
          <w:i/>
          <w:sz w:val="24"/>
          <w:lang w:val="en-US"/>
        </w:rPr>
      </w:pPr>
      <w:r w:rsidRPr="0025457F">
        <w:rPr>
          <w:i/>
          <w:iCs/>
          <w:sz w:val="24"/>
          <w:lang w:val="en-US"/>
        </w:rPr>
        <w:t>Any judicial, administrative or arbitration action, proceeding or act involving or against an Enterprise (or any of its assets) that is the subject of a Liquidation Decision shall be suspended upon the submission by the Liquidation Authority of a notice of the Liquidation Decision to the concerned court, public authority or arbitral tribunal. Such notice shall refer to this Article 10 and be accompanied by a copy of the Liquidation Decision and a copy of the published Liquidation Notice</w:t>
      </w:r>
      <w:r w:rsidR="00E633E6" w:rsidRPr="0025457F">
        <w:rPr>
          <w:rFonts w:cs="Arial"/>
          <w:i/>
          <w:sz w:val="24"/>
          <w:lang w:val="en-US"/>
        </w:rPr>
        <w:t>.</w:t>
      </w:r>
    </w:p>
    <w:p w:rsidR="00E633E6" w:rsidRPr="0013043F" w:rsidRDefault="00E633E6" w:rsidP="0051797C">
      <w:pPr>
        <w:spacing w:line="240" w:lineRule="auto"/>
        <w:ind w:left="540"/>
        <w:rPr>
          <w:rFonts w:cs="Arial"/>
          <w:i/>
          <w:sz w:val="24"/>
        </w:rPr>
      </w:pPr>
    </w:p>
    <w:p w:rsidR="00E633E6" w:rsidRPr="0025457F" w:rsidRDefault="00E633E6" w:rsidP="0051797C">
      <w:pPr>
        <w:spacing w:line="240" w:lineRule="auto"/>
        <w:ind w:left="540"/>
        <w:rPr>
          <w:rFonts w:cs="Arial"/>
          <w:i/>
          <w:sz w:val="24"/>
        </w:rPr>
      </w:pPr>
      <w:r w:rsidRPr="0013043F">
        <w:rPr>
          <w:rFonts w:cs="Arial"/>
          <w:i/>
          <w:sz w:val="24"/>
        </w:rPr>
        <w:t>2.</w:t>
      </w:r>
      <w:r w:rsidRPr="0025457F">
        <w:rPr>
          <w:rFonts w:cs="Arial"/>
          <w:i/>
          <w:sz w:val="24"/>
        </w:rPr>
        <w:t xml:space="preserve"> </w:t>
      </w:r>
      <w:r w:rsidR="0025457F" w:rsidRPr="0025457F">
        <w:rPr>
          <w:i/>
          <w:sz w:val="24"/>
        </w:rPr>
        <w:t>Any such suspended action, proceeding or act shall only continue or be effective with the permission of the Liquidation Authority or the Court. Such suspended actions, proceedings and acts shall include, but not be limited to, any action, proceeding or act</w:t>
      </w:r>
      <w:r w:rsidRPr="0025457F">
        <w:rPr>
          <w:rFonts w:cs="Arial"/>
          <w:i/>
          <w:sz w:val="24"/>
        </w:rPr>
        <w:t>:</w:t>
      </w:r>
    </w:p>
    <w:p w:rsidR="00E633E6" w:rsidRPr="0025457F" w:rsidRDefault="00E633E6" w:rsidP="0051797C">
      <w:pPr>
        <w:spacing w:line="240" w:lineRule="auto"/>
        <w:ind w:left="540"/>
        <w:rPr>
          <w:rFonts w:cs="Arial"/>
          <w:i/>
          <w:sz w:val="24"/>
        </w:rPr>
      </w:pPr>
    </w:p>
    <w:p w:rsidR="00E633E6" w:rsidRPr="0025457F" w:rsidRDefault="00E633E6" w:rsidP="0051797C">
      <w:pPr>
        <w:spacing w:line="240" w:lineRule="auto"/>
        <w:ind w:left="540"/>
        <w:rPr>
          <w:rFonts w:cs="Arial"/>
          <w:i/>
          <w:sz w:val="24"/>
        </w:rPr>
      </w:pPr>
      <w:r w:rsidRPr="0025457F">
        <w:rPr>
          <w:rFonts w:cs="Arial"/>
          <w:i/>
          <w:sz w:val="24"/>
        </w:rPr>
        <w:t>2.1.</w:t>
      </w:r>
      <w:r w:rsidR="0025457F" w:rsidRPr="0025457F">
        <w:rPr>
          <w:rFonts w:cs="Arial"/>
          <w:i/>
          <w:sz w:val="24"/>
        </w:rPr>
        <w:t xml:space="preserve"> </w:t>
      </w:r>
      <w:r w:rsidR="0025457F" w:rsidRPr="0025457F">
        <w:rPr>
          <w:i/>
          <w:sz w:val="24"/>
        </w:rPr>
        <w:t>concerning the collection, recovery or enforcement of a Claim for debts, taxes, penalties or obligations of any kind</w:t>
      </w:r>
      <w:r w:rsidRPr="0025457F">
        <w:rPr>
          <w:rFonts w:cs="Arial"/>
          <w:i/>
          <w:sz w:val="24"/>
        </w:rPr>
        <w:t>;</w:t>
      </w:r>
    </w:p>
    <w:p w:rsidR="00E633E6" w:rsidRPr="0025457F" w:rsidRDefault="00E633E6" w:rsidP="0051797C">
      <w:pPr>
        <w:spacing w:line="240" w:lineRule="auto"/>
        <w:ind w:left="540"/>
        <w:rPr>
          <w:rFonts w:cs="Arial"/>
          <w:i/>
          <w:sz w:val="24"/>
        </w:rPr>
      </w:pPr>
      <w:r w:rsidRPr="0025457F">
        <w:rPr>
          <w:rFonts w:cs="Arial"/>
          <w:i/>
          <w:sz w:val="24"/>
        </w:rPr>
        <w:t>2.2.</w:t>
      </w:r>
      <w:r w:rsidR="0025457F" w:rsidRPr="0025457F">
        <w:rPr>
          <w:rFonts w:cs="Arial"/>
          <w:i/>
          <w:sz w:val="24"/>
        </w:rPr>
        <w:t xml:space="preserve"> </w:t>
      </w:r>
      <w:r w:rsidR="0025457F" w:rsidRPr="0025457F">
        <w:rPr>
          <w:i/>
          <w:sz w:val="24"/>
        </w:rPr>
        <w:t>concerning the creation, recognition, modification, increase, perfection, registration or enforcement of any Claim or Interest against or to the Enterprise or any Asset of the Enterprise</w:t>
      </w:r>
      <w:r w:rsidRPr="0025457F">
        <w:rPr>
          <w:rFonts w:cs="Arial"/>
          <w:i/>
          <w:sz w:val="24"/>
        </w:rPr>
        <w:t>;</w:t>
      </w:r>
    </w:p>
    <w:p w:rsidR="00E633E6" w:rsidRPr="0025457F" w:rsidRDefault="00E633E6" w:rsidP="0051797C">
      <w:pPr>
        <w:spacing w:line="240" w:lineRule="auto"/>
        <w:ind w:left="540"/>
        <w:rPr>
          <w:rFonts w:cs="Arial"/>
          <w:i/>
          <w:sz w:val="24"/>
        </w:rPr>
      </w:pPr>
      <w:r w:rsidRPr="0025457F">
        <w:rPr>
          <w:rFonts w:cs="Arial"/>
          <w:i/>
          <w:sz w:val="24"/>
        </w:rPr>
        <w:t>2.3.</w:t>
      </w:r>
      <w:r w:rsidR="0025457F" w:rsidRPr="0025457F">
        <w:rPr>
          <w:rFonts w:cs="Arial"/>
          <w:i/>
          <w:sz w:val="24"/>
        </w:rPr>
        <w:t xml:space="preserve"> </w:t>
      </w:r>
      <w:r w:rsidR="0025457F" w:rsidRPr="0025457F">
        <w:rPr>
          <w:i/>
          <w:sz w:val="24"/>
        </w:rPr>
        <w:t>any act to realize, seize, or sell any pledged or mortgaged or otherwise encumbered asset or to exercise ownership or control over any Asset of the Enterprise; and</w:t>
      </w:r>
    </w:p>
    <w:p w:rsidR="00E633E6" w:rsidRPr="0025457F" w:rsidRDefault="00E633E6" w:rsidP="0051797C">
      <w:pPr>
        <w:spacing w:line="240" w:lineRule="auto"/>
        <w:ind w:left="540"/>
        <w:rPr>
          <w:rFonts w:cs="Arial"/>
          <w:i/>
          <w:sz w:val="24"/>
        </w:rPr>
      </w:pPr>
      <w:r w:rsidRPr="0025457F">
        <w:rPr>
          <w:rFonts w:cs="Arial"/>
          <w:i/>
          <w:sz w:val="24"/>
        </w:rPr>
        <w:t>2.4.</w:t>
      </w:r>
      <w:r w:rsidR="0025457F" w:rsidRPr="0025457F">
        <w:rPr>
          <w:rFonts w:cs="Arial"/>
          <w:i/>
          <w:sz w:val="24"/>
        </w:rPr>
        <w:t xml:space="preserve"> </w:t>
      </w:r>
      <w:r w:rsidR="0025457F" w:rsidRPr="0025457F">
        <w:rPr>
          <w:i/>
          <w:sz w:val="24"/>
        </w:rPr>
        <w:t>regulatory proceedings or actions with regard to the prevention of or remedy for any violation of the regulatory provisions, rules or decision, to the extent that these involve monetary Claims against the Enterprise</w:t>
      </w:r>
      <w:r w:rsidRPr="0025457F">
        <w:rPr>
          <w:rFonts w:cs="Arial"/>
          <w:i/>
          <w:sz w:val="24"/>
        </w:rPr>
        <w:t>.</w:t>
      </w:r>
    </w:p>
    <w:p w:rsidR="00E633E6" w:rsidRPr="0013043F" w:rsidRDefault="00E633E6" w:rsidP="0051797C">
      <w:pPr>
        <w:spacing w:line="240" w:lineRule="auto"/>
        <w:ind w:left="540"/>
        <w:rPr>
          <w:rFonts w:cs="Arial"/>
          <w:i/>
          <w:sz w:val="24"/>
        </w:rPr>
      </w:pPr>
    </w:p>
    <w:p w:rsidR="00E633E6" w:rsidRPr="0013043F" w:rsidRDefault="00E633E6" w:rsidP="0051797C">
      <w:pPr>
        <w:spacing w:line="240" w:lineRule="auto"/>
        <w:ind w:left="540"/>
        <w:rPr>
          <w:rFonts w:cs="Arial"/>
          <w:sz w:val="24"/>
        </w:rPr>
      </w:pPr>
      <w:r w:rsidRPr="0013043F">
        <w:rPr>
          <w:rFonts w:cs="Arial"/>
          <w:i/>
          <w:sz w:val="24"/>
        </w:rPr>
        <w:t>[...]</w:t>
      </w:r>
    </w:p>
    <w:p w:rsidR="00E633E6" w:rsidRPr="0013043F" w:rsidRDefault="0025457F" w:rsidP="0051797C">
      <w:pPr>
        <w:spacing w:line="240" w:lineRule="auto"/>
        <w:jc w:val="center"/>
        <w:rPr>
          <w:sz w:val="24"/>
        </w:rPr>
      </w:pPr>
      <w:r>
        <w:rPr>
          <w:sz w:val="24"/>
        </w:rPr>
        <w:t>Article</w:t>
      </w:r>
      <w:r w:rsidR="00E633E6" w:rsidRPr="0013043F">
        <w:rPr>
          <w:sz w:val="24"/>
        </w:rPr>
        <w:t xml:space="preserve"> 37</w:t>
      </w:r>
    </w:p>
    <w:p w:rsidR="00E633E6" w:rsidRPr="0025457F" w:rsidRDefault="0025457F" w:rsidP="0051797C">
      <w:pPr>
        <w:spacing w:line="240" w:lineRule="auto"/>
        <w:jc w:val="center"/>
        <w:rPr>
          <w:sz w:val="24"/>
        </w:rPr>
      </w:pPr>
      <w:r w:rsidRPr="0025457F">
        <w:rPr>
          <w:sz w:val="24"/>
        </w:rPr>
        <w:t>Calculation and Set Off of Claims</w:t>
      </w:r>
    </w:p>
    <w:p w:rsidR="0025457F" w:rsidRPr="0025457F" w:rsidRDefault="0025457F" w:rsidP="0051797C">
      <w:pPr>
        <w:spacing w:line="240" w:lineRule="auto"/>
        <w:jc w:val="center"/>
        <w:rPr>
          <w:sz w:val="24"/>
        </w:rPr>
      </w:pPr>
    </w:p>
    <w:p w:rsidR="00566355" w:rsidRPr="0025457F" w:rsidRDefault="00E633E6" w:rsidP="0051797C">
      <w:pPr>
        <w:pStyle w:val="ListParagraph"/>
        <w:spacing w:line="240" w:lineRule="auto"/>
        <w:rPr>
          <w:rFonts w:cs="Arial"/>
          <w:i/>
          <w:iCs/>
          <w:sz w:val="24"/>
          <w:lang w:val="en-US"/>
        </w:rPr>
      </w:pPr>
      <w:r w:rsidRPr="0013043F">
        <w:rPr>
          <w:rFonts w:cs="Arial"/>
          <w:i/>
          <w:sz w:val="24"/>
          <w:lang w:val="en-US"/>
        </w:rPr>
        <w:t xml:space="preserve">7. </w:t>
      </w:r>
      <w:r w:rsidR="0025457F" w:rsidRPr="0025457F">
        <w:rPr>
          <w:i/>
          <w:iCs/>
          <w:sz w:val="24"/>
          <w:lang w:val="en-US"/>
        </w:rPr>
        <w:t>The affected creditor is entitled to apply to the Court within thirty (30) days of the dispatch of such notice by the Liquidation Authority for determination of his claim and failing such timely application the creditor shall be precluded from objecting further to the Liquidation Authority’s decision</w:t>
      </w:r>
      <w:r w:rsidRPr="0025457F">
        <w:rPr>
          <w:rFonts w:cs="Arial"/>
          <w:i/>
          <w:iCs/>
          <w:sz w:val="24"/>
          <w:lang w:val="en-US"/>
        </w:rPr>
        <w:t>.</w:t>
      </w:r>
    </w:p>
    <w:p w:rsidR="00E633E6" w:rsidRPr="0025457F" w:rsidRDefault="00E633E6" w:rsidP="0051797C">
      <w:pPr>
        <w:pStyle w:val="ListParagraph"/>
        <w:spacing w:line="240" w:lineRule="auto"/>
        <w:rPr>
          <w:i/>
          <w:iCs/>
          <w:sz w:val="24"/>
          <w:lang w:val="en-US"/>
        </w:rPr>
      </w:pPr>
    </w:p>
    <w:p w:rsidR="007E5C7A" w:rsidRPr="006149FC" w:rsidRDefault="007E5C7A" w:rsidP="0051797C">
      <w:pPr>
        <w:spacing w:line="240" w:lineRule="auto"/>
        <w:rPr>
          <w:b/>
          <w:bCs/>
          <w:sz w:val="24"/>
        </w:rPr>
      </w:pPr>
      <w:r>
        <w:rPr>
          <w:b/>
          <w:bCs/>
          <w:sz w:val="24"/>
        </w:rPr>
        <w:t>A</w:t>
      </w:r>
      <w:r w:rsidRPr="006149FC">
        <w:rPr>
          <w:b/>
          <w:bCs/>
          <w:sz w:val="24"/>
        </w:rPr>
        <w:t xml:space="preserve">dmissibility of </w:t>
      </w:r>
      <w:r>
        <w:rPr>
          <w:b/>
          <w:bCs/>
          <w:sz w:val="24"/>
        </w:rPr>
        <w:t xml:space="preserve">the </w:t>
      </w:r>
      <w:r w:rsidRPr="006149FC">
        <w:rPr>
          <w:b/>
          <w:bCs/>
          <w:sz w:val="24"/>
        </w:rPr>
        <w:t>Referral</w:t>
      </w:r>
    </w:p>
    <w:p w:rsidR="005F6FD4" w:rsidRPr="0013043F" w:rsidRDefault="005F6FD4" w:rsidP="0051797C">
      <w:pPr>
        <w:tabs>
          <w:tab w:val="left" w:pos="540"/>
        </w:tabs>
        <w:spacing w:line="240" w:lineRule="auto"/>
        <w:ind w:left="634" w:hanging="634"/>
        <w:rPr>
          <w:sz w:val="24"/>
        </w:rPr>
      </w:pPr>
    </w:p>
    <w:p w:rsidR="00E633E6" w:rsidRPr="0013043F" w:rsidRDefault="007E5C7A" w:rsidP="0051797C">
      <w:pPr>
        <w:numPr>
          <w:ilvl w:val="0"/>
          <w:numId w:val="1"/>
        </w:numPr>
        <w:spacing w:line="240" w:lineRule="auto"/>
        <w:ind w:left="630" w:hanging="630"/>
        <w:rPr>
          <w:rFonts w:cs="Arial"/>
          <w:sz w:val="24"/>
        </w:rPr>
      </w:pPr>
      <w:r w:rsidRPr="006149FC">
        <w:rPr>
          <w:sz w:val="24"/>
        </w:rPr>
        <w:t>The Court</w:t>
      </w:r>
      <w:r>
        <w:rPr>
          <w:sz w:val="24"/>
        </w:rPr>
        <w:t xml:space="preserve"> </w:t>
      </w:r>
      <w:r w:rsidRPr="006149FC">
        <w:rPr>
          <w:bCs/>
          <w:iCs/>
          <w:sz w:val="24"/>
        </w:rPr>
        <w:t>first</w:t>
      </w:r>
      <w:r>
        <w:rPr>
          <w:sz w:val="24"/>
        </w:rPr>
        <w:t xml:space="preserve"> examines</w:t>
      </w:r>
      <w:r w:rsidRPr="006149FC">
        <w:rPr>
          <w:sz w:val="24"/>
        </w:rPr>
        <w:t xml:space="preserve"> whether the </w:t>
      </w:r>
      <w:r>
        <w:rPr>
          <w:sz w:val="24"/>
        </w:rPr>
        <w:t>Referral</w:t>
      </w:r>
      <w:r w:rsidRPr="006149FC">
        <w:rPr>
          <w:sz w:val="24"/>
        </w:rPr>
        <w:t xml:space="preserve"> has fulfilled the admissibility requirements established in the Constitution</w:t>
      </w:r>
      <w:r w:rsidR="000A3603">
        <w:rPr>
          <w:sz w:val="24"/>
        </w:rPr>
        <w:t>, a</w:t>
      </w:r>
      <w:r w:rsidRPr="006149FC">
        <w:rPr>
          <w:sz w:val="24"/>
        </w:rPr>
        <w:t>d</w:t>
      </w:r>
      <w:r>
        <w:rPr>
          <w:sz w:val="24"/>
        </w:rPr>
        <w:t xml:space="preserve"> further specified in the Law, </w:t>
      </w:r>
      <w:r w:rsidRPr="006149FC">
        <w:rPr>
          <w:sz w:val="24"/>
        </w:rPr>
        <w:t>and foreseen in the Rules of Procedure</w:t>
      </w:r>
      <w:r w:rsidR="00E633E6" w:rsidRPr="0013043F">
        <w:rPr>
          <w:sz w:val="24"/>
        </w:rPr>
        <w:t>.</w:t>
      </w:r>
    </w:p>
    <w:p w:rsidR="00E633E6" w:rsidRPr="0013043F" w:rsidRDefault="00E633E6" w:rsidP="0051797C">
      <w:pPr>
        <w:spacing w:line="240" w:lineRule="auto"/>
        <w:ind w:left="540" w:hanging="540"/>
        <w:rPr>
          <w:sz w:val="24"/>
        </w:rPr>
      </w:pPr>
    </w:p>
    <w:p w:rsidR="00E633E6" w:rsidRPr="0013043F" w:rsidRDefault="007E5C7A" w:rsidP="0051797C">
      <w:pPr>
        <w:numPr>
          <w:ilvl w:val="0"/>
          <w:numId w:val="1"/>
        </w:numPr>
        <w:spacing w:line="240" w:lineRule="auto"/>
        <w:ind w:left="630" w:hanging="630"/>
        <w:rPr>
          <w:color w:val="000000"/>
          <w:sz w:val="24"/>
        </w:rPr>
      </w:pPr>
      <w:r w:rsidRPr="006149FC">
        <w:rPr>
          <w:color w:val="000000"/>
          <w:sz w:val="24"/>
        </w:rPr>
        <w:t>In this respect, the Court refers to paragraphs 1 and 7 of Article 113 [</w:t>
      </w:r>
      <w:r w:rsidRPr="006149FC">
        <w:rPr>
          <w:bCs/>
          <w:sz w:val="24"/>
        </w:rPr>
        <w:t>Jurisdiction and Authorized Parties</w:t>
      </w:r>
      <w:r w:rsidRPr="006149FC">
        <w:rPr>
          <w:color w:val="000000"/>
          <w:sz w:val="24"/>
        </w:rPr>
        <w:t>] of the Constitution which establish</w:t>
      </w:r>
      <w:r w:rsidR="00E633E6" w:rsidRPr="0013043F">
        <w:rPr>
          <w:color w:val="000000"/>
          <w:sz w:val="24"/>
        </w:rPr>
        <w:t>:</w:t>
      </w:r>
    </w:p>
    <w:p w:rsidR="00E633E6" w:rsidRPr="0013043F" w:rsidRDefault="00E633E6" w:rsidP="0051797C">
      <w:pPr>
        <w:pStyle w:val="ListParagraph"/>
        <w:spacing w:line="240" w:lineRule="auto"/>
        <w:ind w:left="634" w:hanging="634"/>
        <w:rPr>
          <w:i/>
          <w:sz w:val="24"/>
          <w:lang w:val="en-US"/>
        </w:rPr>
      </w:pPr>
    </w:p>
    <w:p w:rsidR="00E633E6" w:rsidRPr="0013043F" w:rsidRDefault="00E633E6" w:rsidP="0051797C">
      <w:pPr>
        <w:tabs>
          <w:tab w:val="left" w:pos="990"/>
        </w:tabs>
        <w:spacing w:line="240" w:lineRule="auto"/>
        <w:ind w:left="990"/>
        <w:rPr>
          <w:i/>
          <w:sz w:val="24"/>
        </w:rPr>
      </w:pPr>
      <w:r w:rsidRPr="0013043F">
        <w:rPr>
          <w:i/>
          <w:sz w:val="24"/>
        </w:rPr>
        <w:t xml:space="preserve">“1. </w:t>
      </w:r>
      <w:r w:rsidR="007E5C7A" w:rsidRPr="006149FC">
        <w:rPr>
          <w:i/>
          <w:sz w:val="24"/>
        </w:rPr>
        <w:t>The Constitutional Court decides only on matters referred to the court in a legal manner by authorized parties</w:t>
      </w:r>
      <w:r w:rsidRPr="0013043F">
        <w:rPr>
          <w:i/>
          <w:sz w:val="24"/>
        </w:rPr>
        <w:t>.</w:t>
      </w:r>
    </w:p>
    <w:p w:rsidR="00E633E6" w:rsidRPr="0013043F" w:rsidRDefault="00E633E6" w:rsidP="0051797C">
      <w:pPr>
        <w:spacing w:line="240" w:lineRule="auto"/>
        <w:ind w:left="720"/>
        <w:rPr>
          <w:i/>
          <w:sz w:val="24"/>
        </w:rPr>
      </w:pPr>
    </w:p>
    <w:p w:rsidR="00E633E6" w:rsidRPr="0013043F" w:rsidRDefault="00E633E6" w:rsidP="0051797C">
      <w:pPr>
        <w:tabs>
          <w:tab w:val="left" w:pos="990"/>
        </w:tabs>
        <w:spacing w:line="240" w:lineRule="auto"/>
        <w:ind w:left="990"/>
        <w:rPr>
          <w:i/>
          <w:sz w:val="24"/>
        </w:rPr>
      </w:pPr>
      <w:r w:rsidRPr="0013043F">
        <w:rPr>
          <w:i/>
          <w:sz w:val="24"/>
        </w:rPr>
        <w:t>[…]</w:t>
      </w:r>
    </w:p>
    <w:p w:rsidR="00E633E6" w:rsidRPr="0013043F" w:rsidRDefault="00E633E6" w:rsidP="0051797C">
      <w:pPr>
        <w:spacing w:line="240" w:lineRule="auto"/>
        <w:ind w:left="720"/>
        <w:rPr>
          <w:rFonts w:cs="Arial"/>
          <w:i/>
          <w:sz w:val="24"/>
        </w:rPr>
      </w:pPr>
    </w:p>
    <w:p w:rsidR="00E633E6" w:rsidRPr="0013043F" w:rsidRDefault="00E633E6" w:rsidP="0051797C">
      <w:pPr>
        <w:tabs>
          <w:tab w:val="left" w:pos="990"/>
        </w:tabs>
        <w:spacing w:line="240" w:lineRule="auto"/>
        <w:ind w:left="990"/>
        <w:rPr>
          <w:i/>
          <w:sz w:val="24"/>
        </w:rPr>
      </w:pPr>
      <w:r w:rsidRPr="0013043F">
        <w:rPr>
          <w:rFonts w:cs="Arial"/>
          <w:i/>
          <w:sz w:val="24"/>
        </w:rPr>
        <w:t xml:space="preserve">7. </w:t>
      </w:r>
      <w:r w:rsidR="007E5C7A" w:rsidRPr="006149FC">
        <w:rPr>
          <w:i/>
          <w:color w:val="000000"/>
          <w:sz w:val="24"/>
        </w:rPr>
        <w:t xml:space="preserve">Individuals are authorized to refer violations by public authorities of their individual rights </w:t>
      </w:r>
      <w:r w:rsidR="007E5C7A" w:rsidRPr="006149FC">
        <w:rPr>
          <w:i/>
          <w:sz w:val="24"/>
        </w:rPr>
        <w:t>and</w:t>
      </w:r>
      <w:r w:rsidR="007E5C7A" w:rsidRPr="006149FC">
        <w:rPr>
          <w:i/>
          <w:color w:val="000000"/>
          <w:sz w:val="24"/>
        </w:rPr>
        <w:t xml:space="preserve"> </w:t>
      </w:r>
      <w:r w:rsidR="007E5C7A" w:rsidRPr="00BE3019">
        <w:rPr>
          <w:i/>
          <w:sz w:val="24"/>
        </w:rPr>
        <w:t>freedoms</w:t>
      </w:r>
      <w:r w:rsidR="007E5C7A" w:rsidRPr="006149FC">
        <w:rPr>
          <w:i/>
          <w:color w:val="000000"/>
          <w:sz w:val="24"/>
        </w:rPr>
        <w:t xml:space="preserve"> guaranteed by the Constitution, but only after exhaustion of all legal remedies provided by law</w:t>
      </w:r>
      <w:r w:rsidRPr="0013043F">
        <w:rPr>
          <w:i/>
          <w:sz w:val="24"/>
        </w:rPr>
        <w:t>.”</w:t>
      </w:r>
    </w:p>
    <w:p w:rsidR="00E633E6" w:rsidRPr="0013043F" w:rsidRDefault="00E633E6" w:rsidP="0051797C">
      <w:pPr>
        <w:spacing w:line="240" w:lineRule="auto"/>
        <w:ind w:left="720"/>
        <w:rPr>
          <w:i/>
          <w:sz w:val="24"/>
        </w:rPr>
      </w:pPr>
    </w:p>
    <w:p w:rsidR="00E633E6" w:rsidRPr="0013043F" w:rsidRDefault="00E633E6" w:rsidP="0051797C">
      <w:pPr>
        <w:spacing w:line="240" w:lineRule="auto"/>
        <w:ind w:left="720"/>
        <w:rPr>
          <w:rFonts w:eastAsia="Calibri" w:cs="TimesNewRomanPSMT"/>
          <w:i/>
          <w:sz w:val="24"/>
          <w:lang w:eastAsia="sq-AL"/>
        </w:rPr>
      </w:pPr>
    </w:p>
    <w:p w:rsidR="00E633E6" w:rsidRPr="007E5C7A" w:rsidRDefault="007E5C7A" w:rsidP="0051797C">
      <w:pPr>
        <w:numPr>
          <w:ilvl w:val="0"/>
          <w:numId w:val="1"/>
        </w:numPr>
        <w:spacing w:line="240" w:lineRule="auto"/>
        <w:ind w:left="630" w:hanging="630"/>
        <w:rPr>
          <w:i/>
          <w:sz w:val="24"/>
        </w:rPr>
      </w:pPr>
      <w:r w:rsidRPr="007E5C7A">
        <w:rPr>
          <w:sz w:val="24"/>
        </w:rPr>
        <w:t>As to the fulfillment of these requirements, the Court finds that the Applicants are authorized part</w:t>
      </w:r>
      <w:r w:rsidR="000A3603">
        <w:rPr>
          <w:sz w:val="24"/>
        </w:rPr>
        <w:t>ies</w:t>
      </w:r>
      <w:r w:rsidRPr="007E5C7A">
        <w:rPr>
          <w:sz w:val="24"/>
        </w:rPr>
        <w:t>, who challenge an act of a public authorit</w:t>
      </w:r>
      <w:r w:rsidR="000A3603">
        <w:rPr>
          <w:sz w:val="24"/>
        </w:rPr>
        <w:t>y, namely Decision AC-I-14-2013</w:t>
      </w:r>
      <w:r w:rsidRPr="007E5C7A">
        <w:rPr>
          <w:sz w:val="24"/>
        </w:rPr>
        <w:t xml:space="preserve"> of 30 November 2017 of the Appellate Panel</w:t>
      </w:r>
      <w:r w:rsidR="00E633E6" w:rsidRPr="007E5C7A">
        <w:rPr>
          <w:sz w:val="24"/>
        </w:rPr>
        <w:t>.</w:t>
      </w:r>
    </w:p>
    <w:p w:rsidR="00E633E6" w:rsidRPr="0013043F" w:rsidRDefault="00E633E6" w:rsidP="0051797C">
      <w:pPr>
        <w:pStyle w:val="ListParagraph"/>
        <w:spacing w:line="240" w:lineRule="auto"/>
        <w:ind w:left="540"/>
        <w:rPr>
          <w:i/>
          <w:sz w:val="24"/>
          <w:lang w:val="en-US"/>
        </w:rPr>
      </w:pPr>
    </w:p>
    <w:p w:rsidR="00E633E6" w:rsidRPr="0013043F" w:rsidRDefault="007E5C7A" w:rsidP="0051797C">
      <w:pPr>
        <w:numPr>
          <w:ilvl w:val="0"/>
          <w:numId w:val="1"/>
        </w:numPr>
        <w:spacing w:line="240" w:lineRule="auto"/>
        <w:ind w:left="630" w:hanging="630"/>
        <w:rPr>
          <w:i/>
          <w:sz w:val="24"/>
        </w:rPr>
      </w:pPr>
      <w:r w:rsidRPr="007E5C7A">
        <w:rPr>
          <w:rFonts w:cs="Calibri"/>
          <w:sz w:val="24"/>
        </w:rPr>
        <w:t xml:space="preserve">However, the Court notes that </w:t>
      </w:r>
      <w:r w:rsidRPr="0051797C">
        <w:rPr>
          <w:sz w:val="24"/>
        </w:rPr>
        <w:t>paragraph</w:t>
      </w:r>
      <w:r w:rsidRPr="007E5C7A">
        <w:rPr>
          <w:rFonts w:cs="Calibri"/>
          <w:sz w:val="24"/>
        </w:rPr>
        <w:t xml:space="preserve"> 7 of Article 113 of the Constitution also provides for </w:t>
      </w:r>
      <w:r w:rsidRPr="00BE3019">
        <w:rPr>
          <w:sz w:val="24"/>
        </w:rPr>
        <w:t>the</w:t>
      </w:r>
      <w:r w:rsidRPr="007E5C7A">
        <w:rPr>
          <w:rFonts w:cs="Calibri"/>
          <w:sz w:val="24"/>
        </w:rPr>
        <w:t xml:space="preserve"> exhaustion of </w:t>
      </w:r>
      <w:r>
        <w:rPr>
          <w:rFonts w:cs="Calibri"/>
          <w:sz w:val="24"/>
        </w:rPr>
        <w:t>“</w:t>
      </w:r>
      <w:r w:rsidRPr="007E5C7A">
        <w:rPr>
          <w:rFonts w:cs="Calibri"/>
          <w:i/>
          <w:iCs/>
          <w:sz w:val="24"/>
        </w:rPr>
        <w:t>all legal remedies provided by law</w:t>
      </w:r>
      <w:r w:rsidR="000A3603">
        <w:rPr>
          <w:rFonts w:cs="Calibri"/>
          <w:sz w:val="24"/>
        </w:rPr>
        <w:t>”</w:t>
      </w:r>
      <w:r w:rsidRPr="007E5C7A">
        <w:rPr>
          <w:rFonts w:cs="Calibri"/>
          <w:sz w:val="24"/>
        </w:rPr>
        <w:t xml:space="preserve">. This constitutional obligation is also defined by Article 47 of the Law and </w:t>
      </w:r>
      <w:r>
        <w:rPr>
          <w:rFonts w:cs="Calibri"/>
          <w:sz w:val="24"/>
        </w:rPr>
        <w:t>item</w:t>
      </w:r>
      <w:r w:rsidRPr="007E5C7A">
        <w:rPr>
          <w:rFonts w:cs="Calibri"/>
          <w:sz w:val="24"/>
        </w:rPr>
        <w:t xml:space="preserve"> b of </w:t>
      </w:r>
      <w:r w:rsidRPr="007E5C7A">
        <w:rPr>
          <w:rFonts w:cs="Calibri"/>
          <w:sz w:val="24"/>
        </w:rPr>
        <w:lastRenderedPageBreak/>
        <w:t xml:space="preserve">paragraph 1 of Rule 39 of the Rules of Procedure. Article 47 of the Law and Rule 39, paragraph 1, </w:t>
      </w:r>
      <w:r>
        <w:rPr>
          <w:rFonts w:cs="Calibri"/>
          <w:sz w:val="24"/>
        </w:rPr>
        <w:t>item</w:t>
      </w:r>
      <w:r w:rsidRPr="007E5C7A">
        <w:rPr>
          <w:rFonts w:cs="Calibri"/>
          <w:sz w:val="24"/>
        </w:rPr>
        <w:t xml:space="preserve"> b</w:t>
      </w:r>
      <w:r w:rsidR="000A3603">
        <w:rPr>
          <w:rFonts w:cs="Calibri"/>
          <w:sz w:val="24"/>
        </w:rPr>
        <w:t>,</w:t>
      </w:r>
      <w:r w:rsidRPr="007E5C7A">
        <w:rPr>
          <w:rFonts w:cs="Calibri"/>
          <w:sz w:val="24"/>
        </w:rPr>
        <w:t xml:space="preserve"> </w:t>
      </w:r>
      <w:r>
        <w:rPr>
          <w:rFonts w:cs="Calibri"/>
          <w:sz w:val="24"/>
        </w:rPr>
        <w:t>establish</w:t>
      </w:r>
      <w:r w:rsidR="00E633E6" w:rsidRPr="0013043F">
        <w:rPr>
          <w:rFonts w:cs="Calibri"/>
          <w:sz w:val="24"/>
        </w:rPr>
        <w:t xml:space="preserve">: </w:t>
      </w:r>
    </w:p>
    <w:p w:rsidR="00E633E6" w:rsidRPr="0013043F" w:rsidRDefault="00E633E6" w:rsidP="0051797C">
      <w:pPr>
        <w:spacing w:line="240" w:lineRule="auto"/>
        <w:ind w:left="540"/>
        <w:rPr>
          <w:i/>
          <w:sz w:val="24"/>
        </w:rPr>
      </w:pPr>
    </w:p>
    <w:p w:rsidR="00E633E6" w:rsidRPr="0013043F" w:rsidRDefault="007E5C7A" w:rsidP="0051797C">
      <w:pPr>
        <w:pStyle w:val="ListParagraph"/>
        <w:spacing w:line="240" w:lineRule="auto"/>
        <w:jc w:val="center"/>
        <w:rPr>
          <w:rFonts w:cs="Calibri"/>
          <w:sz w:val="24"/>
          <w:lang w:val="en-US"/>
        </w:rPr>
      </w:pPr>
      <w:r>
        <w:rPr>
          <w:rFonts w:cs="Calibri"/>
          <w:sz w:val="24"/>
          <w:lang w:val="en-US"/>
        </w:rPr>
        <w:t>Article</w:t>
      </w:r>
      <w:r w:rsidR="00E633E6" w:rsidRPr="0013043F">
        <w:rPr>
          <w:rFonts w:cs="Calibri"/>
          <w:sz w:val="24"/>
          <w:lang w:val="en-US"/>
        </w:rPr>
        <w:t xml:space="preserve"> 47</w:t>
      </w:r>
    </w:p>
    <w:p w:rsidR="00E633E6" w:rsidRPr="0013043F" w:rsidRDefault="00E633E6" w:rsidP="0051797C">
      <w:pPr>
        <w:pStyle w:val="ListParagraph"/>
        <w:spacing w:line="240" w:lineRule="auto"/>
        <w:jc w:val="center"/>
        <w:rPr>
          <w:rFonts w:cs="Calibri"/>
          <w:sz w:val="24"/>
          <w:lang w:val="en-US"/>
        </w:rPr>
      </w:pPr>
      <w:r w:rsidRPr="0013043F">
        <w:rPr>
          <w:rFonts w:cs="Calibri"/>
          <w:sz w:val="24"/>
          <w:lang w:val="en-US"/>
        </w:rPr>
        <w:t>[</w:t>
      </w:r>
      <w:r w:rsidR="007E5C7A" w:rsidRPr="007E5C7A">
        <w:rPr>
          <w:rFonts w:eastAsia="Calibri"/>
          <w:sz w:val="24"/>
        </w:rPr>
        <w:t xml:space="preserve">Individual </w:t>
      </w:r>
      <w:r w:rsidR="007E5C7A" w:rsidRPr="007E5C7A">
        <w:rPr>
          <w:rFonts w:eastAsia="Calibri"/>
          <w:sz w:val="24"/>
          <w:lang w:val="en-US"/>
        </w:rPr>
        <w:t>Requests</w:t>
      </w:r>
      <w:r w:rsidRPr="0013043F">
        <w:rPr>
          <w:rFonts w:cs="Calibri"/>
          <w:sz w:val="24"/>
          <w:lang w:val="en-US"/>
        </w:rPr>
        <w:t>]</w:t>
      </w:r>
    </w:p>
    <w:p w:rsidR="00E633E6" w:rsidRPr="0013043F" w:rsidRDefault="00E633E6" w:rsidP="0051797C">
      <w:pPr>
        <w:spacing w:line="240" w:lineRule="auto"/>
        <w:ind w:left="630"/>
        <w:rPr>
          <w:rFonts w:cs="Calibri"/>
          <w:i/>
          <w:sz w:val="24"/>
        </w:rPr>
      </w:pPr>
      <w:r w:rsidRPr="0013043F">
        <w:rPr>
          <w:rFonts w:cs="Calibri"/>
          <w:i/>
          <w:sz w:val="24"/>
        </w:rPr>
        <w:t xml:space="preserve">[...] </w:t>
      </w:r>
    </w:p>
    <w:p w:rsidR="00E633E6" w:rsidRPr="0013043F" w:rsidRDefault="00E633E6" w:rsidP="0051797C">
      <w:pPr>
        <w:pStyle w:val="ListParagraph"/>
        <w:spacing w:line="240" w:lineRule="auto"/>
        <w:ind w:left="630"/>
        <w:rPr>
          <w:rFonts w:cs="Calibri"/>
          <w:sz w:val="24"/>
          <w:lang w:val="en-US"/>
        </w:rPr>
      </w:pPr>
    </w:p>
    <w:p w:rsidR="00E633E6" w:rsidRPr="007E5C7A" w:rsidRDefault="00E633E6" w:rsidP="0051797C">
      <w:pPr>
        <w:pStyle w:val="ListParagraph"/>
        <w:spacing w:line="240" w:lineRule="auto"/>
        <w:ind w:left="630"/>
        <w:rPr>
          <w:rFonts w:eastAsia="Calibri"/>
          <w:i/>
          <w:iCs/>
          <w:sz w:val="24"/>
          <w:lang w:val="en-US"/>
        </w:rPr>
      </w:pPr>
      <w:r w:rsidRPr="0013043F">
        <w:rPr>
          <w:rFonts w:cs="Calibri"/>
          <w:i/>
          <w:iCs/>
          <w:sz w:val="24"/>
          <w:lang w:val="en-US"/>
        </w:rPr>
        <w:t xml:space="preserve">“2. </w:t>
      </w:r>
      <w:r w:rsidR="007E5C7A" w:rsidRPr="007E5C7A">
        <w:rPr>
          <w:rFonts w:eastAsia="Calibri"/>
          <w:i/>
          <w:iCs/>
          <w:sz w:val="24"/>
          <w:lang w:val="en-US"/>
        </w:rPr>
        <w:t>The individual may submit the referral in question only after he/she has exhausted all the legal remedies provided by the law</w:t>
      </w:r>
      <w:r w:rsidRPr="0013043F">
        <w:rPr>
          <w:rFonts w:cs="Calibri"/>
          <w:i/>
          <w:iCs/>
          <w:sz w:val="24"/>
          <w:lang w:val="en-US"/>
        </w:rPr>
        <w:t xml:space="preserve">”. </w:t>
      </w:r>
    </w:p>
    <w:p w:rsidR="00E633E6" w:rsidRPr="0013043F" w:rsidRDefault="00E633E6" w:rsidP="0051797C">
      <w:pPr>
        <w:pStyle w:val="ListParagraph"/>
        <w:spacing w:line="240" w:lineRule="auto"/>
        <w:ind w:left="630"/>
        <w:rPr>
          <w:rFonts w:cs="Calibri"/>
          <w:sz w:val="24"/>
          <w:lang w:val="en-US"/>
        </w:rPr>
      </w:pPr>
    </w:p>
    <w:p w:rsidR="00E633E6" w:rsidRPr="0013043F" w:rsidRDefault="00E633E6" w:rsidP="0051797C">
      <w:pPr>
        <w:pStyle w:val="ListParagraph"/>
        <w:spacing w:line="240" w:lineRule="auto"/>
        <w:ind w:left="630"/>
        <w:rPr>
          <w:rFonts w:cs="Calibri"/>
          <w:sz w:val="24"/>
          <w:lang w:val="en-US"/>
        </w:rPr>
      </w:pPr>
    </w:p>
    <w:p w:rsidR="00E633E6" w:rsidRPr="0013043F" w:rsidRDefault="007E5C7A" w:rsidP="0051797C">
      <w:pPr>
        <w:pStyle w:val="ListParagraph"/>
        <w:spacing w:line="240" w:lineRule="auto"/>
        <w:ind w:left="630"/>
        <w:jc w:val="center"/>
        <w:rPr>
          <w:rFonts w:cs="Calibri"/>
          <w:sz w:val="24"/>
          <w:lang w:val="en-US"/>
        </w:rPr>
      </w:pPr>
      <w:r>
        <w:rPr>
          <w:rFonts w:cs="Calibri"/>
          <w:sz w:val="24"/>
          <w:lang w:val="en-US"/>
        </w:rPr>
        <w:t>Rule</w:t>
      </w:r>
      <w:r w:rsidR="00E633E6" w:rsidRPr="0013043F">
        <w:rPr>
          <w:rFonts w:cs="Calibri"/>
          <w:sz w:val="24"/>
          <w:lang w:val="en-US"/>
        </w:rPr>
        <w:t xml:space="preserve"> 39</w:t>
      </w:r>
    </w:p>
    <w:p w:rsidR="00E633E6" w:rsidRPr="0013043F" w:rsidRDefault="00E633E6" w:rsidP="0051797C">
      <w:pPr>
        <w:pStyle w:val="ListParagraph"/>
        <w:spacing w:line="240" w:lineRule="auto"/>
        <w:ind w:left="630"/>
        <w:jc w:val="center"/>
        <w:rPr>
          <w:rFonts w:cs="Calibri"/>
          <w:i/>
          <w:sz w:val="24"/>
          <w:lang w:val="en-US"/>
        </w:rPr>
      </w:pPr>
      <w:r w:rsidRPr="0013043F">
        <w:rPr>
          <w:rFonts w:cs="Calibri"/>
          <w:sz w:val="24"/>
          <w:lang w:val="en-US"/>
        </w:rPr>
        <w:t>[</w:t>
      </w:r>
      <w:r w:rsidR="007E5C7A">
        <w:rPr>
          <w:rFonts w:cs="Calibri"/>
          <w:sz w:val="24"/>
          <w:lang w:val="en-US"/>
        </w:rPr>
        <w:t>Admissibility Criteria</w:t>
      </w:r>
      <w:r w:rsidRPr="0013043F">
        <w:rPr>
          <w:rFonts w:cs="Calibri"/>
          <w:sz w:val="24"/>
          <w:lang w:val="en-US"/>
        </w:rPr>
        <w:t>]</w:t>
      </w:r>
    </w:p>
    <w:p w:rsidR="00E633E6" w:rsidRPr="000A3603" w:rsidRDefault="00E633E6" w:rsidP="0051797C">
      <w:pPr>
        <w:pStyle w:val="ListParagraph"/>
        <w:spacing w:line="240" w:lineRule="auto"/>
        <w:ind w:left="630"/>
        <w:rPr>
          <w:rFonts w:cs="Calibri"/>
          <w:i/>
          <w:sz w:val="24"/>
          <w:lang w:val="en-US"/>
        </w:rPr>
      </w:pPr>
    </w:p>
    <w:p w:rsidR="00E633E6" w:rsidRPr="000A3603" w:rsidRDefault="00E633E6" w:rsidP="0051797C">
      <w:pPr>
        <w:pStyle w:val="ListParagraph"/>
        <w:autoSpaceDE w:val="0"/>
        <w:autoSpaceDN w:val="0"/>
        <w:adjustRightInd w:val="0"/>
        <w:spacing w:line="240" w:lineRule="auto"/>
        <w:ind w:left="990"/>
        <w:jc w:val="left"/>
        <w:rPr>
          <w:rFonts w:cs="Calibri"/>
          <w:i/>
          <w:color w:val="000000"/>
          <w:sz w:val="24"/>
          <w:lang w:val="en-US"/>
        </w:rPr>
      </w:pPr>
      <w:r w:rsidRPr="000A3603">
        <w:rPr>
          <w:rFonts w:cs="Calibri"/>
          <w:i/>
          <w:color w:val="000000"/>
          <w:sz w:val="24"/>
          <w:lang w:val="en-US"/>
        </w:rPr>
        <w:t xml:space="preserve">“1. </w:t>
      </w:r>
      <w:r w:rsidR="007E5C7A" w:rsidRPr="000A3603">
        <w:rPr>
          <w:i/>
          <w:sz w:val="24"/>
          <w:lang w:val="en-US"/>
        </w:rPr>
        <w:t>The Court may consider a referral as admissible if</w:t>
      </w:r>
      <w:r w:rsidRPr="000A3603">
        <w:rPr>
          <w:rFonts w:cs="Calibri"/>
          <w:i/>
          <w:color w:val="000000"/>
          <w:sz w:val="24"/>
          <w:lang w:val="en-US"/>
        </w:rPr>
        <w:t xml:space="preserve">: </w:t>
      </w:r>
    </w:p>
    <w:p w:rsidR="00E633E6" w:rsidRPr="000A3603" w:rsidRDefault="00E633E6" w:rsidP="0051797C">
      <w:pPr>
        <w:pStyle w:val="ListParagraph"/>
        <w:spacing w:line="240" w:lineRule="auto"/>
        <w:ind w:left="630"/>
        <w:rPr>
          <w:rFonts w:cs="Calibri"/>
          <w:i/>
          <w:sz w:val="24"/>
          <w:lang w:val="en-US"/>
        </w:rPr>
      </w:pPr>
    </w:p>
    <w:p w:rsidR="00E633E6" w:rsidRPr="000A3603" w:rsidRDefault="00E633E6" w:rsidP="0051797C">
      <w:pPr>
        <w:pStyle w:val="ListParagraph"/>
        <w:spacing w:line="240" w:lineRule="auto"/>
        <w:ind w:left="1350"/>
        <w:rPr>
          <w:rFonts w:cs="Calibri"/>
          <w:i/>
          <w:sz w:val="24"/>
          <w:lang w:val="en-US"/>
        </w:rPr>
      </w:pPr>
      <w:r w:rsidRPr="000A3603">
        <w:rPr>
          <w:rFonts w:cs="Calibri"/>
          <w:i/>
          <w:sz w:val="24"/>
          <w:lang w:val="en-US"/>
        </w:rPr>
        <w:t>[…]</w:t>
      </w:r>
    </w:p>
    <w:p w:rsidR="00E633E6" w:rsidRPr="000A3603" w:rsidRDefault="00E633E6" w:rsidP="0051797C">
      <w:pPr>
        <w:pStyle w:val="ListParagraph"/>
        <w:tabs>
          <w:tab w:val="left" w:pos="851"/>
        </w:tabs>
        <w:spacing w:line="240" w:lineRule="auto"/>
        <w:ind w:left="1350"/>
        <w:rPr>
          <w:rFonts w:cs="Calibri"/>
          <w:i/>
          <w:sz w:val="24"/>
          <w:lang w:val="en-US"/>
        </w:rPr>
      </w:pPr>
    </w:p>
    <w:p w:rsidR="00673B37" w:rsidRPr="000A3603" w:rsidRDefault="00E633E6" w:rsidP="0051797C">
      <w:pPr>
        <w:pStyle w:val="ListParagraph"/>
        <w:autoSpaceDE w:val="0"/>
        <w:autoSpaceDN w:val="0"/>
        <w:adjustRightInd w:val="0"/>
        <w:spacing w:line="240" w:lineRule="auto"/>
        <w:ind w:left="1350"/>
        <w:jc w:val="left"/>
        <w:rPr>
          <w:rFonts w:cs="Calibri"/>
          <w:i/>
          <w:color w:val="000000"/>
          <w:sz w:val="24"/>
          <w:lang w:val="en-US"/>
        </w:rPr>
      </w:pPr>
      <w:r w:rsidRPr="000A3603">
        <w:rPr>
          <w:rFonts w:cs="Calibri"/>
          <w:i/>
          <w:color w:val="000000"/>
          <w:sz w:val="24"/>
          <w:lang w:val="en-US"/>
        </w:rPr>
        <w:t xml:space="preserve">“(b) </w:t>
      </w:r>
      <w:r w:rsidR="007E5C7A" w:rsidRPr="000A3603">
        <w:rPr>
          <w:i/>
          <w:sz w:val="24"/>
          <w:lang w:val="en-US"/>
        </w:rPr>
        <w:t>all effective remedies that</w:t>
      </w:r>
      <w:r w:rsidR="0051797C">
        <w:rPr>
          <w:i/>
          <w:sz w:val="24"/>
          <w:lang w:val="en-US"/>
        </w:rPr>
        <w:t xml:space="preserve"> </w:t>
      </w:r>
      <w:r w:rsidR="007E5C7A" w:rsidRPr="000A3603">
        <w:rPr>
          <w:i/>
          <w:sz w:val="24"/>
          <w:lang w:val="en-US"/>
        </w:rPr>
        <w:t>are available under</w:t>
      </w:r>
      <w:r w:rsidR="0051797C">
        <w:rPr>
          <w:i/>
          <w:sz w:val="24"/>
          <w:lang w:val="en-US"/>
        </w:rPr>
        <w:t xml:space="preserve"> </w:t>
      </w:r>
      <w:r w:rsidR="007E5C7A" w:rsidRPr="000A3603">
        <w:rPr>
          <w:i/>
          <w:sz w:val="24"/>
          <w:lang w:val="en-US"/>
        </w:rPr>
        <w:t>the</w:t>
      </w:r>
      <w:r w:rsidR="0051797C">
        <w:rPr>
          <w:i/>
          <w:sz w:val="24"/>
          <w:lang w:val="en-US"/>
        </w:rPr>
        <w:t xml:space="preserve"> </w:t>
      </w:r>
      <w:r w:rsidR="007E5C7A" w:rsidRPr="000A3603">
        <w:rPr>
          <w:i/>
          <w:sz w:val="24"/>
          <w:lang w:val="en-US"/>
        </w:rPr>
        <w:t>law against the judgment or decision challenged have been exhausted</w:t>
      </w:r>
      <w:r w:rsidRPr="000A3603">
        <w:rPr>
          <w:rFonts w:cs="Calibri"/>
          <w:i/>
          <w:color w:val="000000"/>
          <w:sz w:val="24"/>
          <w:lang w:val="en-US"/>
        </w:rPr>
        <w:t xml:space="preserve">.” </w:t>
      </w:r>
    </w:p>
    <w:p w:rsidR="00673B37" w:rsidRPr="0013043F" w:rsidRDefault="00673B37" w:rsidP="0051797C">
      <w:pPr>
        <w:pStyle w:val="ListParagraph"/>
        <w:autoSpaceDE w:val="0"/>
        <w:autoSpaceDN w:val="0"/>
        <w:adjustRightInd w:val="0"/>
        <w:spacing w:line="240" w:lineRule="auto"/>
        <w:ind w:left="630"/>
        <w:jc w:val="left"/>
        <w:rPr>
          <w:rFonts w:cs="Calibri"/>
          <w:i/>
          <w:color w:val="000000"/>
          <w:sz w:val="24"/>
          <w:lang w:val="en-US"/>
        </w:rPr>
      </w:pPr>
    </w:p>
    <w:p w:rsidR="00E633E6" w:rsidRPr="0013043F" w:rsidRDefault="00673B37" w:rsidP="0051797C">
      <w:pPr>
        <w:numPr>
          <w:ilvl w:val="0"/>
          <w:numId w:val="1"/>
        </w:numPr>
        <w:spacing w:line="240" w:lineRule="auto"/>
        <w:ind w:left="630" w:hanging="630"/>
        <w:rPr>
          <w:rFonts w:cs="Calibri"/>
          <w:sz w:val="24"/>
        </w:rPr>
      </w:pPr>
      <w:r w:rsidRPr="00673B37">
        <w:rPr>
          <w:rFonts w:cs="Calibri"/>
          <w:sz w:val="24"/>
        </w:rPr>
        <w:t xml:space="preserve">The criteria for assessing whether the obligation to exhaust legal remedies has been met are well established in the case law of the Constitutional Court and that of the European Court of Human Rights (hereinafter: ECtHR). This case-law clearly suggests that, in accordance with the principle of subsidiarity, before </w:t>
      </w:r>
      <w:r w:rsidR="007E5C7A">
        <w:rPr>
          <w:rFonts w:cs="Calibri"/>
          <w:sz w:val="24"/>
        </w:rPr>
        <w:t>addressing</w:t>
      </w:r>
      <w:r w:rsidRPr="00673B37">
        <w:rPr>
          <w:rFonts w:cs="Calibri"/>
          <w:sz w:val="24"/>
        </w:rPr>
        <w:t xml:space="preserve"> the Constitutional Court, the Applicants must exhaust all </w:t>
      </w:r>
      <w:r w:rsidR="007E5C7A">
        <w:rPr>
          <w:rFonts w:cs="Calibri"/>
          <w:sz w:val="24"/>
        </w:rPr>
        <w:t>accessible</w:t>
      </w:r>
      <w:r w:rsidRPr="00673B37">
        <w:rPr>
          <w:rFonts w:cs="Calibri"/>
          <w:sz w:val="24"/>
        </w:rPr>
        <w:t xml:space="preserve"> and effective </w:t>
      </w:r>
      <w:r w:rsidR="000A3603">
        <w:rPr>
          <w:rFonts w:cs="Calibri"/>
          <w:sz w:val="24"/>
        </w:rPr>
        <w:t xml:space="preserve">legal </w:t>
      </w:r>
      <w:r w:rsidRPr="00673B37">
        <w:rPr>
          <w:rFonts w:cs="Calibri"/>
          <w:sz w:val="24"/>
        </w:rPr>
        <w:t>remedies</w:t>
      </w:r>
      <w:r w:rsidR="00E633E6" w:rsidRPr="0013043F">
        <w:rPr>
          <w:rFonts w:cs="Calibri"/>
          <w:sz w:val="24"/>
        </w:rPr>
        <w:t>.</w:t>
      </w:r>
      <w:r w:rsidR="0051797C">
        <w:rPr>
          <w:rFonts w:cs="Calibri"/>
          <w:sz w:val="24"/>
        </w:rPr>
        <w:t xml:space="preserve"> </w:t>
      </w:r>
    </w:p>
    <w:p w:rsidR="00E633E6" w:rsidRPr="0013043F" w:rsidRDefault="00E633E6" w:rsidP="0051797C">
      <w:pPr>
        <w:pStyle w:val="ListParagraph"/>
        <w:spacing w:line="240" w:lineRule="auto"/>
        <w:rPr>
          <w:rFonts w:cs="Calibri"/>
          <w:sz w:val="24"/>
          <w:lang w:val="en-US"/>
        </w:rPr>
      </w:pPr>
    </w:p>
    <w:p w:rsidR="00E633E6" w:rsidRPr="0013043F" w:rsidRDefault="00673B37" w:rsidP="0051797C">
      <w:pPr>
        <w:numPr>
          <w:ilvl w:val="0"/>
          <w:numId w:val="1"/>
        </w:numPr>
        <w:spacing w:line="240" w:lineRule="auto"/>
        <w:ind w:left="630" w:hanging="630"/>
        <w:rPr>
          <w:b/>
          <w:bCs/>
          <w:iCs/>
          <w:sz w:val="24"/>
        </w:rPr>
      </w:pPr>
      <w:r w:rsidRPr="00673B37">
        <w:rPr>
          <w:sz w:val="24"/>
        </w:rPr>
        <w:t xml:space="preserve">The Court recalls that the Applicants allege that the </w:t>
      </w:r>
      <w:r>
        <w:rPr>
          <w:sz w:val="24"/>
        </w:rPr>
        <w:t>challenged Decision of the</w:t>
      </w:r>
      <w:r w:rsidR="0051797C">
        <w:rPr>
          <w:sz w:val="24"/>
        </w:rPr>
        <w:t xml:space="preserve"> </w:t>
      </w:r>
      <w:r w:rsidRPr="00673B37">
        <w:rPr>
          <w:sz w:val="24"/>
        </w:rPr>
        <w:t xml:space="preserve">Appellate Panel violated their right guaranteed by Article 46 [Protection of Property] of the </w:t>
      </w:r>
      <w:r w:rsidRPr="0051797C">
        <w:rPr>
          <w:rFonts w:cs="Calibri"/>
          <w:sz w:val="24"/>
        </w:rPr>
        <w:t>Constitution</w:t>
      </w:r>
      <w:r w:rsidRPr="00673B37">
        <w:rPr>
          <w:sz w:val="24"/>
        </w:rPr>
        <w:t xml:space="preserve"> and Article 1 [Protection of </w:t>
      </w:r>
      <w:r w:rsidR="000A3603">
        <w:rPr>
          <w:sz w:val="24"/>
        </w:rPr>
        <w:t>p</w:t>
      </w:r>
      <w:r w:rsidRPr="00673B37">
        <w:rPr>
          <w:sz w:val="24"/>
        </w:rPr>
        <w:t xml:space="preserve">roperty] of Protocol no. 1 </w:t>
      </w:r>
      <w:r>
        <w:rPr>
          <w:sz w:val="24"/>
        </w:rPr>
        <w:t>to</w:t>
      </w:r>
      <w:r w:rsidRPr="00673B37">
        <w:rPr>
          <w:sz w:val="24"/>
        </w:rPr>
        <w:t xml:space="preserve"> the ECHR</w:t>
      </w:r>
      <w:r w:rsidR="00E633E6" w:rsidRPr="0013043F">
        <w:rPr>
          <w:sz w:val="24"/>
        </w:rPr>
        <w:t xml:space="preserve">. </w:t>
      </w:r>
    </w:p>
    <w:p w:rsidR="00E633E6" w:rsidRPr="0013043F" w:rsidRDefault="00E633E6" w:rsidP="0051797C">
      <w:pPr>
        <w:pStyle w:val="ListParagraph"/>
        <w:spacing w:line="240" w:lineRule="auto"/>
        <w:rPr>
          <w:b/>
          <w:bCs/>
          <w:iCs/>
          <w:sz w:val="24"/>
          <w:lang w:val="en-US"/>
        </w:rPr>
      </w:pPr>
    </w:p>
    <w:p w:rsidR="00E633E6" w:rsidRPr="0013043F" w:rsidRDefault="00673B37" w:rsidP="0051797C">
      <w:pPr>
        <w:numPr>
          <w:ilvl w:val="0"/>
          <w:numId w:val="1"/>
        </w:numPr>
        <w:spacing w:line="240" w:lineRule="auto"/>
        <w:ind w:left="630" w:hanging="630"/>
        <w:rPr>
          <w:bCs/>
          <w:iCs/>
          <w:sz w:val="24"/>
        </w:rPr>
      </w:pPr>
      <w:r w:rsidRPr="00673B37">
        <w:rPr>
          <w:bCs/>
          <w:sz w:val="24"/>
        </w:rPr>
        <w:t xml:space="preserve">However, the Court recalls that the Specialized </w:t>
      </w:r>
      <w:r>
        <w:rPr>
          <w:bCs/>
          <w:sz w:val="24"/>
        </w:rPr>
        <w:t>Panel</w:t>
      </w:r>
      <w:r w:rsidRPr="00673B37">
        <w:rPr>
          <w:bCs/>
          <w:sz w:val="24"/>
        </w:rPr>
        <w:t xml:space="preserve"> and the Appellate Panel did not address the </w:t>
      </w:r>
      <w:r w:rsidRPr="0051797C">
        <w:rPr>
          <w:rFonts w:cs="Calibri"/>
          <w:sz w:val="24"/>
        </w:rPr>
        <w:t>substance</w:t>
      </w:r>
      <w:r w:rsidRPr="00673B37">
        <w:rPr>
          <w:bCs/>
          <w:sz w:val="24"/>
        </w:rPr>
        <w:t xml:space="preserve"> of the Applicants</w:t>
      </w:r>
      <w:r w:rsidR="000A3603">
        <w:rPr>
          <w:bCs/>
          <w:sz w:val="24"/>
        </w:rPr>
        <w:t>’</w:t>
      </w:r>
      <w:r w:rsidRPr="00673B37">
        <w:rPr>
          <w:bCs/>
          <w:sz w:val="24"/>
        </w:rPr>
        <w:t xml:space="preserve"> request for their rights in relation to the </w:t>
      </w:r>
      <w:r w:rsidRPr="00BE3019">
        <w:rPr>
          <w:sz w:val="24"/>
        </w:rPr>
        <w:t>expropriation</w:t>
      </w:r>
      <w:r w:rsidRPr="00673B37">
        <w:rPr>
          <w:bCs/>
          <w:sz w:val="24"/>
        </w:rPr>
        <w:t xml:space="preserve"> of the cadastral parcel no. 165/4. The Specialized </w:t>
      </w:r>
      <w:r>
        <w:rPr>
          <w:bCs/>
          <w:sz w:val="24"/>
        </w:rPr>
        <w:t>Panel</w:t>
      </w:r>
      <w:r w:rsidRPr="00673B37">
        <w:rPr>
          <w:bCs/>
          <w:sz w:val="24"/>
        </w:rPr>
        <w:t xml:space="preserve"> and the Appellate Panel found that the Socially-owned Enterprise was in liquidation procedure and as a result</w:t>
      </w:r>
      <w:r w:rsidR="000A3603">
        <w:rPr>
          <w:bCs/>
          <w:sz w:val="24"/>
        </w:rPr>
        <w:t>,</w:t>
      </w:r>
      <w:r w:rsidRPr="00673B37">
        <w:rPr>
          <w:bCs/>
          <w:sz w:val="24"/>
        </w:rPr>
        <w:t xml:space="preserve"> their claims had to be addressed and reviewed by the liquidation authority because</w:t>
      </w:r>
      <w:r w:rsidRPr="00673B37">
        <w:rPr>
          <w:bCs/>
          <w:i/>
          <w:iCs/>
          <w:sz w:val="24"/>
        </w:rPr>
        <w:t xml:space="preserve"> "the liquidation procedure has priority over the regular court proceedings</w:t>
      </w:r>
      <w:r w:rsidR="00E633E6" w:rsidRPr="0013043F">
        <w:rPr>
          <w:bCs/>
          <w:i/>
          <w:iCs/>
          <w:sz w:val="24"/>
        </w:rPr>
        <w:t>”</w:t>
      </w:r>
      <w:r>
        <w:rPr>
          <w:bCs/>
          <w:i/>
          <w:iCs/>
          <w:sz w:val="24"/>
        </w:rPr>
        <w:t>.</w:t>
      </w:r>
    </w:p>
    <w:p w:rsidR="00E633E6" w:rsidRPr="0013043F" w:rsidRDefault="00E633E6" w:rsidP="0051797C">
      <w:pPr>
        <w:pStyle w:val="ListParagraph"/>
        <w:spacing w:line="240" w:lineRule="auto"/>
        <w:rPr>
          <w:bCs/>
          <w:iCs/>
          <w:sz w:val="24"/>
          <w:lang w:val="en-US"/>
        </w:rPr>
      </w:pPr>
    </w:p>
    <w:p w:rsidR="00E633E6" w:rsidRPr="0013043F" w:rsidRDefault="00673B37" w:rsidP="0051797C">
      <w:pPr>
        <w:numPr>
          <w:ilvl w:val="0"/>
          <w:numId w:val="1"/>
        </w:numPr>
        <w:spacing w:line="240" w:lineRule="auto"/>
        <w:ind w:left="630" w:hanging="630"/>
        <w:rPr>
          <w:sz w:val="24"/>
        </w:rPr>
      </w:pPr>
      <w:r w:rsidRPr="00673B37">
        <w:rPr>
          <w:sz w:val="24"/>
        </w:rPr>
        <w:t xml:space="preserve">In this </w:t>
      </w:r>
      <w:r>
        <w:rPr>
          <w:sz w:val="24"/>
        </w:rPr>
        <w:t>regard</w:t>
      </w:r>
      <w:r w:rsidRPr="00673B37">
        <w:rPr>
          <w:sz w:val="24"/>
        </w:rPr>
        <w:t xml:space="preserve">, the Court recalls that the Specialized Panel and the </w:t>
      </w:r>
      <w:r>
        <w:rPr>
          <w:sz w:val="24"/>
        </w:rPr>
        <w:t>Appellate</w:t>
      </w:r>
      <w:r w:rsidRPr="00673B37">
        <w:rPr>
          <w:sz w:val="24"/>
        </w:rPr>
        <w:t xml:space="preserve"> Panel found that on 9 July 2012, the Applicant, </w:t>
      </w:r>
      <w:r>
        <w:rPr>
          <w:sz w:val="24"/>
        </w:rPr>
        <w:t>namely</w:t>
      </w:r>
      <w:r w:rsidRPr="00673B37">
        <w:rPr>
          <w:sz w:val="24"/>
        </w:rPr>
        <w:t xml:space="preserve">, </w:t>
      </w:r>
      <w:r>
        <w:rPr>
          <w:sz w:val="24"/>
        </w:rPr>
        <w:t>Mr. Qorri</w:t>
      </w:r>
      <w:r w:rsidRPr="00673B37">
        <w:rPr>
          <w:sz w:val="24"/>
        </w:rPr>
        <w:t xml:space="preserve"> filed a claim </w:t>
      </w:r>
      <w:r w:rsidR="000A3603">
        <w:rPr>
          <w:sz w:val="24"/>
        </w:rPr>
        <w:t>with the</w:t>
      </w:r>
      <w:r w:rsidR="000A3603" w:rsidRPr="00673B37">
        <w:rPr>
          <w:sz w:val="24"/>
        </w:rPr>
        <w:t xml:space="preserve"> </w:t>
      </w:r>
      <w:r w:rsidR="000A3603">
        <w:rPr>
          <w:sz w:val="24"/>
        </w:rPr>
        <w:t>PAK</w:t>
      </w:r>
      <w:r w:rsidR="000A3603" w:rsidRPr="00673B37">
        <w:rPr>
          <w:sz w:val="24"/>
        </w:rPr>
        <w:t xml:space="preserve"> </w:t>
      </w:r>
      <w:r w:rsidRPr="00673B37">
        <w:rPr>
          <w:sz w:val="24"/>
        </w:rPr>
        <w:t xml:space="preserve">for compensation as a result of the expropriation of parcel no. 165/4, claiming that he and the other </w:t>
      </w:r>
      <w:r>
        <w:rPr>
          <w:sz w:val="24"/>
        </w:rPr>
        <w:t>heirs</w:t>
      </w:r>
      <w:r w:rsidRPr="00673B37">
        <w:rPr>
          <w:sz w:val="24"/>
        </w:rPr>
        <w:t xml:space="preserve"> were unaware of the expropriation of the abovementioned parcel in 1982</w:t>
      </w:r>
      <w:r w:rsidR="00E633E6" w:rsidRPr="0013043F">
        <w:rPr>
          <w:sz w:val="24"/>
        </w:rPr>
        <w:t>.</w:t>
      </w:r>
    </w:p>
    <w:p w:rsidR="00E633E6" w:rsidRPr="0013043F" w:rsidRDefault="00E633E6" w:rsidP="0051797C">
      <w:pPr>
        <w:tabs>
          <w:tab w:val="left" w:pos="540"/>
          <w:tab w:val="left" w:pos="720"/>
        </w:tabs>
        <w:spacing w:line="240" w:lineRule="auto"/>
        <w:ind w:left="540"/>
        <w:rPr>
          <w:sz w:val="24"/>
        </w:rPr>
      </w:pPr>
    </w:p>
    <w:p w:rsidR="00E633E6" w:rsidRPr="0013043F" w:rsidRDefault="00673B37" w:rsidP="0051797C">
      <w:pPr>
        <w:numPr>
          <w:ilvl w:val="0"/>
          <w:numId w:val="1"/>
        </w:numPr>
        <w:spacing w:line="240" w:lineRule="auto"/>
        <w:ind w:left="630" w:hanging="630"/>
        <w:rPr>
          <w:sz w:val="24"/>
        </w:rPr>
      </w:pPr>
      <w:r w:rsidRPr="00673B37">
        <w:rPr>
          <w:iCs/>
          <w:sz w:val="24"/>
        </w:rPr>
        <w:t xml:space="preserve">On 24 July 2012, the </w:t>
      </w:r>
      <w:r w:rsidR="000A3603">
        <w:rPr>
          <w:iCs/>
          <w:sz w:val="24"/>
        </w:rPr>
        <w:t>presiding</w:t>
      </w:r>
      <w:r w:rsidRPr="00673B37">
        <w:rPr>
          <w:iCs/>
          <w:sz w:val="24"/>
        </w:rPr>
        <w:t xml:space="preserve"> of the Liquidation Committee of the Socially-Owned Enterprise in Liquidation announced that after the establishment of the Liquidation Au</w:t>
      </w:r>
      <w:r>
        <w:rPr>
          <w:iCs/>
          <w:sz w:val="24"/>
        </w:rPr>
        <w:t>thority, pursuant to Law No. 04/</w:t>
      </w:r>
      <w:r w:rsidRPr="00673B37">
        <w:rPr>
          <w:iCs/>
          <w:sz w:val="24"/>
        </w:rPr>
        <w:t>L-034 on PAK</w:t>
      </w:r>
      <w:r>
        <w:rPr>
          <w:i/>
          <w:sz w:val="24"/>
        </w:rPr>
        <w:t>, “</w:t>
      </w:r>
      <w:r w:rsidRPr="00673B37">
        <w:rPr>
          <w:i/>
          <w:sz w:val="24"/>
        </w:rPr>
        <w:t>[...] the relevant liquidation authority shall promptly inform all creditors of their claims</w:t>
      </w:r>
      <w:r w:rsidR="00E633E6" w:rsidRPr="0013043F">
        <w:rPr>
          <w:i/>
          <w:sz w:val="24"/>
        </w:rPr>
        <w:t>”</w:t>
      </w:r>
      <w:r>
        <w:rPr>
          <w:i/>
          <w:sz w:val="24"/>
        </w:rPr>
        <w:t>.</w:t>
      </w:r>
    </w:p>
    <w:p w:rsidR="00E633E6" w:rsidRPr="0013043F" w:rsidRDefault="00E633E6" w:rsidP="0051797C">
      <w:pPr>
        <w:tabs>
          <w:tab w:val="left" w:pos="540"/>
        </w:tabs>
        <w:spacing w:line="240" w:lineRule="auto"/>
        <w:ind w:left="540"/>
        <w:rPr>
          <w:bCs/>
          <w:iCs/>
          <w:sz w:val="24"/>
        </w:rPr>
      </w:pPr>
    </w:p>
    <w:p w:rsidR="00E633E6" w:rsidRPr="0013043F" w:rsidRDefault="0013043F" w:rsidP="0051797C">
      <w:pPr>
        <w:numPr>
          <w:ilvl w:val="0"/>
          <w:numId w:val="1"/>
        </w:numPr>
        <w:spacing w:line="240" w:lineRule="auto"/>
        <w:ind w:left="630" w:hanging="630"/>
        <w:rPr>
          <w:sz w:val="24"/>
        </w:rPr>
      </w:pPr>
      <w:r w:rsidRPr="0013043F">
        <w:rPr>
          <w:iCs/>
          <w:sz w:val="24"/>
        </w:rPr>
        <w:lastRenderedPageBreak/>
        <w:t xml:space="preserve">The Court recalls the </w:t>
      </w:r>
      <w:r w:rsidRPr="0051797C">
        <w:rPr>
          <w:rFonts w:cs="Calibri"/>
          <w:sz w:val="24"/>
        </w:rPr>
        <w:t>Decision</w:t>
      </w:r>
      <w:r w:rsidRPr="0013043F">
        <w:rPr>
          <w:iCs/>
          <w:sz w:val="24"/>
        </w:rPr>
        <w:t xml:space="preserve"> of the Specialized Panel, which dismissed the Applicants</w:t>
      </w:r>
      <w:r w:rsidR="000A3603">
        <w:rPr>
          <w:iCs/>
          <w:sz w:val="24"/>
        </w:rPr>
        <w:t>’</w:t>
      </w:r>
      <w:r w:rsidRPr="0013043F">
        <w:rPr>
          <w:iCs/>
          <w:sz w:val="24"/>
        </w:rPr>
        <w:t xml:space="preserve"> claim as inadmissible on the grounds that</w:t>
      </w:r>
      <w:r w:rsidRPr="0013043F">
        <w:rPr>
          <w:i/>
          <w:sz w:val="24"/>
        </w:rPr>
        <w:t xml:space="preserve"> “After the initiation of liquidation, the </w:t>
      </w:r>
      <w:r>
        <w:rPr>
          <w:i/>
          <w:sz w:val="24"/>
        </w:rPr>
        <w:t>claimants</w:t>
      </w:r>
      <w:r w:rsidRPr="0013043F">
        <w:rPr>
          <w:i/>
          <w:sz w:val="24"/>
        </w:rPr>
        <w:t xml:space="preserve"> may file a claim only </w:t>
      </w:r>
      <w:r>
        <w:rPr>
          <w:i/>
          <w:sz w:val="24"/>
        </w:rPr>
        <w:t>with</w:t>
      </w:r>
      <w:r w:rsidRPr="0013043F">
        <w:rPr>
          <w:i/>
          <w:sz w:val="24"/>
        </w:rPr>
        <w:t xml:space="preserve"> the </w:t>
      </w:r>
      <w:r w:rsidR="000A3603">
        <w:rPr>
          <w:i/>
          <w:sz w:val="24"/>
        </w:rPr>
        <w:t>Committee,</w:t>
      </w:r>
      <w:r w:rsidRPr="0013043F">
        <w:rPr>
          <w:i/>
          <w:sz w:val="24"/>
        </w:rPr>
        <w:t xml:space="preserve"> now with the Liquidation Authority and not the SCSC</w:t>
      </w:r>
      <w:r w:rsidR="000A3603">
        <w:rPr>
          <w:i/>
          <w:sz w:val="24"/>
        </w:rPr>
        <w:t>”.</w:t>
      </w:r>
      <w:r w:rsidR="00E633E6" w:rsidRPr="0013043F">
        <w:rPr>
          <w:sz w:val="24"/>
        </w:rPr>
        <w:t xml:space="preserve"> </w:t>
      </w:r>
    </w:p>
    <w:p w:rsidR="00E633E6" w:rsidRPr="0013043F" w:rsidRDefault="00E633E6" w:rsidP="0051797C">
      <w:pPr>
        <w:pStyle w:val="ListParagraph"/>
        <w:spacing w:line="240" w:lineRule="auto"/>
        <w:rPr>
          <w:sz w:val="24"/>
          <w:lang w:val="en-US"/>
        </w:rPr>
      </w:pPr>
    </w:p>
    <w:p w:rsidR="00E633E6" w:rsidRPr="0013043F" w:rsidRDefault="0013043F" w:rsidP="0051797C">
      <w:pPr>
        <w:numPr>
          <w:ilvl w:val="0"/>
          <w:numId w:val="1"/>
        </w:numPr>
        <w:spacing w:line="240" w:lineRule="auto"/>
        <w:ind w:left="630" w:hanging="630"/>
        <w:rPr>
          <w:sz w:val="24"/>
        </w:rPr>
      </w:pPr>
      <w:r w:rsidRPr="0013043F">
        <w:rPr>
          <w:sz w:val="24"/>
        </w:rPr>
        <w:t xml:space="preserve">This finding of the Specialized Panel was also upheld by the Appellate Panel, which found that </w:t>
      </w:r>
      <w:r w:rsidRPr="0051797C">
        <w:rPr>
          <w:rFonts w:cs="Calibri"/>
          <w:sz w:val="24"/>
        </w:rPr>
        <w:t>after</w:t>
      </w:r>
      <w:r w:rsidRPr="0013043F">
        <w:rPr>
          <w:sz w:val="24"/>
        </w:rPr>
        <w:t xml:space="preserve"> the liquidation process commenced, the proceedings in the </w:t>
      </w:r>
      <w:r w:rsidR="00FB0563">
        <w:rPr>
          <w:sz w:val="24"/>
        </w:rPr>
        <w:t>c</w:t>
      </w:r>
      <w:r w:rsidRPr="0013043F">
        <w:rPr>
          <w:sz w:val="24"/>
        </w:rPr>
        <w:t>ourt are not allowed, namely, they are allowed only exceptionally</w:t>
      </w:r>
      <w:r w:rsidR="00E633E6" w:rsidRPr="0013043F">
        <w:rPr>
          <w:sz w:val="24"/>
        </w:rPr>
        <w:t xml:space="preserve">. </w:t>
      </w:r>
    </w:p>
    <w:p w:rsidR="00E633E6" w:rsidRPr="0013043F" w:rsidRDefault="00E633E6" w:rsidP="0051797C">
      <w:pPr>
        <w:pStyle w:val="ListParagraph"/>
        <w:spacing w:line="240" w:lineRule="auto"/>
        <w:rPr>
          <w:sz w:val="24"/>
          <w:lang w:val="en-US"/>
        </w:rPr>
      </w:pPr>
    </w:p>
    <w:p w:rsidR="00E633E6" w:rsidRPr="0013043F" w:rsidRDefault="0013043F" w:rsidP="0051797C">
      <w:pPr>
        <w:numPr>
          <w:ilvl w:val="0"/>
          <w:numId w:val="1"/>
        </w:numPr>
        <w:spacing w:line="240" w:lineRule="auto"/>
        <w:ind w:left="630" w:hanging="630"/>
        <w:rPr>
          <w:sz w:val="24"/>
        </w:rPr>
      </w:pPr>
      <w:r w:rsidRPr="0013043F">
        <w:rPr>
          <w:iCs/>
          <w:sz w:val="24"/>
        </w:rPr>
        <w:t xml:space="preserve">According to the PAK reply, namely the Liquidation Authority, </w:t>
      </w:r>
      <w:r w:rsidR="00E66B35">
        <w:rPr>
          <w:iCs/>
          <w:sz w:val="24"/>
        </w:rPr>
        <w:t>to</w:t>
      </w:r>
      <w:r w:rsidR="00E66B35" w:rsidRPr="0013043F">
        <w:rPr>
          <w:iCs/>
          <w:sz w:val="24"/>
        </w:rPr>
        <w:t xml:space="preserve"> </w:t>
      </w:r>
      <w:r w:rsidRPr="0013043F">
        <w:rPr>
          <w:iCs/>
          <w:sz w:val="24"/>
        </w:rPr>
        <w:t xml:space="preserve">the request of the Appellate </w:t>
      </w:r>
      <w:r w:rsidRPr="0051797C">
        <w:rPr>
          <w:rFonts w:cs="Calibri"/>
          <w:sz w:val="24"/>
        </w:rPr>
        <w:t>Panel</w:t>
      </w:r>
      <w:r w:rsidRPr="0013043F">
        <w:rPr>
          <w:iCs/>
          <w:sz w:val="24"/>
        </w:rPr>
        <w:t xml:space="preserve"> for information, it was confirmed that parcel no. 165/4 ha</w:t>
      </w:r>
      <w:r w:rsidR="00057C5B">
        <w:rPr>
          <w:iCs/>
          <w:sz w:val="24"/>
        </w:rPr>
        <w:t>d</w:t>
      </w:r>
      <w:r w:rsidRPr="0013043F">
        <w:rPr>
          <w:iCs/>
          <w:sz w:val="24"/>
        </w:rPr>
        <w:t xml:space="preserve"> not been sold and</w:t>
      </w:r>
      <w:r w:rsidRPr="0013043F">
        <w:rPr>
          <w:i/>
          <w:sz w:val="24"/>
        </w:rPr>
        <w:t xml:space="preserve"> “does not appear in the privatization contract and accompanying documentation</w:t>
      </w:r>
      <w:r w:rsidR="00E633E6" w:rsidRPr="0013043F">
        <w:rPr>
          <w:i/>
          <w:sz w:val="24"/>
        </w:rPr>
        <w:t>”</w:t>
      </w:r>
      <w:r w:rsidRPr="0013043F">
        <w:rPr>
          <w:i/>
          <w:sz w:val="24"/>
        </w:rPr>
        <w:t>.</w:t>
      </w:r>
    </w:p>
    <w:p w:rsidR="00E633E6" w:rsidRPr="0013043F" w:rsidRDefault="00E633E6" w:rsidP="0051797C">
      <w:pPr>
        <w:tabs>
          <w:tab w:val="left" w:pos="540"/>
        </w:tabs>
        <w:suppressAutoHyphens/>
        <w:autoSpaceDN w:val="0"/>
        <w:spacing w:line="240" w:lineRule="auto"/>
        <w:ind w:left="540"/>
        <w:textAlignment w:val="baseline"/>
        <w:rPr>
          <w:sz w:val="24"/>
        </w:rPr>
      </w:pPr>
    </w:p>
    <w:p w:rsidR="00E633E6" w:rsidRPr="0013043F" w:rsidRDefault="0013043F" w:rsidP="0051797C">
      <w:pPr>
        <w:numPr>
          <w:ilvl w:val="0"/>
          <w:numId w:val="1"/>
        </w:numPr>
        <w:spacing w:line="240" w:lineRule="auto"/>
        <w:ind w:left="630" w:hanging="630"/>
        <w:rPr>
          <w:i/>
          <w:sz w:val="24"/>
        </w:rPr>
      </w:pPr>
      <w:r w:rsidRPr="0013043F">
        <w:rPr>
          <w:sz w:val="24"/>
        </w:rPr>
        <w:t>Therefore</w:t>
      </w:r>
      <w:r w:rsidR="005508F1" w:rsidRPr="0013043F">
        <w:rPr>
          <w:sz w:val="24"/>
        </w:rPr>
        <w:t xml:space="preserve">, the </w:t>
      </w:r>
      <w:r w:rsidR="005508F1" w:rsidRPr="0051797C">
        <w:rPr>
          <w:rFonts w:cs="Calibri"/>
          <w:sz w:val="24"/>
        </w:rPr>
        <w:t>Appellate</w:t>
      </w:r>
      <w:r w:rsidR="005508F1" w:rsidRPr="0013043F">
        <w:rPr>
          <w:sz w:val="24"/>
        </w:rPr>
        <w:t xml:space="preserve"> Panel found that the claims relating to the Socially-Owned Enterprise in </w:t>
      </w:r>
      <w:r w:rsidRPr="0013043F">
        <w:rPr>
          <w:sz w:val="24"/>
        </w:rPr>
        <w:t>l</w:t>
      </w:r>
      <w:r w:rsidR="005508F1" w:rsidRPr="0013043F">
        <w:rPr>
          <w:sz w:val="24"/>
        </w:rPr>
        <w:t xml:space="preserve">iquidation should be addressed and reviewed </w:t>
      </w:r>
      <w:r w:rsidR="00FB0563">
        <w:rPr>
          <w:sz w:val="24"/>
        </w:rPr>
        <w:t>based on</w:t>
      </w:r>
      <w:r w:rsidR="005508F1" w:rsidRPr="0013043F">
        <w:rPr>
          <w:sz w:val="24"/>
        </w:rPr>
        <w:t xml:space="preserve"> the relevant provisions set forth in the </w:t>
      </w:r>
      <w:r w:rsidR="00FB0563" w:rsidRPr="0013043F">
        <w:rPr>
          <w:sz w:val="24"/>
        </w:rPr>
        <w:t xml:space="preserve">Law </w:t>
      </w:r>
      <w:r w:rsidR="00FB0563">
        <w:rPr>
          <w:sz w:val="24"/>
        </w:rPr>
        <w:t xml:space="preserve">on </w:t>
      </w:r>
      <w:r w:rsidR="005508F1" w:rsidRPr="0013043F">
        <w:rPr>
          <w:sz w:val="24"/>
        </w:rPr>
        <w:t>PAK and the Annex to this Law</w:t>
      </w:r>
      <w:r w:rsidR="00E633E6" w:rsidRPr="0013043F">
        <w:rPr>
          <w:sz w:val="24"/>
        </w:rPr>
        <w:t xml:space="preserve">. </w:t>
      </w:r>
    </w:p>
    <w:p w:rsidR="00E633E6" w:rsidRPr="0013043F" w:rsidRDefault="00E633E6" w:rsidP="0051797C">
      <w:pPr>
        <w:pStyle w:val="ListParagraph"/>
        <w:spacing w:line="240" w:lineRule="auto"/>
        <w:rPr>
          <w:rFonts w:eastAsia="Calibri" w:cs="TimesNewRomanPSMT"/>
          <w:i/>
          <w:sz w:val="24"/>
          <w:lang w:val="en-US" w:eastAsia="sq-AL"/>
        </w:rPr>
      </w:pPr>
    </w:p>
    <w:p w:rsidR="00E633E6" w:rsidRPr="0013043F" w:rsidRDefault="005508F1" w:rsidP="0051797C">
      <w:pPr>
        <w:numPr>
          <w:ilvl w:val="0"/>
          <w:numId w:val="1"/>
        </w:numPr>
        <w:spacing w:line="240" w:lineRule="auto"/>
        <w:ind w:left="630" w:hanging="630"/>
        <w:rPr>
          <w:rFonts w:cs="Arial"/>
          <w:i/>
          <w:sz w:val="24"/>
        </w:rPr>
      </w:pPr>
      <w:r w:rsidRPr="0013043F">
        <w:rPr>
          <w:rFonts w:eastAsia="Calibri" w:cs="TimesNewRomanPSMT"/>
          <w:sz w:val="24"/>
          <w:lang w:eastAsia="sq-AL"/>
        </w:rPr>
        <w:t xml:space="preserve">The Court refers to </w:t>
      </w:r>
      <w:r w:rsidRPr="00BE3019">
        <w:rPr>
          <w:sz w:val="24"/>
        </w:rPr>
        <w:t>Article</w:t>
      </w:r>
      <w:r w:rsidRPr="0013043F">
        <w:rPr>
          <w:rFonts w:eastAsia="Calibri" w:cs="TimesNewRomanPSMT"/>
          <w:sz w:val="24"/>
          <w:lang w:eastAsia="sq-AL"/>
        </w:rPr>
        <w:t xml:space="preserve"> 5, paragraph 7 of the Law on PAK, which also states that </w:t>
      </w:r>
      <w:r w:rsidR="00E633E6" w:rsidRPr="0013043F">
        <w:rPr>
          <w:rFonts w:eastAsia="Calibri" w:cs="TimesNewRomanPSMT"/>
          <w:i/>
          <w:sz w:val="24"/>
          <w:lang w:eastAsia="sq-AL"/>
        </w:rPr>
        <w:t>“[...]</w:t>
      </w:r>
      <w:r w:rsidR="00FB0563">
        <w:rPr>
          <w:rFonts w:eastAsia="Calibri" w:cs="TimesNewRomanPSMT"/>
          <w:i/>
          <w:sz w:val="24"/>
          <w:lang w:eastAsia="sq-AL"/>
        </w:rPr>
        <w:t xml:space="preserve"> </w:t>
      </w:r>
      <w:r w:rsidRPr="0013043F">
        <w:rPr>
          <w:i/>
          <w:iCs/>
          <w:sz w:val="24"/>
        </w:rPr>
        <w:t>Any person filing such a claim or alleging such an interest who disagrees with the Liquidation Authority’s determination affecting that claim or alleged interest shall have the right to challenge such determination at the Special Chamber by timely complying with the procedural requirements set forth in Article 37.7 of Annex 1</w:t>
      </w:r>
      <w:r w:rsidR="00E633E6" w:rsidRPr="0013043F">
        <w:rPr>
          <w:rFonts w:cs="Arial"/>
          <w:i/>
          <w:sz w:val="24"/>
        </w:rPr>
        <w:t xml:space="preserve">.” </w:t>
      </w:r>
    </w:p>
    <w:p w:rsidR="00E633E6" w:rsidRPr="0013043F" w:rsidRDefault="00E633E6" w:rsidP="0051797C">
      <w:pPr>
        <w:pStyle w:val="ListParagraph"/>
        <w:spacing w:line="240" w:lineRule="auto"/>
        <w:rPr>
          <w:rFonts w:cs="Arial"/>
          <w:i/>
          <w:sz w:val="24"/>
          <w:lang w:val="en-US"/>
        </w:rPr>
      </w:pPr>
    </w:p>
    <w:p w:rsidR="00E633E6" w:rsidRPr="0013043F" w:rsidRDefault="005508F1" w:rsidP="0051797C">
      <w:pPr>
        <w:numPr>
          <w:ilvl w:val="0"/>
          <w:numId w:val="1"/>
        </w:numPr>
        <w:spacing w:line="240" w:lineRule="auto"/>
        <w:ind w:left="630" w:hanging="630"/>
        <w:rPr>
          <w:i/>
          <w:sz w:val="24"/>
        </w:rPr>
      </w:pPr>
      <w:r w:rsidRPr="0013043F">
        <w:rPr>
          <w:sz w:val="24"/>
        </w:rPr>
        <w:t>In this resp</w:t>
      </w:r>
      <w:r w:rsidR="00FB0563">
        <w:rPr>
          <w:sz w:val="24"/>
        </w:rPr>
        <w:t>e</w:t>
      </w:r>
      <w:r w:rsidRPr="0013043F">
        <w:rPr>
          <w:sz w:val="24"/>
        </w:rPr>
        <w:t xml:space="preserve">ct, the </w:t>
      </w:r>
      <w:r w:rsidRPr="0051797C">
        <w:rPr>
          <w:rFonts w:cs="Calibri"/>
          <w:sz w:val="24"/>
        </w:rPr>
        <w:t>Court</w:t>
      </w:r>
      <w:r w:rsidRPr="0013043F">
        <w:rPr>
          <w:sz w:val="24"/>
        </w:rPr>
        <w:t xml:space="preserve"> also refers to its Judgment in case KO142/16 </w:t>
      </w:r>
      <w:r w:rsidR="00E633E6" w:rsidRPr="0013043F">
        <w:rPr>
          <w:sz w:val="24"/>
        </w:rPr>
        <w:t>(</w:t>
      </w:r>
      <w:r w:rsidR="00FB0563">
        <w:rPr>
          <w:sz w:val="24"/>
        </w:rPr>
        <w:t>Applicant</w:t>
      </w:r>
      <w:r w:rsidR="00E633E6" w:rsidRPr="0013043F">
        <w:rPr>
          <w:sz w:val="24"/>
        </w:rPr>
        <w:t xml:space="preserve">: </w:t>
      </w:r>
      <w:r w:rsidRPr="0013043F">
        <w:rPr>
          <w:i/>
          <w:iCs/>
          <w:sz w:val="24"/>
        </w:rPr>
        <w:t>The Appellate Panel of the Special Chamber of the Supreme Court of Kosovo on Privatization Agency of Kosovo Related Matters</w:t>
      </w:r>
      <w:r w:rsidR="00E633E6" w:rsidRPr="0013043F">
        <w:rPr>
          <w:rFonts w:eastAsia="Batang"/>
          <w:i/>
          <w:iCs/>
          <w:sz w:val="24"/>
        </w:rPr>
        <w:t xml:space="preserve">, </w:t>
      </w:r>
      <w:r w:rsidRPr="00FB0563">
        <w:rPr>
          <w:sz w:val="24"/>
        </w:rPr>
        <w:t>Constitutional review of Articles 10 and 40.1.5 of the Annex to Law No. 04/L-034 on Privatization Agency of Kosovo</w:t>
      </w:r>
      <w:r w:rsidR="00E633E6" w:rsidRPr="0013043F">
        <w:rPr>
          <w:rFonts w:eastAsia="Batang"/>
          <w:sz w:val="24"/>
        </w:rPr>
        <w:t xml:space="preserve">, </w:t>
      </w:r>
      <w:r w:rsidRPr="0013043F">
        <w:rPr>
          <w:rFonts w:eastAsia="Batang"/>
          <w:sz w:val="24"/>
        </w:rPr>
        <w:t>Judgment</w:t>
      </w:r>
      <w:r w:rsidR="00E633E6" w:rsidRPr="0013043F">
        <w:rPr>
          <w:rFonts w:eastAsia="Batang"/>
          <w:sz w:val="24"/>
        </w:rPr>
        <w:t xml:space="preserve"> </w:t>
      </w:r>
      <w:r w:rsidRPr="0013043F">
        <w:rPr>
          <w:rFonts w:eastAsia="Batang"/>
          <w:sz w:val="24"/>
        </w:rPr>
        <w:t>of</w:t>
      </w:r>
      <w:r w:rsidR="00E633E6" w:rsidRPr="0013043F">
        <w:rPr>
          <w:rFonts w:eastAsia="Batang"/>
          <w:sz w:val="24"/>
        </w:rPr>
        <w:t xml:space="preserve"> 18 </w:t>
      </w:r>
      <w:r w:rsidRPr="0013043F">
        <w:rPr>
          <w:rFonts w:eastAsia="Batang"/>
          <w:sz w:val="24"/>
        </w:rPr>
        <w:t>July</w:t>
      </w:r>
      <w:r w:rsidR="00E633E6" w:rsidRPr="0013043F">
        <w:rPr>
          <w:rFonts w:eastAsia="Batang"/>
          <w:sz w:val="24"/>
        </w:rPr>
        <w:t xml:space="preserve"> 2017, </w:t>
      </w:r>
      <w:r w:rsidRPr="0013043F">
        <w:rPr>
          <w:rFonts w:eastAsia="Batang"/>
          <w:sz w:val="24"/>
        </w:rPr>
        <w:t>paragraph</w:t>
      </w:r>
      <w:r w:rsidR="00E633E6" w:rsidRPr="0013043F">
        <w:rPr>
          <w:rFonts w:eastAsia="Batang"/>
          <w:sz w:val="24"/>
        </w:rPr>
        <w:t xml:space="preserve"> 80), </w:t>
      </w:r>
      <w:r w:rsidRPr="0013043F">
        <w:rPr>
          <w:rFonts w:eastAsia="Batang"/>
          <w:sz w:val="24"/>
        </w:rPr>
        <w:t>where it found</w:t>
      </w:r>
      <w:r w:rsidR="00E633E6" w:rsidRPr="0013043F">
        <w:rPr>
          <w:rFonts w:eastAsia="Batang"/>
          <w:sz w:val="24"/>
        </w:rPr>
        <w:t xml:space="preserve">: </w:t>
      </w:r>
      <w:r w:rsidR="00E633E6" w:rsidRPr="0013043F">
        <w:rPr>
          <w:rFonts w:eastAsia="Batang"/>
          <w:i/>
          <w:sz w:val="24"/>
        </w:rPr>
        <w:t>”</w:t>
      </w:r>
      <w:r w:rsidRPr="0013043F">
        <w:rPr>
          <w:i/>
          <w:iCs/>
          <w:sz w:val="24"/>
        </w:rPr>
        <w:t>the Court notes that Article 40.1.5 of the Annex to the Law on PAK constitutes a restriction of the property right of the interested parties, but this restriction is not automatically a violation of property interests, however, as it is seen from the PAK's response, the applicable law in Kosovo stipulates that the decisions of the Liquidation Authority are not final, but that those decisions may be appealed to the Special Chamber of the Supreme Court</w:t>
      </w:r>
      <w:r w:rsidR="00E633E6" w:rsidRPr="0013043F">
        <w:rPr>
          <w:i/>
          <w:sz w:val="24"/>
        </w:rPr>
        <w:t>.”</w:t>
      </w:r>
    </w:p>
    <w:p w:rsidR="00E633E6" w:rsidRPr="0013043F" w:rsidRDefault="00E633E6" w:rsidP="0051797C">
      <w:pPr>
        <w:pStyle w:val="ListParagraph"/>
        <w:spacing w:line="240" w:lineRule="auto"/>
        <w:rPr>
          <w:rFonts w:cs="Arial"/>
          <w:i/>
          <w:sz w:val="24"/>
          <w:lang w:val="en-US"/>
        </w:rPr>
      </w:pPr>
    </w:p>
    <w:p w:rsidR="00E633E6" w:rsidRPr="0013043F" w:rsidRDefault="005508F1" w:rsidP="0051797C">
      <w:pPr>
        <w:numPr>
          <w:ilvl w:val="0"/>
          <w:numId w:val="1"/>
        </w:numPr>
        <w:spacing w:line="240" w:lineRule="auto"/>
        <w:ind w:left="630" w:hanging="630"/>
        <w:rPr>
          <w:sz w:val="24"/>
        </w:rPr>
      </w:pPr>
      <w:r w:rsidRPr="0013043F">
        <w:rPr>
          <w:sz w:val="24"/>
        </w:rPr>
        <w:t xml:space="preserve">In the light of the foregoing </w:t>
      </w:r>
      <w:r w:rsidR="00FB0563">
        <w:rPr>
          <w:sz w:val="24"/>
        </w:rPr>
        <w:t>considerations</w:t>
      </w:r>
      <w:r w:rsidRPr="0013043F">
        <w:rPr>
          <w:sz w:val="24"/>
        </w:rPr>
        <w:t xml:space="preserve">, the Court </w:t>
      </w:r>
      <w:r w:rsidR="00057C5B" w:rsidRPr="0013043F">
        <w:rPr>
          <w:sz w:val="24"/>
        </w:rPr>
        <w:t xml:space="preserve">first </w:t>
      </w:r>
      <w:r w:rsidRPr="0013043F">
        <w:rPr>
          <w:sz w:val="24"/>
        </w:rPr>
        <w:t xml:space="preserve">notes </w:t>
      </w:r>
      <w:r w:rsidR="00FB0563">
        <w:rPr>
          <w:sz w:val="24"/>
        </w:rPr>
        <w:t xml:space="preserve">that </w:t>
      </w:r>
      <w:r w:rsidRPr="0013043F">
        <w:rPr>
          <w:sz w:val="24"/>
        </w:rPr>
        <w:t xml:space="preserve">from the case file, it results that </w:t>
      </w:r>
      <w:r w:rsidRPr="0051797C">
        <w:rPr>
          <w:rFonts w:cs="Calibri"/>
          <w:sz w:val="24"/>
        </w:rPr>
        <w:t>the</w:t>
      </w:r>
      <w:r w:rsidRPr="0013043F">
        <w:rPr>
          <w:sz w:val="24"/>
        </w:rPr>
        <w:t xml:space="preserve"> Liquidation Authority in respect of the Applicant's </w:t>
      </w:r>
      <w:r w:rsidR="00FB0563">
        <w:rPr>
          <w:sz w:val="24"/>
        </w:rPr>
        <w:t>request</w:t>
      </w:r>
      <w:r w:rsidRPr="0013043F">
        <w:rPr>
          <w:sz w:val="24"/>
        </w:rPr>
        <w:t xml:space="preserve"> has not yet rendered any decision. Secondly, the Court notes that the Applicants may file appeal against the decisions of the Liquidation Authority with the SCSC</w:t>
      </w:r>
      <w:r w:rsidR="00E633E6" w:rsidRPr="0013043F">
        <w:rPr>
          <w:sz w:val="24"/>
        </w:rPr>
        <w:t>.</w:t>
      </w:r>
    </w:p>
    <w:p w:rsidR="00E633E6" w:rsidRPr="0013043F" w:rsidRDefault="00E633E6" w:rsidP="0051797C">
      <w:pPr>
        <w:pStyle w:val="ListParagraph"/>
        <w:spacing w:line="240" w:lineRule="auto"/>
        <w:ind w:left="540"/>
        <w:rPr>
          <w:rFonts w:eastAsia="Calibri" w:cs="TimesNewRomanPSMT"/>
          <w:i/>
          <w:sz w:val="24"/>
          <w:lang w:val="en-US" w:eastAsia="sq-AL"/>
        </w:rPr>
      </w:pPr>
    </w:p>
    <w:p w:rsidR="00E633E6" w:rsidRPr="0013043F" w:rsidRDefault="005508F1" w:rsidP="0051797C">
      <w:pPr>
        <w:numPr>
          <w:ilvl w:val="0"/>
          <w:numId w:val="1"/>
        </w:numPr>
        <w:spacing w:line="240" w:lineRule="auto"/>
        <w:ind w:left="630" w:hanging="630"/>
        <w:rPr>
          <w:rFonts w:cs="Calibri"/>
          <w:sz w:val="24"/>
        </w:rPr>
      </w:pPr>
      <w:r w:rsidRPr="0013043F">
        <w:rPr>
          <w:rFonts w:cs="Calibri"/>
          <w:sz w:val="24"/>
        </w:rPr>
        <w:t xml:space="preserve">Therefore, considering that such a possibility as provided by law has not been exhausted, the </w:t>
      </w:r>
      <w:r w:rsidRPr="0051797C">
        <w:rPr>
          <w:rFonts w:cs="Calibri"/>
          <w:sz w:val="24"/>
        </w:rPr>
        <w:t>Court</w:t>
      </w:r>
      <w:r w:rsidRPr="0013043F">
        <w:rPr>
          <w:rFonts w:cs="Calibri"/>
          <w:sz w:val="24"/>
        </w:rPr>
        <w:t xml:space="preserve"> concludes that the Applicants </w:t>
      </w:r>
      <w:r w:rsidR="00FB0563">
        <w:rPr>
          <w:rFonts w:cs="Calibri"/>
          <w:sz w:val="24"/>
        </w:rPr>
        <w:t xml:space="preserve">did not meet the admissibility </w:t>
      </w:r>
      <w:r w:rsidRPr="0013043F">
        <w:rPr>
          <w:rFonts w:cs="Calibri"/>
          <w:sz w:val="24"/>
        </w:rPr>
        <w:t>criteria for the exhaustion of legal remedies provided by the Constitution, the Law and the Rules of Procedure</w:t>
      </w:r>
      <w:r w:rsidR="00E633E6" w:rsidRPr="0013043F">
        <w:rPr>
          <w:rFonts w:cs="Calibri"/>
          <w:sz w:val="24"/>
        </w:rPr>
        <w:t xml:space="preserve">. </w:t>
      </w:r>
    </w:p>
    <w:p w:rsidR="00E633E6" w:rsidRPr="0013043F" w:rsidRDefault="00E633E6" w:rsidP="0051797C">
      <w:pPr>
        <w:spacing w:line="240" w:lineRule="auto"/>
        <w:ind w:left="540"/>
        <w:rPr>
          <w:rFonts w:cs="Calibri"/>
          <w:sz w:val="24"/>
        </w:rPr>
      </w:pPr>
    </w:p>
    <w:p w:rsidR="00E633E6" w:rsidRPr="0013043F" w:rsidRDefault="008B297F" w:rsidP="0051797C">
      <w:pPr>
        <w:numPr>
          <w:ilvl w:val="0"/>
          <w:numId w:val="1"/>
        </w:numPr>
        <w:spacing w:line="240" w:lineRule="auto"/>
        <w:ind w:left="630" w:hanging="630"/>
        <w:rPr>
          <w:rFonts w:cs="Calibri"/>
          <w:sz w:val="24"/>
        </w:rPr>
      </w:pPr>
      <w:r w:rsidRPr="0013043F">
        <w:rPr>
          <w:rFonts w:cs="Calibri"/>
          <w:sz w:val="24"/>
        </w:rPr>
        <w:t xml:space="preserve">In this regard, the Court refers to its case law, where in similar cases it has been considered that the proceedings before the Liquidation Authority or similar </w:t>
      </w:r>
      <w:r w:rsidR="005508F1" w:rsidRPr="0013043F">
        <w:rPr>
          <w:rFonts w:cs="Calibri"/>
          <w:sz w:val="24"/>
        </w:rPr>
        <w:t>authorities</w:t>
      </w:r>
      <w:r w:rsidRPr="0013043F">
        <w:rPr>
          <w:rFonts w:cs="Calibri"/>
          <w:sz w:val="24"/>
        </w:rPr>
        <w:t xml:space="preserve"> should be exhausted, as a </w:t>
      </w:r>
      <w:r w:rsidR="005508F1" w:rsidRPr="0013043F">
        <w:rPr>
          <w:rFonts w:cs="Calibri"/>
          <w:sz w:val="24"/>
        </w:rPr>
        <w:t xml:space="preserve">legal </w:t>
      </w:r>
      <w:r w:rsidRPr="0013043F">
        <w:rPr>
          <w:rFonts w:cs="Calibri"/>
          <w:sz w:val="24"/>
        </w:rPr>
        <w:t xml:space="preserve">remedy, in </w:t>
      </w:r>
      <w:r w:rsidR="005508F1" w:rsidRPr="0013043F">
        <w:rPr>
          <w:rFonts w:cs="Calibri"/>
          <w:sz w:val="24"/>
        </w:rPr>
        <w:t xml:space="preserve">the </w:t>
      </w:r>
      <w:r w:rsidRPr="0013043F">
        <w:rPr>
          <w:rFonts w:cs="Calibri"/>
          <w:sz w:val="24"/>
        </w:rPr>
        <w:t>matters relating to credit</w:t>
      </w:r>
      <w:r w:rsidR="005508F1" w:rsidRPr="0013043F">
        <w:rPr>
          <w:rFonts w:cs="Calibri"/>
          <w:sz w:val="24"/>
        </w:rPr>
        <w:t>or</w:t>
      </w:r>
      <w:r w:rsidRPr="0013043F">
        <w:rPr>
          <w:rFonts w:cs="Calibri"/>
          <w:sz w:val="24"/>
        </w:rPr>
        <w:t xml:space="preserve"> claims </w:t>
      </w:r>
      <w:r w:rsidRPr="00BE3019">
        <w:rPr>
          <w:sz w:val="24"/>
        </w:rPr>
        <w:t>against</w:t>
      </w:r>
      <w:r w:rsidRPr="0013043F">
        <w:rPr>
          <w:rFonts w:cs="Calibri"/>
          <w:sz w:val="24"/>
        </w:rPr>
        <w:t xml:space="preserve"> enterprise</w:t>
      </w:r>
      <w:r w:rsidR="005508F1" w:rsidRPr="0013043F">
        <w:rPr>
          <w:rFonts w:cs="Calibri"/>
          <w:sz w:val="24"/>
        </w:rPr>
        <w:t>s in liquidation (see Case KI80/</w:t>
      </w:r>
      <w:r w:rsidRPr="0013043F">
        <w:rPr>
          <w:rFonts w:cs="Calibri"/>
          <w:sz w:val="24"/>
        </w:rPr>
        <w:t xml:space="preserve">16, Applicant </w:t>
      </w:r>
      <w:r w:rsidRPr="0013043F">
        <w:rPr>
          <w:rFonts w:cs="Calibri"/>
          <w:i/>
          <w:iCs/>
          <w:sz w:val="24"/>
        </w:rPr>
        <w:lastRenderedPageBreak/>
        <w:t>Shinto Petar Shindov Company</w:t>
      </w:r>
      <w:r w:rsidRPr="0013043F">
        <w:rPr>
          <w:rFonts w:cs="Calibri"/>
          <w:sz w:val="24"/>
        </w:rPr>
        <w:t xml:space="preserve">, Resolution of Inadmissibility of 5 December 2018, paragraphs 74 and </w:t>
      </w:r>
      <w:r w:rsidR="00E633E6" w:rsidRPr="0013043F">
        <w:rPr>
          <w:rFonts w:cs="Calibri"/>
          <w:sz w:val="24"/>
        </w:rPr>
        <w:t>75).</w:t>
      </w:r>
      <w:r w:rsidR="0051797C">
        <w:rPr>
          <w:rFonts w:cs="Calibri"/>
          <w:sz w:val="24"/>
        </w:rPr>
        <w:t xml:space="preserve"> </w:t>
      </w:r>
    </w:p>
    <w:p w:rsidR="00E633E6" w:rsidRPr="0013043F" w:rsidRDefault="00E633E6" w:rsidP="0051797C">
      <w:pPr>
        <w:spacing w:line="240" w:lineRule="auto"/>
        <w:ind w:left="540" w:hanging="540"/>
        <w:rPr>
          <w:rFonts w:cs="Calibri"/>
          <w:sz w:val="24"/>
        </w:rPr>
      </w:pPr>
    </w:p>
    <w:p w:rsidR="00E633E6" w:rsidRPr="0013043F" w:rsidRDefault="008B297F" w:rsidP="0051797C">
      <w:pPr>
        <w:numPr>
          <w:ilvl w:val="0"/>
          <w:numId w:val="1"/>
        </w:numPr>
        <w:spacing w:line="240" w:lineRule="auto"/>
        <w:ind w:left="630" w:hanging="630"/>
        <w:rPr>
          <w:rFonts w:cs="Calibri"/>
          <w:sz w:val="24"/>
        </w:rPr>
      </w:pPr>
      <w:r w:rsidRPr="0013043F">
        <w:rPr>
          <w:sz w:val="24"/>
        </w:rPr>
        <w:t xml:space="preserve">The Court reiterates that the rationale of the obligation to exhaust legal remedies, or the exhaustion rule is to </w:t>
      </w:r>
      <w:r w:rsidRPr="0051797C">
        <w:rPr>
          <w:rFonts w:cs="Calibri"/>
          <w:sz w:val="24"/>
        </w:rPr>
        <w:t>afford</w:t>
      </w:r>
      <w:r w:rsidRPr="0013043F">
        <w:rPr>
          <w:sz w:val="24"/>
        </w:rPr>
        <w:t xml:space="preserve"> the respective courts</w:t>
      </w:r>
      <w:r w:rsidR="00FB0563">
        <w:rPr>
          <w:sz w:val="24"/>
        </w:rPr>
        <w:t xml:space="preserve">, </w:t>
      </w:r>
      <w:r w:rsidR="007C5756" w:rsidRPr="007C5756">
        <w:rPr>
          <w:sz w:val="24"/>
        </w:rPr>
        <w:t>primarily to regular courts,</w:t>
      </w:r>
      <w:r w:rsidR="007C5756">
        <w:rPr>
          <w:sz w:val="24"/>
        </w:rPr>
        <w:t xml:space="preserve"> </w:t>
      </w:r>
      <w:r w:rsidRPr="0013043F">
        <w:rPr>
          <w:sz w:val="24"/>
        </w:rPr>
        <w:t>the opportunity to prevent or put right the alleged violation of the Constitution. The rule is based on the assumption, which is reflected in Article 32 of the Constitution and in Article 13 of the ECHR, that the Kosovo legal order will provide an effective legal remedy for the violation of the constitutional rights. This is an important aspect of the subsidiary character of the Constitution</w:t>
      </w:r>
      <w:r w:rsidRPr="0013043F">
        <w:rPr>
          <w:rFonts w:cs="Calibri"/>
          <w:sz w:val="24"/>
        </w:rPr>
        <w:t xml:space="preserve"> </w:t>
      </w:r>
      <w:r w:rsidR="00E633E6" w:rsidRPr="0013043F">
        <w:rPr>
          <w:rFonts w:cs="Calibri"/>
          <w:sz w:val="24"/>
        </w:rPr>
        <w:t>(</w:t>
      </w:r>
      <w:r w:rsidRPr="0013043F">
        <w:rPr>
          <w:rFonts w:cs="Calibri"/>
          <w:sz w:val="24"/>
        </w:rPr>
        <w:t xml:space="preserve">see ECtHR case </w:t>
      </w:r>
      <w:r w:rsidRPr="0013043F">
        <w:rPr>
          <w:rFonts w:cs="Calibri"/>
          <w:i/>
          <w:iCs/>
          <w:sz w:val="24"/>
        </w:rPr>
        <w:t>Selmouni v. France</w:t>
      </w:r>
      <w:r w:rsidRPr="0013043F">
        <w:rPr>
          <w:rFonts w:cs="Calibri"/>
          <w:sz w:val="24"/>
        </w:rPr>
        <w:t xml:space="preserve">, application no. 25803/94, Judgment of 28 July 1999, paragraph 74 and, </w:t>
      </w:r>
      <w:r w:rsidRPr="0013043F">
        <w:rPr>
          <w:rFonts w:cs="Calibri"/>
          <w:i/>
          <w:iCs/>
          <w:sz w:val="24"/>
        </w:rPr>
        <w:t>inter alia</w:t>
      </w:r>
      <w:r w:rsidRPr="0013043F">
        <w:rPr>
          <w:rFonts w:cs="Calibri"/>
          <w:sz w:val="24"/>
        </w:rPr>
        <w:t xml:space="preserve">, cases of the Court, case no. KI07/15, Applicant </w:t>
      </w:r>
      <w:r w:rsidRPr="0013043F">
        <w:rPr>
          <w:rFonts w:cs="Calibri"/>
          <w:i/>
          <w:iCs/>
          <w:sz w:val="24"/>
        </w:rPr>
        <w:t>Shefki Zogiani</w:t>
      </w:r>
      <w:r w:rsidRPr="0013043F">
        <w:rPr>
          <w:rFonts w:cs="Calibri"/>
          <w:sz w:val="24"/>
        </w:rPr>
        <w:t xml:space="preserve">, Resolution on Inadmissibility of 8 December 2016, paragraph 61, </w:t>
      </w:r>
      <w:r w:rsidR="007C5756">
        <w:rPr>
          <w:rFonts w:cs="Calibri"/>
          <w:sz w:val="24"/>
        </w:rPr>
        <w:t>c</w:t>
      </w:r>
      <w:r w:rsidRPr="0013043F">
        <w:rPr>
          <w:rFonts w:cs="Calibri"/>
          <w:sz w:val="24"/>
        </w:rPr>
        <w:t xml:space="preserve">ase no. KI135/17, Applicant </w:t>
      </w:r>
      <w:r w:rsidRPr="007C5756">
        <w:rPr>
          <w:rFonts w:cs="Calibri"/>
          <w:i/>
          <w:iCs/>
          <w:sz w:val="24"/>
        </w:rPr>
        <w:t>Borce Petrovski</w:t>
      </w:r>
      <w:r w:rsidRPr="0013043F">
        <w:rPr>
          <w:rFonts w:cs="Calibri"/>
          <w:sz w:val="24"/>
        </w:rPr>
        <w:t>, Resolution on Inadmissibility of 13 February 2018</w:t>
      </w:r>
      <w:r w:rsidR="00E633E6" w:rsidRPr="0013043F">
        <w:rPr>
          <w:rFonts w:cs="Calibri"/>
          <w:sz w:val="24"/>
        </w:rPr>
        <w:t xml:space="preserve">). </w:t>
      </w:r>
    </w:p>
    <w:p w:rsidR="00E633E6" w:rsidRPr="0013043F" w:rsidRDefault="00E633E6" w:rsidP="0051797C">
      <w:pPr>
        <w:pStyle w:val="ListParagraph"/>
        <w:spacing w:line="240" w:lineRule="auto"/>
        <w:ind w:left="540"/>
        <w:rPr>
          <w:rFonts w:cs="Calibri"/>
          <w:sz w:val="24"/>
          <w:lang w:val="en-US"/>
        </w:rPr>
      </w:pPr>
    </w:p>
    <w:p w:rsidR="00E633E6" w:rsidRPr="0013043F" w:rsidRDefault="008B297F" w:rsidP="0051797C">
      <w:pPr>
        <w:numPr>
          <w:ilvl w:val="0"/>
          <w:numId w:val="1"/>
        </w:numPr>
        <w:spacing w:line="240" w:lineRule="auto"/>
        <w:ind w:left="630" w:hanging="630"/>
        <w:rPr>
          <w:color w:val="000000"/>
          <w:sz w:val="24"/>
        </w:rPr>
      </w:pPr>
      <w:r w:rsidRPr="0013043F">
        <w:rPr>
          <w:sz w:val="24"/>
        </w:rPr>
        <w:t xml:space="preserve">In addition, the Court emphasizes that the principle of subsidiarity requires that the Applicant exhaust all procedural </w:t>
      </w:r>
      <w:r w:rsidRPr="0051797C">
        <w:rPr>
          <w:rFonts w:cs="Calibri"/>
          <w:sz w:val="24"/>
        </w:rPr>
        <w:t>possibilities</w:t>
      </w:r>
      <w:r w:rsidRPr="0013043F">
        <w:rPr>
          <w:sz w:val="24"/>
        </w:rPr>
        <w:t xml:space="preserve"> </w:t>
      </w:r>
      <w:r w:rsidR="007C5756">
        <w:rPr>
          <w:sz w:val="24"/>
        </w:rPr>
        <w:t>before</w:t>
      </w:r>
      <w:r w:rsidRPr="0013043F">
        <w:rPr>
          <w:sz w:val="24"/>
        </w:rPr>
        <w:t xml:space="preserve"> the regular proceedings, administrative or judicial proceedings, in order to prevent the violation of the Constitution or, if any, to remedy such violation of a right guaranteed by the Constitution</w:t>
      </w:r>
      <w:r w:rsidR="00E633E6" w:rsidRPr="0013043F">
        <w:rPr>
          <w:color w:val="000000"/>
          <w:sz w:val="24"/>
        </w:rPr>
        <w:t xml:space="preserve"> (</w:t>
      </w:r>
      <w:r w:rsidR="007C5756">
        <w:rPr>
          <w:color w:val="000000"/>
          <w:sz w:val="24"/>
        </w:rPr>
        <w:t>see:</w:t>
      </w:r>
      <w:r w:rsidRPr="0013043F">
        <w:rPr>
          <w:color w:val="000000"/>
          <w:sz w:val="24"/>
        </w:rPr>
        <w:t xml:space="preserve"> ECtHR case </w:t>
      </w:r>
      <w:r w:rsidRPr="0013043F">
        <w:rPr>
          <w:i/>
          <w:iCs/>
          <w:color w:val="000000"/>
          <w:sz w:val="24"/>
        </w:rPr>
        <w:t>Sejdović v. Italy</w:t>
      </w:r>
      <w:r w:rsidRPr="0013043F">
        <w:rPr>
          <w:color w:val="000000"/>
          <w:sz w:val="24"/>
        </w:rPr>
        <w:t>, application No. 56581/00,</w:t>
      </w:r>
      <w:r w:rsidR="007C5756">
        <w:rPr>
          <w:color w:val="000000"/>
          <w:sz w:val="24"/>
        </w:rPr>
        <w:t xml:space="preserve"> of</w:t>
      </w:r>
      <w:r w:rsidRPr="0013043F">
        <w:rPr>
          <w:color w:val="000000"/>
          <w:sz w:val="24"/>
        </w:rPr>
        <w:t xml:space="preserve"> 1 March 2006, paragraph 46, </w:t>
      </w:r>
      <w:r w:rsidR="007C5756">
        <w:rPr>
          <w:color w:val="000000"/>
          <w:sz w:val="24"/>
        </w:rPr>
        <w:t>see: case</w:t>
      </w:r>
      <w:r w:rsidRPr="0013043F">
        <w:rPr>
          <w:color w:val="000000"/>
          <w:sz w:val="24"/>
        </w:rPr>
        <w:t xml:space="preserve"> </w:t>
      </w:r>
      <w:r w:rsidRPr="0013043F">
        <w:rPr>
          <w:i/>
          <w:iCs/>
          <w:color w:val="000000"/>
          <w:sz w:val="24"/>
        </w:rPr>
        <w:t>Demë Kurbogaj and Besnik Kurbogaj</w:t>
      </w:r>
      <w:r w:rsidRPr="0013043F">
        <w:rPr>
          <w:color w:val="000000"/>
          <w:sz w:val="24"/>
        </w:rPr>
        <w:t>, Resolution on Inadmissibilit</w:t>
      </w:r>
      <w:r w:rsidR="007C5756">
        <w:rPr>
          <w:color w:val="000000"/>
          <w:sz w:val="24"/>
        </w:rPr>
        <w:t>y of 19 May 2010, paragraphs 18-</w:t>
      </w:r>
      <w:r w:rsidRPr="0013043F">
        <w:rPr>
          <w:color w:val="000000"/>
          <w:sz w:val="24"/>
        </w:rPr>
        <w:t xml:space="preserve">19, case no. KI135/17, Applicant </w:t>
      </w:r>
      <w:r w:rsidRPr="0013043F">
        <w:rPr>
          <w:i/>
          <w:iCs/>
          <w:color w:val="000000"/>
          <w:sz w:val="24"/>
        </w:rPr>
        <w:t>Borce Petrovski</w:t>
      </w:r>
      <w:r w:rsidRPr="0013043F">
        <w:rPr>
          <w:color w:val="000000"/>
          <w:sz w:val="24"/>
        </w:rPr>
        <w:t>, Resolution on Inadmissibility of 13 February 2018, paragraph 64</w:t>
      </w:r>
      <w:r w:rsidR="00E633E6" w:rsidRPr="0013043F">
        <w:rPr>
          <w:color w:val="000000"/>
          <w:sz w:val="24"/>
        </w:rPr>
        <w:t>).</w:t>
      </w:r>
    </w:p>
    <w:p w:rsidR="00E633E6" w:rsidRPr="0013043F" w:rsidRDefault="00E633E6" w:rsidP="0051797C">
      <w:pPr>
        <w:pStyle w:val="ListParagraph"/>
        <w:spacing w:line="240" w:lineRule="auto"/>
        <w:ind w:left="540"/>
        <w:rPr>
          <w:color w:val="000000"/>
          <w:sz w:val="24"/>
          <w:lang w:val="en-US"/>
        </w:rPr>
      </w:pPr>
    </w:p>
    <w:p w:rsidR="00E633E6" w:rsidRPr="0013043F" w:rsidRDefault="00831B87" w:rsidP="0051797C">
      <w:pPr>
        <w:numPr>
          <w:ilvl w:val="0"/>
          <w:numId w:val="1"/>
        </w:numPr>
        <w:spacing w:line="240" w:lineRule="auto"/>
        <w:ind w:left="630" w:hanging="630"/>
        <w:rPr>
          <w:sz w:val="24"/>
        </w:rPr>
      </w:pPr>
      <w:r w:rsidRPr="0013043F">
        <w:rPr>
          <w:sz w:val="24"/>
        </w:rPr>
        <w:t>Therefore, the Court considers that it cannot assess the alleged constitutional violations without affording an opportunity</w:t>
      </w:r>
      <w:r w:rsidRPr="0013043F">
        <w:t xml:space="preserve"> to</w:t>
      </w:r>
      <w:r w:rsidRPr="0013043F">
        <w:rPr>
          <w:sz w:val="24"/>
        </w:rPr>
        <w:t xml:space="preserve"> the Liquidation Authority to </w:t>
      </w:r>
      <w:r w:rsidR="00E36E46">
        <w:rPr>
          <w:sz w:val="24"/>
        </w:rPr>
        <w:t>complete</w:t>
      </w:r>
      <w:r w:rsidR="00E36E46" w:rsidRPr="0013043F">
        <w:rPr>
          <w:sz w:val="24"/>
        </w:rPr>
        <w:t xml:space="preserve"> </w:t>
      </w:r>
      <w:r w:rsidRPr="0013043F">
        <w:rPr>
          <w:sz w:val="24"/>
        </w:rPr>
        <w:t xml:space="preserve">the </w:t>
      </w:r>
      <w:r w:rsidR="008B297F" w:rsidRPr="0013043F">
        <w:rPr>
          <w:sz w:val="24"/>
        </w:rPr>
        <w:t>proceedings</w:t>
      </w:r>
      <w:r w:rsidRPr="0013043F">
        <w:rPr>
          <w:sz w:val="24"/>
        </w:rPr>
        <w:t xml:space="preserve"> regarding the Applicants</w:t>
      </w:r>
      <w:r w:rsidR="007C5756">
        <w:rPr>
          <w:sz w:val="24"/>
        </w:rPr>
        <w:t>’</w:t>
      </w:r>
      <w:r w:rsidRPr="0013043F">
        <w:rPr>
          <w:sz w:val="24"/>
        </w:rPr>
        <w:t xml:space="preserve"> claim for compensation of property</w:t>
      </w:r>
      <w:r w:rsidR="00E633E6" w:rsidRPr="0013043F">
        <w:rPr>
          <w:sz w:val="24"/>
        </w:rPr>
        <w:t>.</w:t>
      </w:r>
      <w:r w:rsidR="0051797C">
        <w:rPr>
          <w:sz w:val="24"/>
        </w:rPr>
        <w:t xml:space="preserve"> </w:t>
      </w:r>
    </w:p>
    <w:p w:rsidR="00E633E6" w:rsidRPr="0013043F" w:rsidRDefault="00E633E6" w:rsidP="0051797C">
      <w:pPr>
        <w:tabs>
          <w:tab w:val="left" w:pos="630"/>
          <w:tab w:val="left" w:pos="720"/>
        </w:tabs>
        <w:spacing w:line="240" w:lineRule="auto"/>
        <w:ind w:left="540" w:hanging="720"/>
        <w:rPr>
          <w:sz w:val="24"/>
        </w:rPr>
      </w:pPr>
    </w:p>
    <w:p w:rsidR="00E633E6" w:rsidRPr="0013043F" w:rsidRDefault="00831B87" w:rsidP="0051797C">
      <w:pPr>
        <w:numPr>
          <w:ilvl w:val="0"/>
          <w:numId w:val="1"/>
        </w:numPr>
        <w:spacing w:line="240" w:lineRule="auto"/>
        <w:ind w:left="630" w:hanging="630"/>
        <w:rPr>
          <w:color w:val="000000"/>
          <w:sz w:val="24"/>
        </w:rPr>
      </w:pPr>
      <w:r w:rsidRPr="0013043F">
        <w:rPr>
          <w:color w:val="000000"/>
          <w:sz w:val="24"/>
        </w:rPr>
        <w:t xml:space="preserve">Therefore, the Court </w:t>
      </w:r>
      <w:r w:rsidR="00E36E46">
        <w:rPr>
          <w:color w:val="000000"/>
          <w:sz w:val="24"/>
        </w:rPr>
        <w:t>concludes</w:t>
      </w:r>
      <w:r w:rsidRPr="0013043F">
        <w:rPr>
          <w:color w:val="000000"/>
          <w:sz w:val="24"/>
        </w:rPr>
        <w:t xml:space="preserve"> that the Applicant has not exhausted yet all legal remedies provided by Article 113, paragraph 7 of the Constitution, Article 47 of the Law and Rule 39 (1) (b) of the Rules of Procedure</w:t>
      </w:r>
      <w:r w:rsidR="00E633E6" w:rsidRPr="0013043F">
        <w:rPr>
          <w:color w:val="000000"/>
          <w:sz w:val="24"/>
        </w:rPr>
        <w:t>.</w:t>
      </w:r>
    </w:p>
    <w:p w:rsidR="000961F2" w:rsidRPr="0013043F" w:rsidRDefault="000961F2" w:rsidP="0051797C">
      <w:pPr>
        <w:spacing w:line="240" w:lineRule="auto"/>
        <w:ind w:left="630"/>
        <w:rPr>
          <w:rFonts w:cs="Arial"/>
          <w:sz w:val="24"/>
        </w:rPr>
      </w:pPr>
    </w:p>
    <w:p w:rsidR="00DE04CF" w:rsidRPr="0013043F" w:rsidRDefault="00DE04CF" w:rsidP="0051797C">
      <w:pPr>
        <w:spacing w:line="240" w:lineRule="auto"/>
        <w:rPr>
          <w:rFonts w:cs="TimesNewRomanPS-BoldMT"/>
          <w:b/>
          <w:bCs/>
          <w:color w:val="000000"/>
          <w:sz w:val="24"/>
        </w:rPr>
      </w:pPr>
    </w:p>
    <w:p w:rsidR="00831B87" w:rsidRPr="0013043F" w:rsidRDefault="007C5756" w:rsidP="0051797C">
      <w:pPr>
        <w:tabs>
          <w:tab w:val="left" w:pos="0"/>
          <w:tab w:val="left" w:pos="1440"/>
        </w:tabs>
        <w:spacing w:line="240" w:lineRule="auto"/>
        <w:jc w:val="center"/>
        <w:rPr>
          <w:b/>
          <w:bCs/>
          <w:color w:val="000000"/>
          <w:sz w:val="24"/>
        </w:rPr>
      </w:pPr>
      <w:r>
        <w:rPr>
          <w:b/>
          <w:bCs/>
          <w:color w:val="000000"/>
          <w:sz w:val="24"/>
        </w:rPr>
        <w:br w:type="page"/>
      </w:r>
      <w:r w:rsidR="00831B87" w:rsidRPr="0013043F">
        <w:rPr>
          <w:b/>
          <w:bCs/>
          <w:color w:val="000000"/>
          <w:sz w:val="24"/>
        </w:rPr>
        <w:lastRenderedPageBreak/>
        <w:t>FOR THESE REASONS</w:t>
      </w:r>
    </w:p>
    <w:p w:rsidR="00391D8E" w:rsidRPr="0013043F" w:rsidRDefault="00391D8E" w:rsidP="0051797C">
      <w:pPr>
        <w:spacing w:line="240" w:lineRule="auto"/>
        <w:rPr>
          <w:color w:val="000000"/>
          <w:sz w:val="24"/>
        </w:rPr>
      </w:pPr>
    </w:p>
    <w:p w:rsidR="00831B87" w:rsidRPr="0013043F" w:rsidRDefault="00831B87" w:rsidP="0051797C">
      <w:pPr>
        <w:tabs>
          <w:tab w:val="left" w:pos="0"/>
        </w:tabs>
        <w:spacing w:line="240" w:lineRule="auto"/>
        <w:rPr>
          <w:bCs/>
          <w:sz w:val="24"/>
        </w:rPr>
      </w:pPr>
      <w:r w:rsidRPr="0013043F">
        <w:rPr>
          <w:bCs/>
          <w:sz w:val="24"/>
        </w:rPr>
        <w:t xml:space="preserve">The Constitutional Court of Kosovo, in accordance with Article </w:t>
      </w:r>
      <w:r w:rsidRPr="0013043F">
        <w:rPr>
          <w:sz w:val="24"/>
        </w:rPr>
        <w:t xml:space="preserve">113.7 </w:t>
      </w:r>
      <w:r w:rsidRPr="0013043F">
        <w:rPr>
          <w:bCs/>
          <w:sz w:val="24"/>
        </w:rPr>
        <w:t xml:space="preserve">of the Constitution, Article </w:t>
      </w:r>
      <w:r w:rsidRPr="0013043F">
        <w:rPr>
          <w:sz w:val="24"/>
        </w:rPr>
        <w:t>47</w:t>
      </w:r>
      <w:r w:rsidRPr="0013043F">
        <w:t xml:space="preserve"> </w:t>
      </w:r>
      <w:r w:rsidRPr="0013043F">
        <w:rPr>
          <w:bCs/>
          <w:sz w:val="24"/>
        </w:rPr>
        <w:t xml:space="preserve">of the Law and Rule </w:t>
      </w:r>
      <w:r w:rsidRPr="0013043F">
        <w:rPr>
          <w:rFonts w:eastAsia="SimSun"/>
          <w:color w:val="000000"/>
          <w:sz w:val="24"/>
        </w:rPr>
        <w:t xml:space="preserve">39 (1) (b) </w:t>
      </w:r>
      <w:r w:rsidRPr="0013043F">
        <w:rPr>
          <w:bCs/>
          <w:sz w:val="24"/>
        </w:rPr>
        <w:t xml:space="preserve">of the Rules of Procedure, </w:t>
      </w:r>
      <w:r w:rsidR="007C5756">
        <w:rPr>
          <w:bCs/>
          <w:sz w:val="24"/>
        </w:rPr>
        <w:t xml:space="preserve">in the session held </w:t>
      </w:r>
      <w:r w:rsidRPr="0013043F">
        <w:rPr>
          <w:bCs/>
          <w:sz w:val="24"/>
        </w:rPr>
        <w:t xml:space="preserve">on </w:t>
      </w:r>
      <w:r w:rsidR="00D23570">
        <w:rPr>
          <w:rFonts w:cs="Arial"/>
          <w:sz w:val="24"/>
        </w:rPr>
        <w:t>16 January 2019</w:t>
      </w:r>
      <w:r w:rsidRPr="0013043F">
        <w:rPr>
          <w:bCs/>
          <w:sz w:val="24"/>
        </w:rPr>
        <w:t>, unanimously</w:t>
      </w:r>
    </w:p>
    <w:p w:rsidR="00831B87" w:rsidRPr="0013043F" w:rsidRDefault="00831B87" w:rsidP="0051797C">
      <w:pPr>
        <w:spacing w:line="240" w:lineRule="auto"/>
        <w:rPr>
          <w:rFonts w:cs="Arial"/>
          <w:sz w:val="24"/>
        </w:rPr>
      </w:pPr>
    </w:p>
    <w:p w:rsidR="00391D8E" w:rsidRPr="0013043F" w:rsidRDefault="00391D8E" w:rsidP="0051797C">
      <w:pPr>
        <w:spacing w:line="240" w:lineRule="auto"/>
        <w:rPr>
          <w:rFonts w:cs="Arial"/>
          <w:sz w:val="24"/>
        </w:rPr>
      </w:pPr>
    </w:p>
    <w:p w:rsidR="00831B87" w:rsidRPr="0013043F" w:rsidRDefault="00831B87" w:rsidP="0051797C">
      <w:pPr>
        <w:spacing w:line="240" w:lineRule="auto"/>
        <w:jc w:val="center"/>
        <w:rPr>
          <w:b/>
          <w:caps/>
          <w:color w:val="000000"/>
          <w:sz w:val="24"/>
        </w:rPr>
      </w:pPr>
      <w:r w:rsidRPr="0013043F">
        <w:rPr>
          <w:b/>
          <w:caps/>
          <w:color w:val="000000"/>
          <w:sz w:val="24"/>
        </w:rPr>
        <w:t>DECIDES</w:t>
      </w:r>
    </w:p>
    <w:p w:rsidR="00831B87" w:rsidRPr="0013043F" w:rsidRDefault="00831B87" w:rsidP="0051797C">
      <w:pPr>
        <w:tabs>
          <w:tab w:val="left" w:pos="540"/>
          <w:tab w:val="left" w:pos="1080"/>
        </w:tabs>
        <w:spacing w:line="240" w:lineRule="auto"/>
        <w:ind w:left="630"/>
        <w:rPr>
          <w:bCs/>
          <w:i/>
          <w:sz w:val="24"/>
        </w:rPr>
      </w:pPr>
    </w:p>
    <w:p w:rsidR="00831B87" w:rsidRPr="0013043F" w:rsidRDefault="00831B87" w:rsidP="0051797C">
      <w:pPr>
        <w:pStyle w:val="ListParagraph"/>
        <w:numPr>
          <w:ilvl w:val="0"/>
          <w:numId w:val="41"/>
        </w:numPr>
        <w:tabs>
          <w:tab w:val="left" w:pos="1440"/>
        </w:tabs>
        <w:spacing w:line="240" w:lineRule="auto"/>
        <w:ind w:left="1440" w:hanging="608"/>
        <w:contextualSpacing/>
        <w:rPr>
          <w:bCs/>
          <w:sz w:val="24"/>
          <w:lang w:val="en-US"/>
        </w:rPr>
      </w:pPr>
      <w:r w:rsidRPr="0013043F">
        <w:rPr>
          <w:sz w:val="24"/>
          <w:lang w:val="en-US"/>
        </w:rPr>
        <w:t>TO DECLARE the Referral inadmissible</w:t>
      </w:r>
      <w:r w:rsidRPr="0013043F">
        <w:rPr>
          <w:bCs/>
          <w:sz w:val="24"/>
          <w:lang w:val="en-US"/>
        </w:rPr>
        <w:t>;</w:t>
      </w:r>
    </w:p>
    <w:p w:rsidR="00831B87" w:rsidRPr="0013043F" w:rsidRDefault="00831B87" w:rsidP="0051797C">
      <w:pPr>
        <w:tabs>
          <w:tab w:val="left" w:pos="1440"/>
        </w:tabs>
        <w:spacing w:line="240" w:lineRule="auto"/>
        <w:rPr>
          <w:bCs/>
          <w:sz w:val="24"/>
        </w:rPr>
      </w:pPr>
    </w:p>
    <w:p w:rsidR="00831B87" w:rsidRPr="0013043F" w:rsidRDefault="00831B87" w:rsidP="0051797C">
      <w:pPr>
        <w:pStyle w:val="ListParagraph"/>
        <w:numPr>
          <w:ilvl w:val="0"/>
          <w:numId w:val="41"/>
        </w:numPr>
        <w:tabs>
          <w:tab w:val="left" w:pos="1440"/>
        </w:tabs>
        <w:spacing w:line="240" w:lineRule="auto"/>
        <w:ind w:left="1418" w:hanging="608"/>
        <w:contextualSpacing/>
        <w:rPr>
          <w:bCs/>
          <w:sz w:val="24"/>
          <w:lang w:val="en-US"/>
        </w:rPr>
      </w:pPr>
      <w:r w:rsidRPr="0013043F">
        <w:rPr>
          <w:color w:val="000000"/>
          <w:sz w:val="24"/>
          <w:lang w:val="en-US"/>
        </w:rPr>
        <w:t>TO NOTIFY this Decision to the Parties</w:t>
      </w:r>
      <w:r w:rsidRPr="0013043F">
        <w:rPr>
          <w:sz w:val="24"/>
          <w:lang w:val="en-US"/>
        </w:rPr>
        <w:t xml:space="preserve">; </w:t>
      </w:r>
    </w:p>
    <w:p w:rsidR="00831B87" w:rsidRPr="0013043F" w:rsidRDefault="00831B87" w:rsidP="0051797C">
      <w:pPr>
        <w:pStyle w:val="ListParagraph"/>
        <w:tabs>
          <w:tab w:val="left" w:pos="1440"/>
        </w:tabs>
        <w:spacing w:line="240" w:lineRule="auto"/>
        <w:ind w:left="1418" w:hanging="608"/>
        <w:rPr>
          <w:color w:val="000000"/>
          <w:sz w:val="24"/>
          <w:lang w:val="en-US"/>
        </w:rPr>
      </w:pPr>
    </w:p>
    <w:p w:rsidR="00831B87" w:rsidRPr="0013043F" w:rsidRDefault="00831B87" w:rsidP="0051797C">
      <w:pPr>
        <w:pStyle w:val="ListParagraph"/>
        <w:numPr>
          <w:ilvl w:val="0"/>
          <w:numId w:val="41"/>
        </w:numPr>
        <w:tabs>
          <w:tab w:val="left" w:pos="1440"/>
        </w:tabs>
        <w:spacing w:line="240" w:lineRule="auto"/>
        <w:ind w:left="1418" w:hanging="608"/>
        <w:contextualSpacing/>
        <w:rPr>
          <w:bCs/>
          <w:sz w:val="24"/>
          <w:lang w:val="en-US"/>
        </w:rPr>
      </w:pPr>
      <w:r w:rsidRPr="0013043F">
        <w:rPr>
          <w:color w:val="000000"/>
          <w:sz w:val="24"/>
          <w:lang w:val="en-US"/>
        </w:rPr>
        <w:t>TO PUBLISH this Decision in the Official Gazette in accordance with Article 20.4 of the Law</w:t>
      </w:r>
      <w:r w:rsidRPr="0013043F">
        <w:rPr>
          <w:sz w:val="24"/>
          <w:lang w:val="en-US"/>
        </w:rPr>
        <w:t xml:space="preserve">; </w:t>
      </w:r>
    </w:p>
    <w:p w:rsidR="00831B87" w:rsidRPr="0013043F" w:rsidRDefault="00831B87" w:rsidP="0051797C">
      <w:pPr>
        <w:pStyle w:val="ListParagraph"/>
        <w:tabs>
          <w:tab w:val="left" w:pos="1440"/>
        </w:tabs>
        <w:spacing w:line="240" w:lineRule="auto"/>
        <w:ind w:left="1418" w:hanging="608"/>
        <w:rPr>
          <w:color w:val="000000"/>
          <w:sz w:val="24"/>
          <w:lang w:val="en-US"/>
        </w:rPr>
      </w:pPr>
    </w:p>
    <w:p w:rsidR="00831B87" w:rsidRPr="0013043F" w:rsidRDefault="00831B87" w:rsidP="0051797C">
      <w:pPr>
        <w:pStyle w:val="ListParagraph"/>
        <w:numPr>
          <w:ilvl w:val="0"/>
          <w:numId w:val="41"/>
        </w:numPr>
        <w:tabs>
          <w:tab w:val="left" w:pos="1440"/>
        </w:tabs>
        <w:spacing w:line="240" w:lineRule="auto"/>
        <w:ind w:left="1418" w:hanging="608"/>
        <w:contextualSpacing/>
        <w:rPr>
          <w:bCs/>
          <w:sz w:val="24"/>
          <w:lang w:val="en-US"/>
        </w:rPr>
      </w:pPr>
      <w:r w:rsidRPr="0013043F">
        <w:rPr>
          <w:color w:val="000000"/>
          <w:sz w:val="24"/>
          <w:lang w:val="en-US"/>
        </w:rPr>
        <w:t>This Decision is effective immediately</w:t>
      </w:r>
      <w:r w:rsidRPr="0013043F">
        <w:rPr>
          <w:sz w:val="24"/>
          <w:lang w:val="en-US"/>
        </w:rPr>
        <w:t>.</w:t>
      </w:r>
    </w:p>
    <w:p w:rsidR="00391D8E" w:rsidRPr="0013043F" w:rsidRDefault="00391D8E" w:rsidP="0051797C">
      <w:pPr>
        <w:spacing w:line="240" w:lineRule="auto"/>
        <w:ind w:left="720"/>
        <w:jc w:val="center"/>
        <w:rPr>
          <w:sz w:val="24"/>
        </w:rPr>
      </w:pPr>
    </w:p>
    <w:p w:rsidR="00391D8E" w:rsidRPr="0013043F" w:rsidRDefault="00391D8E" w:rsidP="0051797C">
      <w:pPr>
        <w:spacing w:line="240" w:lineRule="auto"/>
        <w:rPr>
          <w:sz w:val="24"/>
        </w:rPr>
      </w:pPr>
    </w:p>
    <w:p w:rsidR="00391D8E" w:rsidRPr="0013043F" w:rsidRDefault="00391D8E" w:rsidP="0051797C">
      <w:pPr>
        <w:spacing w:line="240" w:lineRule="auto"/>
        <w:rPr>
          <w:sz w:val="24"/>
        </w:rPr>
      </w:pPr>
    </w:p>
    <w:p w:rsidR="00391D8E" w:rsidRPr="0013043F" w:rsidRDefault="00391D8E" w:rsidP="0051797C">
      <w:pPr>
        <w:spacing w:line="240" w:lineRule="auto"/>
        <w:rPr>
          <w:sz w:val="24"/>
        </w:rPr>
      </w:pPr>
    </w:p>
    <w:p w:rsidR="00391D8E" w:rsidRPr="0013043F" w:rsidRDefault="00391D8E" w:rsidP="0051797C">
      <w:pPr>
        <w:spacing w:line="240" w:lineRule="auto"/>
        <w:rPr>
          <w:sz w:val="24"/>
        </w:rPr>
      </w:pPr>
    </w:p>
    <w:p w:rsidR="00831B87" w:rsidRPr="0013043F" w:rsidRDefault="00831B87" w:rsidP="0051797C">
      <w:pPr>
        <w:spacing w:line="240" w:lineRule="auto"/>
        <w:rPr>
          <w:b/>
          <w:color w:val="000000"/>
          <w:sz w:val="24"/>
        </w:rPr>
      </w:pPr>
      <w:r w:rsidRPr="0013043F">
        <w:rPr>
          <w:b/>
          <w:color w:val="000000"/>
          <w:sz w:val="24"/>
        </w:rPr>
        <w:t>Judge Rapporteur</w:t>
      </w:r>
      <w:r w:rsidR="0051797C">
        <w:rPr>
          <w:b/>
          <w:color w:val="000000"/>
          <w:sz w:val="24"/>
        </w:rPr>
        <w:t xml:space="preserve"> </w:t>
      </w:r>
      <w:r w:rsidRPr="0013043F">
        <w:rPr>
          <w:b/>
          <w:color w:val="000000"/>
          <w:sz w:val="24"/>
        </w:rPr>
        <w:tab/>
      </w:r>
      <w:r w:rsidR="00BE3019">
        <w:rPr>
          <w:b/>
          <w:color w:val="000000"/>
          <w:sz w:val="24"/>
        </w:rPr>
        <w:tab/>
      </w:r>
      <w:r w:rsidR="0051797C">
        <w:rPr>
          <w:b/>
          <w:color w:val="000000"/>
          <w:sz w:val="24"/>
        </w:rPr>
        <w:tab/>
      </w:r>
      <w:r w:rsidRPr="0013043F">
        <w:rPr>
          <w:b/>
          <w:color w:val="000000"/>
          <w:sz w:val="24"/>
        </w:rPr>
        <w:t>President of the Constitutional Court</w:t>
      </w:r>
    </w:p>
    <w:p w:rsidR="00391D8E" w:rsidRPr="0013043F" w:rsidRDefault="00391D8E" w:rsidP="0051797C">
      <w:pPr>
        <w:spacing w:line="240" w:lineRule="auto"/>
        <w:rPr>
          <w:sz w:val="24"/>
        </w:rPr>
      </w:pPr>
    </w:p>
    <w:p w:rsidR="00391D8E" w:rsidRPr="0013043F" w:rsidRDefault="00391D8E" w:rsidP="0051797C">
      <w:pPr>
        <w:spacing w:line="240" w:lineRule="auto"/>
        <w:rPr>
          <w:sz w:val="24"/>
        </w:rPr>
      </w:pPr>
    </w:p>
    <w:p w:rsidR="00391D8E" w:rsidRPr="0013043F" w:rsidRDefault="00391D8E" w:rsidP="0051797C">
      <w:pPr>
        <w:spacing w:line="240" w:lineRule="auto"/>
        <w:rPr>
          <w:sz w:val="24"/>
        </w:rPr>
      </w:pPr>
    </w:p>
    <w:p w:rsidR="0030592D" w:rsidRPr="0013043F" w:rsidRDefault="0030592D" w:rsidP="0051797C">
      <w:pPr>
        <w:spacing w:line="240" w:lineRule="auto"/>
        <w:rPr>
          <w:sz w:val="24"/>
        </w:rPr>
      </w:pPr>
    </w:p>
    <w:p w:rsidR="00E66B35" w:rsidRDefault="00E633E6" w:rsidP="0051797C">
      <w:pPr>
        <w:spacing w:line="240" w:lineRule="auto"/>
        <w:rPr>
          <w:sz w:val="24"/>
        </w:rPr>
      </w:pPr>
      <w:r w:rsidRPr="0013043F">
        <w:rPr>
          <w:sz w:val="24"/>
        </w:rPr>
        <w:t>Bekim Sejdiu</w:t>
      </w:r>
      <w:r w:rsidR="0051797C">
        <w:rPr>
          <w:sz w:val="24"/>
        </w:rPr>
        <w:t xml:space="preserve"> </w:t>
      </w:r>
      <w:r w:rsidR="00391D8E" w:rsidRPr="0013043F">
        <w:rPr>
          <w:sz w:val="24"/>
        </w:rPr>
        <w:tab/>
      </w:r>
      <w:r w:rsidR="00391D8E" w:rsidRPr="0013043F">
        <w:rPr>
          <w:sz w:val="24"/>
        </w:rPr>
        <w:tab/>
        <w:t xml:space="preserve"> </w:t>
      </w:r>
      <w:r w:rsidR="00391D8E" w:rsidRPr="0013043F">
        <w:rPr>
          <w:sz w:val="24"/>
        </w:rPr>
        <w:tab/>
      </w:r>
      <w:r w:rsidR="00391D8E" w:rsidRPr="0013043F">
        <w:rPr>
          <w:sz w:val="24"/>
        </w:rPr>
        <w:tab/>
        <w:t>Arta Rama-Hajrizi</w:t>
      </w:r>
    </w:p>
    <w:p w:rsidR="00E66B35" w:rsidRPr="00E66B35" w:rsidRDefault="00E66B35" w:rsidP="0051797C">
      <w:pPr>
        <w:spacing w:line="240" w:lineRule="auto"/>
        <w:rPr>
          <w:sz w:val="24"/>
        </w:rPr>
      </w:pPr>
    </w:p>
    <w:p w:rsidR="00E66B35" w:rsidRPr="00DC0A43" w:rsidRDefault="00E66B35" w:rsidP="0051797C">
      <w:pPr>
        <w:spacing w:line="240" w:lineRule="auto"/>
        <w:rPr>
          <w:sz w:val="24"/>
        </w:rPr>
      </w:pPr>
    </w:p>
    <w:p w:rsidR="00E66B35" w:rsidRDefault="00E66B35" w:rsidP="0051797C">
      <w:pPr>
        <w:spacing w:line="240" w:lineRule="auto"/>
        <w:rPr>
          <w:sz w:val="24"/>
        </w:rPr>
      </w:pPr>
    </w:p>
    <w:p w:rsidR="0051797C" w:rsidRDefault="0051797C" w:rsidP="0051797C">
      <w:pPr>
        <w:spacing w:line="240" w:lineRule="auto"/>
        <w:rPr>
          <w:sz w:val="24"/>
        </w:rPr>
      </w:pPr>
    </w:p>
    <w:p w:rsidR="0051797C" w:rsidRDefault="0051797C" w:rsidP="0051797C">
      <w:pPr>
        <w:spacing w:line="240" w:lineRule="auto"/>
        <w:rPr>
          <w:sz w:val="24"/>
        </w:rPr>
      </w:pPr>
    </w:p>
    <w:p w:rsidR="0051797C" w:rsidRDefault="0051797C" w:rsidP="0051797C">
      <w:pPr>
        <w:spacing w:line="240" w:lineRule="auto"/>
        <w:rPr>
          <w:sz w:val="24"/>
        </w:rPr>
      </w:pPr>
    </w:p>
    <w:p w:rsidR="0051797C" w:rsidRDefault="0051797C" w:rsidP="0051797C">
      <w:pPr>
        <w:spacing w:line="240" w:lineRule="auto"/>
        <w:rPr>
          <w:sz w:val="24"/>
        </w:rPr>
      </w:pPr>
    </w:p>
    <w:p w:rsidR="0051797C" w:rsidRDefault="0051797C" w:rsidP="0051797C">
      <w:pPr>
        <w:spacing w:line="240" w:lineRule="auto"/>
        <w:rPr>
          <w:sz w:val="24"/>
        </w:rPr>
      </w:pPr>
    </w:p>
    <w:p w:rsidR="0051797C" w:rsidRDefault="0051797C" w:rsidP="0051797C">
      <w:pPr>
        <w:spacing w:line="240" w:lineRule="auto"/>
        <w:rPr>
          <w:sz w:val="24"/>
        </w:rPr>
      </w:pPr>
    </w:p>
    <w:p w:rsidR="0051797C" w:rsidRDefault="0051797C" w:rsidP="0051797C">
      <w:pPr>
        <w:spacing w:line="240" w:lineRule="auto"/>
        <w:rPr>
          <w:sz w:val="24"/>
        </w:rPr>
      </w:pPr>
    </w:p>
    <w:p w:rsidR="0051797C" w:rsidRDefault="0051797C" w:rsidP="0051797C">
      <w:pPr>
        <w:spacing w:line="240" w:lineRule="auto"/>
        <w:rPr>
          <w:sz w:val="24"/>
        </w:rPr>
      </w:pPr>
    </w:p>
    <w:p w:rsidR="0051797C" w:rsidRDefault="0051797C" w:rsidP="0051797C">
      <w:pPr>
        <w:spacing w:line="240" w:lineRule="auto"/>
        <w:rPr>
          <w:sz w:val="24"/>
        </w:rPr>
      </w:pPr>
    </w:p>
    <w:p w:rsidR="0051797C" w:rsidRDefault="0051797C" w:rsidP="0051797C">
      <w:pPr>
        <w:spacing w:line="240" w:lineRule="auto"/>
        <w:rPr>
          <w:sz w:val="24"/>
        </w:rPr>
      </w:pPr>
    </w:p>
    <w:p w:rsidR="0051797C" w:rsidRDefault="0051797C" w:rsidP="0051797C">
      <w:pPr>
        <w:spacing w:line="240" w:lineRule="auto"/>
        <w:rPr>
          <w:sz w:val="24"/>
        </w:rPr>
      </w:pPr>
    </w:p>
    <w:p w:rsidR="0051797C" w:rsidRPr="0051797C" w:rsidRDefault="0051797C" w:rsidP="0051797C">
      <w:pPr>
        <w:spacing w:line="240" w:lineRule="auto"/>
        <w:rPr>
          <w:sz w:val="24"/>
        </w:rPr>
      </w:pPr>
    </w:p>
    <w:p w:rsidR="00E66B35" w:rsidRPr="0051797C" w:rsidRDefault="00E66B35" w:rsidP="0051797C">
      <w:pPr>
        <w:spacing w:line="240" w:lineRule="auto"/>
        <w:rPr>
          <w:sz w:val="24"/>
        </w:rPr>
      </w:pPr>
    </w:p>
    <w:p w:rsidR="00E66B35" w:rsidRPr="0051797C" w:rsidRDefault="00E66B35" w:rsidP="0051797C">
      <w:pPr>
        <w:spacing w:line="240" w:lineRule="auto"/>
        <w:rPr>
          <w:sz w:val="24"/>
        </w:rPr>
      </w:pPr>
    </w:p>
    <w:p w:rsidR="00E66B35" w:rsidRDefault="00E66B35" w:rsidP="0051797C">
      <w:pPr>
        <w:spacing w:line="240" w:lineRule="auto"/>
        <w:rPr>
          <w:sz w:val="24"/>
        </w:rPr>
      </w:pPr>
    </w:p>
    <w:p w:rsidR="00E66B35" w:rsidRPr="0084698D" w:rsidRDefault="00E66B35" w:rsidP="0051797C">
      <w:pPr>
        <w:spacing w:line="240" w:lineRule="auto"/>
        <w:jc w:val="center"/>
        <w:rPr>
          <w:rFonts w:ascii="Times New Roman" w:hAnsi="Times New Roman"/>
          <w:b/>
          <w:bCs/>
          <w:i/>
          <w:sz w:val="24"/>
        </w:rPr>
      </w:pPr>
      <w:r w:rsidRPr="0084698D">
        <w:rPr>
          <w:rFonts w:ascii="Times New Roman" w:hAnsi="Times New Roman"/>
          <w:b/>
          <w:bCs/>
          <w:i/>
          <w:sz w:val="24"/>
        </w:rPr>
        <w:t>This translation is unofficial and serves for informational purposes only.</w:t>
      </w:r>
    </w:p>
    <w:p w:rsidR="003C4A50" w:rsidRPr="00E66B35" w:rsidRDefault="003C4A50" w:rsidP="0051797C">
      <w:pPr>
        <w:tabs>
          <w:tab w:val="left" w:pos="1605"/>
        </w:tabs>
        <w:spacing w:line="240" w:lineRule="auto"/>
        <w:rPr>
          <w:sz w:val="24"/>
        </w:rPr>
      </w:pPr>
    </w:p>
    <w:sectPr w:rsidR="003C4A50" w:rsidRPr="00E66B35" w:rsidSect="00E049BF">
      <w:footerReference w:type="default" r:id="rId8"/>
      <w:headerReference w:type="first" r:id="rId9"/>
      <w:footerReference w:type="first" r:id="rId10"/>
      <w:pgSz w:w="11907" w:h="16840" w:code="9"/>
      <w:pgMar w:top="1152" w:right="1152" w:bottom="1152" w:left="1440" w:header="1138" w:footer="6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C02" w:rsidRDefault="001D5C02" w:rsidP="0013536C">
      <w:pPr>
        <w:spacing w:line="240" w:lineRule="auto"/>
      </w:pPr>
      <w:r>
        <w:separator/>
      </w:r>
    </w:p>
  </w:endnote>
  <w:endnote w:type="continuationSeparator" w:id="0">
    <w:p w:rsidR="001D5C02" w:rsidRDefault="001D5C02" w:rsidP="00135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auto"/>
    <w:pitch w:val="fixed"/>
    <w:sig w:usb0="00000001" w:usb1="09060000" w:usb2="00000010" w:usb3="00000000" w:csb0="0008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9F2" w:rsidRDefault="007D09F2">
    <w:pPr>
      <w:pStyle w:val="Footer"/>
      <w:jc w:val="center"/>
    </w:pPr>
    <w:r>
      <w:fldChar w:fldCharType="begin"/>
    </w:r>
    <w:r>
      <w:instrText xml:space="preserve"> PAGE   \* MERGEFORMAT </w:instrText>
    </w:r>
    <w:r>
      <w:fldChar w:fldCharType="separate"/>
    </w:r>
    <w:r w:rsidR="00803CDA">
      <w:rPr>
        <w:noProof/>
      </w:rPr>
      <w:t>2</w:t>
    </w:r>
    <w:r>
      <w:rPr>
        <w:noProof/>
      </w:rPr>
      <w:fldChar w:fldCharType="end"/>
    </w:r>
  </w:p>
  <w:p w:rsidR="007D09F2" w:rsidRPr="00E924CE" w:rsidRDefault="007D09F2" w:rsidP="008820E7">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9F2" w:rsidRDefault="007D09F2" w:rsidP="006B260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C02" w:rsidRDefault="001D5C02" w:rsidP="0013536C">
      <w:pPr>
        <w:spacing w:line="240" w:lineRule="auto"/>
      </w:pPr>
      <w:r>
        <w:separator/>
      </w:r>
    </w:p>
  </w:footnote>
  <w:footnote w:type="continuationSeparator" w:id="0">
    <w:p w:rsidR="001D5C02" w:rsidRDefault="001D5C02" w:rsidP="001353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9F2" w:rsidRDefault="007D09F2" w:rsidP="006B2608">
    <w:pPr>
      <w:pStyle w:val="Heade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2049" type="#_x0000_t75" alt="llogo_vendimet" style="position:absolute;left:0;text-align:left;margin-left:1.25pt;margin-top:-33.95pt;width:465.65pt;height:138.15pt;z-index:1;visibility:visible">
          <v:imagedata r:id="rId1" o:title=""/>
          <w10:wrap type="square"/>
        </v:shape>
      </w:pict>
    </w:r>
  </w:p>
  <w:p w:rsidR="007D09F2" w:rsidRDefault="007D09F2">
    <w:pPr>
      <w:pStyle w:val="Header"/>
    </w:pPr>
  </w:p>
  <w:p w:rsidR="007D09F2" w:rsidRDefault="007D09F2">
    <w:pPr>
      <w:pStyle w:val="Header"/>
    </w:pPr>
  </w:p>
  <w:p w:rsidR="007D09F2" w:rsidRDefault="007D09F2">
    <w:pPr>
      <w:pStyle w:val="Header"/>
    </w:pPr>
  </w:p>
  <w:p w:rsidR="007D09F2" w:rsidRDefault="007D09F2">
    <w:pPr>
      <w:pStyle w:val="Header"/>
    </w:pPr>
  </w:p>
  <w:p w:rsidR="007D09F2" w:rsidRDefault="007D09F2">
    <w:pPr>
      <w:pStyle w:val="Header"/>
    </w:pPr>
  </w:p>
  <w:p w:rsidR="007D09F2" w:rsidRDefault="007D09F2">
    <w:pPr>
      <w:pStyle w:val="Header"/>
    </w:pPr>
  </w:p>
  <w:p w:rsidR="007D09F2" w:rsidRDefault="007D09F2" w:rsidP="006B2608">
    <w:pPr>
      <w:pStyle w:val="Header"/>
      <w:tabs>
        <w:tab w:val="clear" w:pos="4320"/>
        <w:tab w:val="clear" w:pos="8640"/>
        <w:tab w:val="left" w:pos="519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214"/>
    <w:multiLevelType w:val="hybridMultilevel"/>
    <w:tmpl w:val="CFAEFF0E"/>
    <w:lvl w:ilvl="0" w:tplc="5A223FC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FE75FF"/>
    <w:multiLevelType w:val="multilevel"/>
    <w:tmpl w:val="B80E721C"/>
    <w:lvl w:ilvl="0">
      <w:start w:val="1"/>
      <w:numFmt w:val="decimal"/>
      <w:lvlText w:val="%1."/>
      <w:lvlJc w:val="left"/>
      <w:pPr>
        <w:ind w:left="720" w:hanging="360"/>
      </w:pPr>
      <w:rPr>
        <w:rFonts w:ascii="Georgia" w:hAnsi="Georgia" w:hint="default"/>
        <w:b w:val="0"/>
        <w:i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D3668D"/>
    <w:multiLevelType w:val="multilevel"/>
    <w:tmpl w:val="B80E721C"/>
    <w:lvl w:ilvl="0">
      <w:start w:val="1"/>
      <w:numFmt w:val="decimal"/>
      <w:lvlText w:val="%1."/>
      <w:lvlJc w:val="left"/>
      <w:pPr>
        <w:ind w:left="720" w:hanging="360"/>
      </w:pPr>
      <w:rPr>
        <w:rFonts w:ascii="Georgia" w:hAnsi="Georgia" w:hint="default"/>
        <w:b w:val="0"/>
        <w:i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EF044B7"/>
    <w:multiLevelType w:val="hybridMultilevel"/>
    <w:tmpl w:val="42FC519A"/>
    <w:lvl w:ilvl="0" w:tplc="0409000F">
      <w:start w:val="1"/>
      <w:numFmt w:val="decimal"/>
      <w:lvlText w:val="%1."/>
      <w:lvlJc w:val="left"/>
      <w:pPr>
        <w:ind w:left="5400" w:hanging="36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18704681"/>
    <w:multiLevelType w:val="hybridMultilevel"/>
    <w:tmpl w:val="C3AAFD46"/>
    <w:lvl w:ilvl="0" w:tplc="332C89DE">
      <w:start w:val="23"/>
      <w:numFmt w:val="decimal"/>
      <w:lvlText w:val="%1"/>
      <w:lvlJc w:val="left"/>
      <w:pPr>
        <w:ind w:left="2070" w:hanging="360"/>
      </w:pPr>
      <w:rPr>
        <w:rFonts w:cs="Arial" w:hint="default"/>
        <w:color w:val="auto"/>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1D4179B6"/>
    <w:multiLevelType w:val="hybridMultilevel"/>
    <w:tmpl w:val="0F84A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6032A"/>
    <w:multiLevelType w:val="hybridMultilevel"/>
    <w:tmpl w:val="099ABCFA"/>
    <w:lvl w:ilvl="0" w:tplc="C64CE328">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0C55D5C"/>
    <w:multiLevelType w:val="hybridMultilevel"/>
    <w:tmpl w:val="5C547C7C"/>
    <w:lvl w:ilvl="0" w:tplc="A030E69E">
      <w:start w:val="1"/>
      <w:numFmt w:val="decimal"/>
      <w:pStyle w:val="Heading1"/>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45CC02D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E37B66"/>
    <w:multiLevelType w:val="hybridMultilevel"/>
    <w:tmpl w:val="DB62D160"/>
    <w:lvl w:ilvl="0" w:tplc="91560F98">
      <w:start w:val="1"/>
      <w:numFmt w:val="lowerRoman"/>
      <w:lvlText w:val="(%1)"/>
      <w:lvlJc w:val="left"/>
      <w:pPr>
        <w:ind w:left="1354" w:hanging="720"/>
      </w:pPr>
      <w:rPr>
        <w:rFonts w:hint="default"/>
        <w:i/>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9" w15:restartNumberingAfterBreak="0">
    <w:nsid w:val="246D3589"/>
    <w:multiLevelType w:val="hybridMultilevel"/>
    <w:tmpl w:val="13A856AA"/>
    <w:lvl w:ilvl="0" w:tplc="3DC6603A">
      <w:start w:val="1"/>
      <w:numFmt w:val="upperRoman"/>
      <w:lvlText w:val="%1."/>
      <w:lvlJc w:val="left"/>
      <w:pPr>
        <w:ind w:left="1571" w:hanging="72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25B00FE4"/>
    <w:multiLevelType w:val="hybridMultilevel"/>
    <w:tmpl w:val="7E4E05A0"/>
    <w:lvl w:ilvl="0" w:tplc="73028986">
      <w:start w:val="1"/>
      <w:numFmt w:val="decimal"/>
      <w:lvlText w:val="%1."/>
      <w:lvlJc w:val="left"/>
      <w:pPr>
        <w:tabs>
          <w:tab w:val="num" w:pos="1080"/>
        </w:tabs>
        <w:ind w:left="1080" w:hanging="720"/>
      </w:pPr>
      <w:rPr>
        <w:rFonts w:hint="default"/>
        <w:b w:val="0"/>
        <w:bCs w:val="0"/>
        <w:i w:val="0"/>
        <w:iCs w:val="0"/>
        <w:color w:val="auto"/>
      </w:rPr>
    </w:lvl>
    <w:lvl w:ilvl="1" w:tplc="0CEAF15E">
      <w:start w:val="1"/>
      <w:numFmt w:val="lowerLetter"/>
      <w:lvlText w:val="%2."/>
      <w:lvlJc w:val="left"/>
      <w:pPr>
        <w:tabs>
          <w:tab w:val="num" w:pos="1440"/>
        </w:tabs>
        <w:ind w:left="1440" w:hanging="360"/>
      </w:pPr>
      <w:rPr>
        <w:i w:val="0"/>
      </w:rPr>
    </w:lvl>
    <w:lvl w:ilvl="2" w:tplc="0409000F">
      <w:start w:val="1"/>
      <w:numFmt w:val="decimal"/>
      <w:lvlText w:val="%3."/>
      <w:lvlJc w:val="left"/>
      <w:pPr>
        <w:tabs>
          <w:tab w:val="num" w:pos="2340"/>
        </w:tabs>
        <w:ind w:left="2340" w:hanging="360"/>
      </w:pPr>
      <w:rPr>
        <w:rFonts w:hint="default"/>
        <w:i w:val="0"/>
        <w:iCs w:val="0"/>
      </w:rPr>
    </w:lvl>
    <w:lvl w:ilvl="3" w:tplc="CCAA197A">
      <w:start w:val="1"/>
      <w:numFmt w:val="lowerRoman"/>
      <w:lvlText w:val="(%4)"/>
      <w:lvlJc w:val="left"/>
      <w:pPr>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CD775C"/>
    <w:multiLevelType w:val="hybridMultilevel"/>
    <w:tmpl w:val="676875A8"/>
    <w:lvl w:ilvl="0" w:tplc="52FE5CD4">
      <w:start w:val="1"/>
      <w:numFmt w:val="decimal"/>
      <w:lvlText w:val="%1."/>
      <w:lvlJc w:val="left"/>
      <w:pPr>
        <w:tabs>
          <w:tab w:val="num" w:pos="360"/>
        </w:tabs>
        <w:ind w:left="360" w:hanging="360"/>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8E35A19"/>
    <w:multiLevelType w:val="multilevel"/>
    <w:tmpl w:val="B80E721C"/>
    <w:lvl w:ilvl="0">
      <w:start w:val="1"/>
      <w:numFmt w:val="decimal"/>
      <w:lvlText w:val="%1."/>
      <w:lvlJc w:val="left"/>
      <w:pPr>
        <w:ind w:left="720" w:hanging="360"/>
      </w:pPr>
      <w:rPr>
        <w:rFonts w:ascii="Georgia" w:hAnsi="Georgia" w:hint="default"/>
        <w:b w:val="0"/>
        <w:i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9FD0D75"/>
    <w:multiLevelType w:val="hybridMultilevel"/>
    <w:tmpl w:val="7CB002AA"/>
    <w:lvl w:ilvl="0" w:tplc="1BB0788E">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6B08D5"/>
    <w:multiLevelType w:val="hybridMultilevel"/>
    <w:tmpl w:val="46F6AF46"/>
    <w:lvl w:ilvl="0" w:tplc="D61A27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C86FA1"/>
    <w:multiLevelType w:val="multilevel"/>
    <w:tmpl w:val="B80E721C"/>
    <w:lvl w:ilvl="0">
      <w:start w:val="1"/>
      <w:numFmt w:val="decimal"/>
      <w:lvlText w:val="%1."/>
      <w:lvlJc w:val="left"/>
      <w:pPr>
        <w:ind w:left="720" w:hanging="360"/>
      </w:pPr>
      <w:rPr>
        <w:rFonts w:ascii="Georgia" w:hAnsi="Georgia" w:hint="default"/>
        <w:b w:val="0"/>
        <w:i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CC40ADA"/>
    <w:multiLevelType w:val="hybridMultilevel"/>
    <w:tmpl w:val="D556EAD6"/>
    <w:lvl w:ilvl="0" w:tplc="9F1A1B46">
      <w:start w:val="1"/>
      <w:numFmt w:val="decimal"/>
      <w:lvlText w:val="%1."/>
      <w:lvlJc w:val="left"/>
      <w:pPr>
        <w:ind w:left="720" w:hanging="360"/>
      </w:pPr>
      <w:rPr>
        <w:rFonts w:ascii="Georgia" w:hAnsi="Georgia"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3720B"/>
    <w:multiLevelType w:val="multilevel"/>
    <w:tmpl w:val="B80E721C"/>
    <w:lvl w:ilvl="0">
      <w:start w:val="1"/>
      <w:numFmt w:val="decimal"/>
      <w:lvlText w:val="%1."/>
      <w:lvlJc w:val="left"/>
      <w:pPr>
        <w:ind w:left="720" w:hanging="360"/>
      </w:pPr>
      <w:rPr>
        <w:rFonts w:ascii="Georgia" w:hAnsi="Georgia" w:hint="default"/>
        <w:b w:val="0"/>
        <w:i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C6B0D93"/>
    <w:multiLevelType w:val="hybridMultilevel"/>
    <w:tmpl w:val="04EC3274"/>
    <w:lvl w:ilvl="0" w:tplc="FCDC35E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EEF0C3F"/>
    <w:multiLevelType w:val="hybridMultilevel"/>
    <w:tmpl w:val="61D6B8B0"/>
    <w:lvl w:ilvl="0" w:tplc="2FDC61F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6627A"/>
    <w:multiLevelType w:val="hybridMultilevel"/>
    <w:tmpl w:val="B3401A76"/>
    <w:lvl w:ilvl="0" w:tplc="7EAABBF2">
      <w:start w:val="1"/>
      <w:numFmt w:val="lowerLetter"/>
      <w:lvlText w:val="%1)"/>
      <w:lvlJc w:val="left"/>
      <w:pPr>
        <w:ind w:left="994" w:hanging="360"/>
      </w:pPr>
      <w:rPr>
        <w:rFonts w:hint="default"/>
        <w:i/>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1" w15:restartNumberingAfterBreak="0">
    <w:nsid w:val="410E7B47"/>
    <w:multiLevelType w:val="hybridMultilevel"/>
    <w:tmpl w:val="25EAD3CA"/>
    <w:lvl w:ilvl="0" w:tplc="0352DDF2">
      <w:start w:val="1"/>
      <w:numFmt w:val="decimal"/>
      <w:lvlText w:val="%1."/>
      <w:lvlJc w:val="left"/>
      <w:pPr>
        <w:tabs>
          <w:tab w:val="num" w:pos="1080"/>
        </w:tabs>
        <w:ind w:left="108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143327"/>
    <w:multiLevelType w:val="hybridMultilevel"/>
    <w:tmpl w:val="2E700ACC"/>
    <w:lvl w:ilvl="0" w:tplc="8B4459C8">
      <w:start w:val="37"/>
      <w:numFmt w:val="decimal"/>
      <w:lvlText w:val="%1."/>
      <w:lvlJc w:val="left"/>
      <w:pPr>
        <w:ind w:left="720" w:hanging="360"/>
      </w:pPr>
      <w:rPr>
        <w:rFonts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5B70B4"/>
    <w:multiLevelType w:val="hybridMultilevel"/>
    <w:tmpl w:val="79006C0C"/>
    <w:lvl w:ilvl="0" w:tplc="BA8E4A6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474A350F"/>
    <w:multiLevelType w:val="hybridMultilevel"/>
    <w:tmpl w:val="A31ABFE4"/>
    <w:lvl w:ilvl="0" w:tplc="3F9A4488">
      <w:start w:val="2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F6F0A"/>
    <w:multiLevelType w:val="hybridMultilevel"/>
    <w:tmpl w:val="7F96101E"/>
    <w:lvl w:ilvl="0" w:tplc="21B8DD0E">
      <w:start w:val="1"/>
      <w:numFmt w:val="decimal"/>
      <w:lvlText w:val="%1."/>
      <w:lvlJc w:val="left"/>
      <w:pPr>
        <w:ind w:left="63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6717616"/>
    <w:multiLevelType w:val="hybridMultilevel"/>
    <w:tmpl w:val="FEF2103E"/>
    <w:lvl w:ilvl="0" w:tplc="375E7CD2">
      <w:start w:val="1"/>
      <w:numFmt w:val="bullet"/>
      <w:lvlText w:val="-"/>
      <w:lvlJc w:val="left"/>
      <w:pPr>
        <w:ind w:left="360" w:hanging="360"/>
      </w:pPr>
      <w:rPr>
        <w:rFonts w:ascii="Georgia" w:eastAsia="Times New Roman" w:hAnsi="Georgi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7" w15:restartNumberingAfterBreak="0">
    <w:nsid w:val="5E827D95"/>
    <w:multiLevelType w:val="hybridMultilevel"/>
    <w:tmpl w:val="8F6A7444"/>
    <w:lvl w:ilvl="0" w:tplc="F5F8C288">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E82D9F"/>
    <w:multiLevelType w:val="multilevel"/>
    <w:tmpl w:val="B80E721C"/>
    <w:lvl w:ilvl="0">
      <w:start w:val="1"/>
      <w:numFmt w:val="decimal"/>
      <w:lvlText w:val="%1."/>
      <w:lvlJc w:val="left"/>
      <w:pPr>
        <w:ind w:left="720" w:hanging="360"/>
      </w:pPr>
      <w:rPr>
        <w:rFonts w:ascii="Georgia" w:hAnsi="Georgia" w:hint="default"/>
        <w:b w:val="0"/>
        <w:i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173351B"/>
    <w:multiLevelType w:val="hybridMultilevel"/>
    <w:tmpl w:val="D778D022"/>
    <w:lvl w:ilvl="0" w:tplc="26A28B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045C0"/>
    <w:multiLevelType w:val="hybridMultilevel"/>
    <w:tmpl w:val="B9183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D76DD"/>
    <w:multiLevelType w:val="hybridMultilevel"/>
    <w:tmpl w:val="A9989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B17346"/>
    <w:multiLevelType w:val="hybridMultilevel"/>
    <w:tmpl w:val="79120D6E"/>
    <w:lvl w:ilvl="0" w:tplc="69CC570A">
      <w:start w:val="37"/>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F6D64"/>
    <w:multiLevelType w:val="hybridMultilevel"/>
    <w:tmpl w:val="056EA06E"/>
    <w:lvl w:ilvl="0" w:tplc="CB4A8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6D755D"/>
    <w:multiLevelType w:val="hybridMultilevel"/>
    <w:tmpl w:val="88E42FD2"/>
    <w:lvl w:ilvl="0" w:tplc="FCC24170">
      <w:start w:val="9"/>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6C415A48"/>
    <w:multiLevelType w:val="multilevel"/>
    <w:tmpl w:val="B80E721C"/>
    <w:lvl w:ilvl="0">
      <w:start w:val="1"/>
      <w:numFmt w:val="decimal"/>
      <w:lvlText w:val="%1."/>
      <w:lvlJc w:val="left"/>
      <w:pPr>
        <w:ind w:left="720" w:hanging="360"/>
      </w:pPr>
      <w:rPr>
        <w:rFonts w:ascii="Georgia" w:hAnsi="Georgia" w:hint="default"/>
        <w:b w:val="0"/>
        <w:i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4E00210"/>
    <w:multiLevelType w:val="hybridMultilevel"/>
    <w:tmpl w:val="E898C81E"/>
    <w:lvl w:ilvl="0" w:tplc="71F4F60C">
      <w:start w:val="42"/>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C10D43"/>
    <w:multiLevelType w:val="hybridMultilevel"/>
    <w:tmpl w:val="8DDCC828"/>
    <w:lvl w:ilvl="0" w:tplc="91560F98">
      <w:start w:val="1"/>
      <w:numFmt w:val="lowerRoman"/>
      <w:lvlText w:val="(%1)"/>
      <w:lvlJc w:val="left"/>
      <w:pPr>
        <w:ind w:left="1354" w:hanging="720"/>
      </w:pPr>
      <w:rPr>
        <w:rFonts w:hint="default"/>
        <w:i/>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8" w15:restartNumberingAfterBreak="0">
    <w:nsid w:val="7AC4155C"/>
    <w:multiLevelType w:val="hybridMultilevel"/>
    <w:tmpl w:val="EF84644E"/>
    <w:lvl w:ilvl="0" w:tplc="3A30BFE2">
      <w:start w:val="1"/>
      <w:numFmt w:val="upp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9" w15:restartNumberingAfterBreak="0">
    <w:nsid w:val="7F6C2FEA"/>
    <w:multiLevelType w:val="hybridMultilevel"/>
    <w:tmpl w:val="E4C26730"/>
    <w:lvl w:ilvl="0" w:tplc="2F0C56DE">
      <w:start w:val="1"/>
      <w:numFmt w:val="decimal"/>
      <w:lvlText w:val="%1."/>
      <w:lvlJc w:val="left"/>
      <w:pPr>
        <w:tabs>
          <w:tab w:val="num" w:pos="360"/>
        </w:tabs>
        <w:ind w:left="360" w:hanging="360"/>
      </w:pPr>
      <w:rPr>
        <w:i w:val="0"/>
        <w:iCs w:val="0"/>
        <w:color w:val="auto"/>
      </w:rPr>
    </w:lvl>
    <w:lvl w:ilvl="1" w:tplc="04090017">
      <w:start w:val="1"/>
      <w:numFmt w:val="lowerLetter"/>
      <w:lvlText w:val="%2)"/>
      <w:lvlJc w:val="left"/>
      <w:pPr>
        <w:tabs>
          <w:tab w:val="num" w:pos="1800"/>
        </w:tabs>
        <w:ind w:left="1800" w:hanging="720"/>
      </w:pPr>
      <w:rPr>
        <w:rFonts w:hint="default"/>
      </w:rPr>
    </w:lvl>
    <w:lvl w:ilvl="2" w:tplc="CEC26746">
      <w:start w:val="1"/>
      <w:numFmt w:val="upp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i w:val="0"/>
        <w:i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9E2449"/>
    <w:multiLevelType w:val="hybridMultilevel"/>
    <w:tmpl w:val="D87CD0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7"/>
  </w:num>
  <w:num w:numId="3">
    <w:abstractNumId w:val="25"/>
  </w:num>
  <w:num w:numId="4">
    <w:abstractNumId w:val="11"/>
  </w:num>
  <w:num w:numId="5">
    <w:abstractNumId w:val="32"/>
  </w:num>
  <w:num w:numId="6">
    <w:abstractNumId w:val="39"/>
  </w:num>
  <w:num w:numId="7">
    <w:abstractNumId w:val="10"/>
  </w:num>
  <w:num w:numId="8">
    <w:abstractNumId w:val="3"/>
  </w:num>
  <w:num w:numId="9">
    <w:abstractNumId w:val="31"/>
  </w:num>
  <w:num w:numId="10">
    <w:abstractNumId w:val="36"/>
  </w:num>
  <w:num w:numId="11">
    <w:abstractNumId w:val="16"/>
  </w:num>
  <w:num w:numId="12">
    <w:abstractNumId w:val="29"/>
  </w:num>
  <w:num w:numId="13">
    <w:abstractNumId w:val="2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6"/>
  </w:num>
  <w:num w:numId="17">
    <w:abstractNumId w:val="34"/>
  </w:num>
  <w:num w:numId="18">
    <w:abstractNumId w:val="24"/>
  </w:num>
  <w:num w:numId="19">
    <w:abstractNumId w:val="5"/>
  </w:num>
  <w:num w:numId="20">
    <w:abstractNumId w:val="33"/>
  </w:num>
  <w:num w:numId="21">
    <w:abstractNumId w:val="40"/>
  </w:num>
  <w:num w:numId="22">
    <w:abstractNumId w:val="21"/>
  </w:num>
  <w:num w:numId="23">
    <w:abstractNumId w:val="4"/>
  </w:num>
  <w:num w:numId="24">
    <w:abstractNumId w:val="23"/>
  </w:num>
  <w:num w:numId="25">
    <w:abstractNumId w:val="2"/>
  </w:num>
  <w:num w:numId="26">
    <w:abstractNumId w:val="17"/>
  </w:num>
  <w:num w:numId="27">
    <w:abstractNumId w:val="8"/>
  </w:num>
  <w:num w:numId="28">
    <w:abstractNumId w:val="12"/>
  </w:num>
  <w:num w:numId="29">
    <w:abstractNumId w:val="15"/>
  </w:num>
  <w:num w:numId="30">
    <w:abstractNumId w:val="20"/>
  </w:num>
  <w:num w:numId="31">
    <w:abstractNumId w:val="14"/>
  </w:num>
  <w:num w:numId="32">
    <w:abstractNumId w:val="13"/>
  </w:num>
  <w:num w:numId="33">
    <w:abstractNumId w:val="0"/>
  </w:num>
  <w:num w:numId="34">
    <w:abstractNumId w:val="28"/>
  </w:num>
  <w:num w:numId="35">
    <w:abstractNumId w:val="37"/>
  </w:num>
  <w:num w:numId="36">
    <w:abstractNumId w:val="27"/>
  </w:num>
  <w:num w:numId="37">
    <w:abstractNumId w:val="35"/>
  </w:num>
  <w:num w:numId="38">
    <w:abstractNumId w:val="22"/>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795C"/>
    <w:rsid w:val="00000FA8"/>
    <w:rsid w:val="0000161C"/>
    <w:rsid w:val="000019BD"/>
    <w:rsid w:val="00001C20"/>
    <w:rsid w:val="00003BA4"/>
    <w:rsid w:val="00003DCA"/>
    <w:rsid w:val="00004407"/>
    <w:rsid w:val="000051B1"/>
    <w:rsid w:val="00005C86"/>
    <w:rsid w:val="00006D0D"/>
    <w:rsid w:val="000072D7"/>
    <w:rsid w:val="00010328"/>
    <w:rsid w:val="00012818"/>
    <w:rsid w:val="00013E24"/>
    <w:rsid w:val="00014BF7"/>
    <w:rsid w:val="00015D57"/>
    <w:rsid w:val="000166A1"/>
    <w:rsid w:val="000172AE"/>
    <w:rsid w:val="00017772"/>
    <w:rsid w:val="00017D12"/>
    <w:rsid w:val="00020ECC"/>
    <w:rsid w:val="000220B2"/>
    <w:rsid w:val="000221BD"/>
    <w:rsid w:val="0002235C"/>
    <w:rsid w:val="00022640"/>
    <w:rsid w:val="00023752"/>
    <w:rsid w:val="0002516F"/>
    <w:rsid w:val="0002768E"/>
    <w:rsid w:val="0002773D"/>
    <w:rsid w:val="00030251"/>
    <w:rsid w:val="00031982"/>
    <w:rsid w:val="00031F2F"/>
    <w:rsid w:val="000335EA"/>
    <w:rsid w:val="0003420C"/>
    <w:rsid w:val="0003539F"/>
    <w:rsid w:val="000401FA"/>
    <w:rsid w:val="000408CD"/>
    <w:rsid w:val="00040966"/>
    <w:rsid w:val="000409C7"/>
    <w:rsid w:val="00040B40"/>
    <w:rsid w:val="0004207F"/>
    <w:rsid w:val="000425E5"/>
    <w:rsid w:val="00043A3C"/>
    <w:rsid w:val="00045D1A"/>
    <w:rsid w:val="0005323F"/>
    <w:rsid w:val="000539F0"/>
    <w:rsid w:val="00057105"/>
    <w:rsid w:val="00057C5B"/>
    <w:rsid w:val="00060664"/>
    <w:rsid w:val="00060DD1"/>
    <w:rsid w:val="00060FE7"/>
    <w:rsid w:val="00061F23"/>
    <w:rsid w:val="0006586F"/>
    <w:rsid w:val="00065F82"/>
    <w:rsid w:val="000660CF"/>
    <w:rsid w:val="0007205F"/>
    <w:rsid w:val="0007369E"/>
    <w:rsid w:val="00074447"/>
    <w:rsid w:val="00074568"/>
    <w:rsid w:val="0007500A"/>
    <w:rsid w:val="00076A00"/>
    <w:rsid w:val="00076F52"/>
    <w:rsid w:val="00081E6A"/>
    <w:rsid w:val="00082A59"/>
    <w:rsid w:val="00083230"/>
    <w:rsid w:val="00086C17"/>
    <w:rsid w:val="00087912"/>
    <w:rsid w:val="00087CB3"/>
    <w:rsid w:val="00087E63"/>
    <w:rsid w:val="000961F2"/>
    <w:rsid w:val="00097F35"/>
    <w:rsid w:val="000A11D0"/>
    <w:rsid w:val="000A2050"/>
    <w:rsid w:val="000A3603"/>
    <w:rsid w:val="000A3D9E"/>
    <w:rsid w:val="000A7855"/>
    <w:rsid w:val="000B1666"/>
    <w:rsid w:val="000B2BE1"/>
    <w:rsid w:val="000B56A3"/>
    <w:rsid w:val="000B6E0A"/>
    <w:rsid w:val="000B75C1"/>
    <w:rsid w:val="000B7844"/>
    <w:rsid w:val="000B7FD3"/>
    <w:rsid w:val="000C0AA9"/>
    <w:rsid w:val="000C1BF7"/>
    <w:rsid w:val="000C2552"/>
    <w:rsid w:val="000C3F1D"/>
    <w:rsid w:val="000C4A85"/>
    <w:rsid w:val="000C61B8"/>
    <w:rsid w:val="000D1083"/>
    <w:rsid w:val="000D177F"/>
    <w:rsid w:val="000D57C4"/>
    <w:rsid w:val="000D5D72"/>
    <w:rsid w:val="000D76A2"/>
    <w:rsid w:val="000E05AD"/>
    <w:rsid w:val="000E0E60"/>
    <w:rsid w:val="000E10F0"/>
    <w:rsid w:val="000E38B5"/>
    <w:rsid w:val="000E4644"/>
    <w:rsid w:val="000E503A"/>
    <w:rsid w:val="000E55D5"/>
    <w:rsid w:val="000F086B"/>
    <w:rsid w:val="000F121C"/>
    <w:rsid w:val="000F1729"/>
    <w:rsid w:val="000F17E6"/>
    <w:rsid w:val="000F1E8D"/>
    <w:rsid w:val="000F369C"/>
    <w:rsid w:val="000F45DC"/>
    <w:rsid w:val="000F683C"/>
    <w:rsid w:val="000F6989"/>
    <w:rsid w:val="000F7102"/>
    <w:rsid w:val="000F788B"/>
    <w:rsid w:val="00102DD0"/>
    <w:rsid w:val="00104FF4"/>
    <w:rsid w:val="001060B2"/>
    <w:rsid w:val="0010626C"/>
    <w:rsid w:val="00106B55"/>
    <w:rsid w:val="001073B6"/>
    <w:rsid w:val="00112A90"/>
    <w:rsid w:val="00116A62"/>
    <w:rsid w:val="00116B35"/>
    <w:rsid w:val="00116CBF"/>
    <w:rsid w:val="00116E95"/>
    <w:rsid w:val="00120C15"/>
    <w:rsid w:val="00124A9B"/>
    <w:rsid w:val="00124EAE"/>
    <w:rsid w:val="001264AD"/>
    <w:rsid w:val="001278C8"/>
    <w:rsid w:val="0013043F"/>
    <w:rsid w:val="0013096C"/>
    <w:rsid w:val="00130B62"/>
    <w:rsid w:val="00131C4F"/>
    <w:rsid w:val="0013275C"/>
    <w:rsid w:val="0013321D"/>
    <w:rsid w:val="00133335"/>
    <w:rsid w:val="00133B23"/>
    <w:rsid w:val="00133DAA"/>
    <w:rsid w:val="0013536C"/>
    <w:rsid w:val="00140B4A"/>
    <w:rsid w:val="00142929"/>
    <w:rsid w:val="00142A5B"/>
    <w:rsid w:val="001433C7"/>
    <w:rsid w:val="001458E0"/>
    <w:rsid w:val="00145D84"/>
    <w:rsid w:val="001476E2"/>
    <w:rsid w:val="0015035A"/>
    <w:rsid w:val="0015370F"/>
    <w:rsid w:val="00154D6D"/>
    <w:rsid w:val="001555BB"/>
    <w:rsid w:val="00155C12"/>
    <w:rsid w:val="00156A4F"/>
    <w:rsid w:val="00157494"/>
    <w:rsid w:val="001578AB"/>
    <w:rsid w:val="00157A65"/>
    <w:rsid w:val="0016074A"/>
    <w:rsid w:val="001622E0"/>
    <w:rsid w:val="001638CE"/>
    <w:rsid w:val="00166B3B"/>
    <w:rsid w:val="00166E7D"/>
    <w:rsid w:val="00167589"/>
    <w:rsid w:val="00173338"/>
    <w:rsid w:val="00174F32"/>
    <w:rsid w:val="00175EDD"/>
    <w:rsid w:val="00177AA7"/>
    <w:rsid w:val="00180D45"/>
    <w:rsid w:val="001810C4"/>
    <w:rsid w:val="00182899"/>
    <w:rsid w:val="0018364F"/>
    <w:rsid w:val="0018430E"/>
    <w:rsid w:val="00184C4E"/>
    <w:rsid w:val="0018547B"/>
    <w:rsid w:val="00185927"/>
    <w:rsid w:val="00186F48"/>
    <w:rsid w:val="001902A4"/>
    <w:rsid w:val="0019065A"/>
    <w:rsid w:val="00191A5C"/>
    <w:rsid w:val="001947CC"/>
    <w:rsid w:val="0019528A"/>
    <w:rsid w:val="0019690E"/>
    <w:rsid w:val="00196B12"/>
    <w:rsid w:val="0019771F"/>
    <w:rsid w:val="001A1437"/>
    <w:rsid w:val="001A1827"/>
    <w:rsid w:val="001A1B59"/>
    <w:rsid w:val="001A1CC4"/>
    <w:rsid w:val="001A2847"/>
    <w:rsid w:val="001A2D50"/>
    <w:rsid w:val="001A34A4"/>
    <w:rsid w:val="001A4D05"/>
    <w:rsid w:val="001A6376"/>
    <w:rsid w:val="001B3A40"/>
    <w:rsid w:val="001B63F3"/>
    <w:rsid w:val="001B6489"/>
    <w:rsid w:val="001C0FFE"/>
    <w:rsid w:val="001C449A"/>
    <w:rsid w:val="001C6B60"/>
    <w:rsid w:val="001C7F32"/>
    <w:rsid w:val="001D05FB"/>
    <w:rsid w:val="001D075D"/>
    <w:rsid w:val="001D10B8"/>
    <w:rsid w:val="001D1300"/>
    <w:rsid w:val="001D140A"/>
    <w:rsid w:val="001D20C4"/>
    <w:rsid w:val="001D5407"/>
    <w:rsid w:val="001D5C02"/>
    <w:rsid w:val="001D647A"/>
    <w:rsid w:val="001D734A"/>
    <w:rsid w:val="001D76C0"/>
    <w:rsid w:val="001D78F0"/>
    <w:rsid w:val="001E0150"/>
    <w:rsid w:val="001E1B59"/>
    <w:rsid w:val="001E303E"/>
    <w:rsid w:val="001E44DF"/>
    <w:rsid w:val="001E5045"/>
    <w:rsid w:val="001E535E"/>
    <w:rsid w:val="001E6294"/>
    <w:rsid w:val="001E644C"/>
    <w:rsid w:val="001E6CC9"/>
    <w:rsid w:val="001F0C41"/>
    <w:rsid w:val="001F0F6B"/>
    <w:rsid w:val="001F2169"/>
    <w:rsid w:val="001F2684"/>
    <w:rsid w:val="001F3339"/>
    <w:rsid w:val="001F477E"/>
    <w:rsid w:val="001F4A0C"/>
    <w:rsid w:val="001F52DA"/>
    <w:rsid w:val="001F6BEC"/>
    <w:rsid w:val="001F6CFE"/>
    <w:rsid w:val="001F6E58"/>
    <w:rsid w:val="00200EA3"/>
    <w:rsid w:val="00201C6C"/>
    <w:rsid w:val="00202227"/>
    <w:rsid w:val="002033E5"/>
    <w:rsid w:val="0020349E"/>
    <w:rsid w:val="00204505"/>
    <w:rsid w:val="00204E2E"/>
    <w:rsid w:val="00204F71"/>
    <w:rsid w:val="00204FD8"/>
    <w:rsid w:val="002055DD"/>
    <w:rsid w:val="002063CF"/>
    <w:rsid w:val="00206C6F"/>
    <w:rsid w:val="002105EE"/>
    <w:rsid w:val="00211B40"/>
    <w:rsid w:val="002131D4"/>
    <w:rsid w:val="002146B7"/>
    <w:rsid w:val="00215F88"/>
    <w:rsid w:val="002169E8"/>
    <w:rsid w:val="00216F40"/>
    <w:rsid w:val="00216F63"/>
    <w:rsid w:val="00217C02"/>
    <w:rsid w:val="0022089E"/>
    <w:rsid w:val="00220D6A"/>
    <w:rsid w:val="002214D7"/>
    <w:rsid w:val="00221A09"/>
    <w:rsid w:val="00222F02"/>
    <w:rsid w:val="0022317E"/>
    <w:rsid w:val="0022336B"/>
    <w:rsid w:val="00224ED9"/>
    <w:rsid w:val="00224F55"/>
    <w:rsid w:val="00225A19"/>
    <w:rsid w:val="0022607E"/>
    <w:rsid w:val="00226A49"/>
    <w:rsid w:val="00227270"/>
    <w:rsid w:val="0022741E"/>
    <w:rsid w:val="00227555"/>
    <w:rsid w:val="0023199D"/>
    <w:rsid w:val="002323FB"/>
    <w:rsid w:val="00232482"/>
    <w:rsid w:val="00235914"/>
    <w:rsid w:val="0023678D"/>
    <w:rsid w:val="00236F4B"/>
    <w:rsid w:val="002376AD"/>
    <w:rsid w:val="00242B34"/>
    <w:rsid w:val="00242DB4"/>
    <w:rsid w:val="0024314A"/>
    <w:rsid w:val="00243C93"/>
    <w:rsid w:val="00244F01"/>
    <w:rsid w:val="00245504"/>
    <w:rsid w:val="00250636"/>
    <w:rsid w:val="00251811"/>
    <w:rsid w:val="00251AFE"/>
    <w:rsid w:val="00251F5B"/>
    <w:rsid w:val="00251F75"/>
    <w:rsid w:val="0025363E"/>
    <w:rsid w:val="0025457F"/>
    <w:rsid w:val="00254A19"/>
    <w:rsid w:val="00254F36"/>
    <w:rsid w:val="00255973"/>
    <w:rsid w:val="00262DA1"/>
    <w:rsid w:val="00263963"/>
    <w:rsid w:val="00265171"/>
    <w:rsid w:val="0026772C"/>
    <w:rsid w:val="00267ED1"/>
    <w:rsid w:val="00270D29"/>
    <w:rsid w:val="00270EEA"/>
    <w:rsid w:val="0027326F"/>
    <w:rsid w:val="00273FFE"/>
    <w:rsid w:val="0027490A"/>
    <w:rsid w:val="00274B1B"/>
    <w:rsid w:val="002752D8"/>
    <w:rsid w:val="0027566A"/>
    <w:rsid w:val="00281850"/>
    <w:rsid w:val="00284392"/>
    <w:rsid w:val="00285A77"/>
    <w:rsid w:val="00285FD3"/>
    <w:rsid w:val="00286D30"/>
    <w:rsid w:val="00291D42"/>
    <w:rsid w:val="0029732D"/>
    <w:rsid w:val="0029784A"/>
    <w:rsid w:val="0029798B"/>
    <w:rsid w:val="002A001A"/>
    <w:rsid w:val="002A5167"/>
    <w:rsid w:val="002A607B"/>
    <w:rsid w:val="002A6B6F"/>
    <w:rsid w:val="002A75A1"/>
    <w:rsid w:val="002B0685"/>
    <w:rsid w:val="002B0898"/>
    <w:rsid w:val="002B0963"/>
    <w:rsid w:val="002B25BA"/>
    <w:rsid w:val="002B4FB5"/>
    <w:rsid w:val="002B6F08"/>
    <w:rsid w:val="002B77FC"/>
    <w:rsid w:val="002C04F7"/>
    <w:rsid w:val="002C1F4F"/>
    <w:rsid w:val="002C2DAF"/>
    <w:rsid w:val="002C539D"/>
    <w:rsid w:val="002C79D6"/>
    <w:rsid w:val="002C7ABE"/>
    <w:rsid w:val="002D042E"/>
    <w:rsid w:val="002D142E"/>
    <w:rsid w:val="002D1E4F"/>
    <w:rsid w:val="002D210E"/>
    <w:rsid w:val="002D4D6B"/>
    <w:rsid w:val="002E15C3"/>
    <w:rsid w:val="002E2302"/>
    <w:rsid w:val="002E2472"/>
    <w:rsid w:val="002E25C1"/>
    <w:rsid w:val="002E3892"/>
    <w:rsid w:val="002E4DDF"/>
    <w:rsid w:val="002E5389"/>
    <w:rsid w:val="002E6569"/>
    <w:rsid w:val="002E6AAA"/>
    <w:rsid w:val="002F2593"/>
    <w:rsid w:val="002F2972"/>
    <w:rsid w:val="002F31B5"/>
    <w:rsid w:val="002F3403"/>
    <w:rsid w:val="002F74A5"/>
    <w:rsid w:val="00300822"/>
    <w:rsid w:val="0030462F"/>
    <w:rsid w:val="00305926"/>
    <w:rsid w:val="0030592D"/>
    <w:rsid w:val="00305D5B"/>
    <w:rsid w:val="00306740"/>
    <w:rsid w:val="00307B7E"/>
    <w:rsid w:val="003106C3"/>
    <w:rsid w:val="00311CC4"/>
    <w:rsid w:val="0031468F"/>
    <w:rsid w:val="0031718E"/>
    <w:rsid w:val="00320559"/>
    <w:rsid w:val="0032272C"/>
    <w:rsid w:val="00323ED7"/>
    <w:rsid w:val="00323F52"/>
    <w:rsid w:val="00325918"/>
    <w:rsid w:val="00326279"/>
    <w:rsid w:val="003262A7"/>
    <w:rsid w:val="00326D38"/>
    <w:rsid w:val="00326DCA"/>
    <w:rsid w:val="003273DA"/>
    <w:rsid w:val="00327653"/>
    <w:rsid w:val="00330BBF"/>
    <w:rsid w:val="00330C9A"/>
    <w:rsid w:val="00332566"/>
    <w:rsid w:val="00332CB1"/>
    <w:rsid w:val="00333AA8"/>
    <w:rsid w:val="0033411F"/>
    <w:rsid w:val="00334C5C"/>
    <w:rsid w:val="00337547"/>
    <w:rsid w:val="0034398C"/>
    <w:rsid w:val="00344530"/>
    <w:rsid w:val="00344614"/>
    <w:rsid w:val="00344FAE"/>
    <w:rsid w:val="00347326"/>
    <w:rsid w:val="00347DE2"/>
    <w:rsid w:val="00350D4B"/>
    <w:rsid w:val="003521BC"/>
    <w:rsid w:val="003538FE"/>
    <w:rsid w:val="00353A6D"/>
    <w:rsid w:val="00353D4B"/>
    <w:rsid w:val="00355109"/>
    <w:rsid w:val="003607BC"/>
    <w:rsid w:val="00360C06"/>
    <w:rsid w:val="00360C8A"/>
    <w:rsid w:val="003612B0"/>
    <w:rsid w:val="0036144A"/>
    <w:rsid w:val="00361AB9"/>
    <w:rsid w:val="00361B1A"/>
    <w:rsid w:val="00361F1D"/>
    <w:rsid w:val="00362376"/>
    <w:rsid w:val="00362AE6"/>
    <w:rsid w:val="003636DF"/>
    <w:rsid w:val="00365EE0"/>
    <w:rsid w:val="003665FF"/>
    <w:rsid w:val="0036705A"/>
    <w:rsid w:val="0037107D"/>
    <w:rsid w:val="003720F7"/>
    <w:rsid w:val="0037318E"/>
    <w:rsid w:val="00373C10"/>
    <w:rsid w:val="0037507C"/>
    <w:rsid w:val="00375854"/>
    <w:rsid w:val="00375D01"/>
    <w:rsid w:val="003762DD"/>
    <w:rsid w:val="00376616"/>
    <w:rsid w:val="003769CC"/>
    <w:rsid w:val="00377B8A"/>
    <w:rsid w:val="00377C8A"/>
    <w:rsid w:val="00381112"/>
    <w:rsid w:val="0038266E"/>
    <w:rsid w:val="0038455F"/>
    <w:rsid w:val="003860EB"/>
    <w:rsid w:val="00387282"/>
    <w:rsid w:val="00391503"/>
    <w:rsid w:val="00391D8E"/>
    <w:rsid w:val="00391F41"/>
    <w:rsid w:val="00392947"/>
    <w:rsid w:val="003949D0"/>
    <w:rsid w:val="00396594"/>
    <w:rsid w:val="003968F2"/>
    <w:rsid w:val="00396C75"/>
    <w:rsid w:val="0039715B"/>
    <w:rsid w:val="00397EB3"/>
    <w:rsid w:val="003A061C"/>
    <w:rsid w:val="003A13B9"/>
    <w:rsid w:val="003A2F9E"/>
    <w:rsid w:val="003A34B9"/>
    <w:rsid w:val="003A3A98"/>
    <w:rsid w:val="003A5A9F"/>
    <w:rsid w:val="003A6C3F"/>
    <w:rsid w:val="003A7B7C"/>
    <w:rsid w:val="003B1C90"/>
    <w:rsid w:val="003B24E7"/>
    <w:rsid w:val="003B270E"/>
    <w:rsid w:val="003B2C05"/>
    <w:rsid w:val="003B39C9"/>
    <w:rsid w:val="003B7898"/>
    <w:rsid w:val="003B797F"/>
    <w:rsid w:val="003C0DED"/>
    <w:rsid w:val="003C0F55"/>
    <w:rsid w:val="003C1753"/>
    <w:rsid w:val="003C1C66"/>
    <w:rsid w:val="003C388A"/>
    <w:rsid w:val="003C3BCC"/>
    <w:rsid w:val="003C4A50"/>
    <w:rsid w:val="003C5553"/>
    <w:rsid w:val="003D4060"/>
    <w:rsid w:val="003D4F80"/>
    <w:rsid w:val="003D7B23"/>
    <w:rsid w:val="003E0CA6"/>
    <w:rsid w:val="003E1EE1"/>
    <w:rsid w:val="003E2C89"/>
    <w:rsid w:val="003E4210"/>
    <w:rsid w:val="003E5378"/>
    <w:rsid w:val="003E7D6A"/>
    <w:rsid w:val="003F1FBD"/>
    <w:rsid w:val="003F4B15"/>
    <w:rsid w:val="003F560A"/>
    <w:rsid w:val="003F5701"/>
    <w:rsid w:val="00400275"/>
    <w:rsid w:val="00405769"/>
    <w:rsid w:val="004062EC"/>
    <w:rsid w:val="00406B4F"/>
    <w:rsid w:val="00413AAA"/>
    <w:rsid w:val="00414B55"/>
    <w:rsid w:val="00414E1C"/>
    <w:rsid w:val="004159F3"/>
    <w:rsid w:val="00415BC9"/>
    <w:rsid w:val="004204C7"/>
    <w:rsid w:val="00420ED0"/>
    <w:rsid w:val="00421428"/>
    <w:rsid w:val="00422EDD"/>
    <w:rsid w:val="004238ED"/>
    <w:rsid w:val="00424387"/>
    <w:rsid w:val="00426337"/>
    <w:rsid w:val="004306ED"/>
    <w:rsid w:val="004323B8"/>
    <w:rsid w:val="00432806"/>
    <w:rsid w:val="0043323C"/>
    <w:rsid w:val="004343A6"/>
    <w:rsid w:val="004343C3"/>
    <w:rsid w:val="00436050"/>
    <w:rsid w:val="00437774"/>
    <w:rsid w:val="0044189B"/>
    <w:rsid w:val="00441F30"/>
    <w:rsid w:val="00442B5A"/>
    <w:rsid w:val="00443967"/>
    <w:rsid w:val="0044658D"/>
    <w:rsid w:val="00452D1B"/>
    <w:rsid w:val="004534E2"/>
    <w:rsid w:val="00454E83"/>
    <w:rsid w:val="00456D50"/>
    <w:rsid w:val="00457489"/>
    <w:rsid w:val="00460BFF"/>
    <w:rsid w:val="00463D51"/>
    <w:rsid w:val="0046491D"/>
    <w:rsid w:val="00465DAD"/>
    <w:rsid w:val="00467206"/>
    <w:rsid w:val="00473CE1"/>
    <w:rsid w:val="0047416C"/>
    <w:rsid w:val="004753B7"/>
    <w:rsid w:val="004754E6"/>
    <w:rsid w:val="00481047"/>
    <w:rsid w:val="00482C1D"/>
    <w:rsid w:val="0048378D"/>
    <w:rsid w:val="0048407C"/>
    <w:rsid w:val="0048426F"/>
    <w:rsid w:val="00484CC2"/>
    <w:rsid w:val="00486D38"/>
    <w:rsid w:val="00487D3D"/>
    <w:rsid w:val="00490ADE"/>
    <w:rsid w:val="0049222C"/>
    <w:rsid w:val="004923DD"/>
    <w:rsid w:val="004A00E1"/>
    <w:rsid w:val="004A0B2E"/>
    <w:rsid w:val="004A13FA"/>
    <w:rsid w:val="004A14CC"/>
    <w:rsid w:val="004A26BC"/>
    <w:rsid w:val="004A2A67"/>
    <w:rsid w:val="004A40C7"/>
    <w:rsid w:val="004A43C3"/>
    <w:rsid w:val="004A5C2D"/>
    <w:rsid w:val="004A6A75"/>
    <w:rsid w:val="004B03D6"/>
    <w:rsid w:val="004B0CD4"/>
    <w:rsid w:val="004B22E9"/>
    <w:rsid w:val="004B23F2"/>
    <w:rsid w:val="004B2463"/>
    <w:rsid w:val="004B2FBE"/>
    <w:rsid w:val="004B358A"/>
    <w:rsid w:val="004B740E"/>
    <w:rsid w:val="004B74BE"/>
    <w:rsid w:val="004C175B"/>
    <w:rsid w:val="004C1908"/>
    <w:rsid w:val="004C3C59"/>
    <w:rsid w:val="004C3D40"/>
    <w:rsid w:val="004C506A"/>
    <w:rsid w:val="004C5E6C"/>
    <w:rsid w:val="004D036F"/>
    <w:rsid w:val="004D0B29"/>
    <w:rsid w:val="004D1192"/>
    <w:rsid w:val="004D1528"/>
    <w:rsid w:val="004D1899"/>
    <w:rsid w:val="004D1ACF"/>
    <w:rsid w:val="004D3864"/>
    <w:rsid w:val="004D4462"/>
    <w:rsid w:val="004D4E52"/>
    <w:rsid w:val="004D512A"/>
    <w:rsid w:val="004D55E5"/>
    <w:rsid w:val="004D6A97"/>
    <w:rsid w:val="004E09EC"/>
    <w:rsid w:val="004E4AA2"/>
    <w:rsid w:val="004E562C"/>
    <w:rsid w:val="004E5957"/>
    <w:rsid w:val="004F1936"/>
    <w:rsid w:val="004F2046"/>
    <w:rsid w:val="004F2C63"/>
    <w:rsid w:val="004F46BD"/>
    <w:rsid w:val="004F55D1"/>
    <w:rsid w:val="004F6996"/>
    <w:rsid w:val="004F6BFF"/>
    <w:rsid w:val="00500729"/>
    <w:rsid w:val="00502DC1"/>
    <w:rsid w:val="00503292"/>
    <w:rsid w:val="00504047"/>
    <w:rsid w:val="0050492F"/>
    <w:rsid w:val="0050695A"/>
    <w:rsid w:val="00506DE4"/>
    <w:rsid w:val="00507E7C"/>
    <w:rsid w:val="00507E97"/>
    <w:rsid w:val="0051019D"/>
    <w:rsid w:val="0051077D"/>
    <w:rsid w:val="0051097C"/>
    <w:rsid w:val="00510AFA"/>
    <w:rsid w:val="005124F1"/>
    <w:rsid w:val="00512B78"/>
    <w:rsid w:val="005149D9"/>
    <w:rsid w:val="0051797C"/>
    <w:rsid w:val="00521738"/>
    <w:rsid w:val="0052297D"/>
    <w:rsid w:val="00522E3D"/>
    <w:rsid w:val="00523521"/>
    <w:rsid w:val="0052598D"/>
    <w:rsid w:val="00525B97"/>
    <w:rsid w:val="00527420"/>
    <w:rsid w:val="00527D7B"/>
    <w:rsid w:val="005311C2"/>
    <w:rsid w:val="00534BB7"/>
    <w:rsid w:val="0053517A"/>
    <w:rsid w:val="00544027"/>
    <w:rsid w:val="00544C31"/>
    <w:rsid w:val="00545F81"/>
    <w:rsid w:val="00546A98"/>
    <w:rsid w:val="005508F1"/>
    <w:rsid w:val="0055353C"/>
    <w:rsid w:val="0055382E"/>
    <w:rsid w:val="00554147"/>
    <w:rsid w:val="00555690"/>
    <w:rsid w:val="0055620B"/>
    <w:rsid w:val="00557780"/>
    <w:rsid w:val="005578D8"/>
    <w:rsid w:val="00557ADC"/>
    <w:rsid w:val="005603C7"/>
    <w:rsid w:val="00562709"/>
    <w:rsid w:val="005647CF"/>
    <w:rsid w:val="00565AA1"/>
    <w:rsid w:val="00566355"/>
    <w:rsid w:val="005678DD"/>
    <w:rsid w:val="005718BE"/>
    <w:rsid w:val="00572236"/>
    <w:rsid w:val="005735AA"/>
    <w:rsid w:val="00574210"/>
    <w:rsid w:val="00576326"/>
    <w:rsid w:val="0058180C"/>
    <w:rsid w:val="005826A2"/>
    <w:rsid w:val="00583751"/>
    <w:rsid w:val="00583977"/>
    <w:rsid w:val="00583ADB"/>
    <w:rsid w:val="005860FB"/>
    <w:rsid w:val="00586E3C"/>
    <w:rsid w:val="005910D9"/>
    <w:rsid w:val="00592A4F"/>
    <w:rsid w:val="00592F3F"/>
    <w:rsid w:val="00595478"/>
    <w:rsid w:val="00595C64"/>
    <w:rsid w:val="005A3922"/>
    <w:rsid w:val="005A50AA"/>
    <w:rsid w:val="005A5705"/>
    <w:rsid w:val="005A7FE3"/>
    <w:rsid w:val="005B0970"/>
    <w:rsid w:val="005B27EF"/>
    <w:rsid w:val="005B5746"/>
    <w:rsid w:val="005B6C73"/>
    <w:rsid w:val="005B760D"/>
    <w:rsid w:val="005C1657"/>
    <w:rsid w:val="005C2DEF"/>
    <w:rsid w:val="005C3983"/>
    <w:rsid w:val="005C487F"/>
    <w:rsid w:val="005C52AA"/>
    <w:rsid w:val="005C543B"/>
    <w:rsid w:val="005C55D1"/>
    <w:rsid w:val="005C5A82"/>
    <w:rsid w:val="005C5CCA"/>
    <w:rsid w:val="005C77FC"/>
    <w:rsid w:val="005C78C9"/>
    <w:rsid w:val="005D0038"/>
    <w:rsid w:val="005D0EA4"/>
    <w:rsid w:val="005D5DAC"/>
    <w:rsid w:val="005D6501"/>
    <w:rsid w:val="005E3B97"/>
    <w:rsid w:val="005E5731"/>
    <w:rsid w:val="005E784F"/>
    <w:rsid w:val="005F06D0"/>
    <w:rsid w:val="005F0C8C"/>
    <w:rsid w:val="005F2283"/>
    <w:rsid w:val="005F33EB"/>
    <w:rsid w:val="005F4C8E"/>
    <w:rsid w:val="005F6418"/>
    <w:rsid w:val="005F6EA8"/>
    <w:rsid w:val="005F6FD4"/>
    <w:rsid w:val="005F6FF0"/>
    <w:rsid w:val="005F7FA5"/>
    <w:rsid w:val="00600580"/>
    <w:rsid w:val="006013D8"/>
    <w:rsid w:val="0060257D"/>
    <w:rsid w:val="006033C6"/>
    <w:rsid w:val="00603FD8"/>
    <w:rsid w:val="006044AF"/>
    <w:rsid w:val="00604F42"/>
    <w:rsid w:val="00605645"/>
    <w:rsid w:val="00605A88"/>
    <w:rsid w:val="00605E9C"/>
    <w:rsid w:val="00610E44"/>
    <w:rsid w:val="00612CD8"/>
    <w:rsid w:val="00612D9B"/>
    <w:rsid w:val="00612F42"/>
    <w:rsid w:val="00614DD4"/>
    <w:rsid w:val="00616995"/>
    <w:rsid w:val="0062143E"/>
    <w:rsid w:val="00621F3B"/>
    <w:rsid w:val="00622B4F"/>
    <w:rsid w:val="006244F8"/>
    <w:rsid w:val="00624E3B"/>
    <w:rsid w:val="006303D1"/>
    <w:rsid w:val="00633BC4"/>
    <w:rsid w:val="00634454"/>
    <w:rsid w:val="00636D39"/>
    <w:rsid w:val="006372CC"/>
    <w:rsid w:val="00637D0B"/>
    <w:rsid w:val="00637F33"/>
    <w:rsid w:val="006408AF"/>
    <w:rsid w:val="00640FB4"/>
    <w:rsid w:val="00641784"/>
    <w:rsid w:val="006426FC"/>
    <w:rsid w:val="00642A77"/>
    <w:rsid w:val="0064439F"/>
    <w:rsid w:val="00645707"/>
    <w:rsid w:val="006466FF"/>
    <w:rsid w:val="00650D95"/>
    <w:rsid w:val="00651502"/>
    <w:rsid w:val="0065183A"/>
    <w:rsid w:val="006523CB"/>
    <w:rsid w:val="006539CE"/>
    <w:rsid w:val="00654F05"/>
    <w:rsid w:val="0065618A"/>
    <w:rsid w:val="00660ACB"/>
    <w:rsid w:val="00661315"/>
    <w:rsid w:val="0066447C"/>
    <w:rsid w:val="00665C2B"/>
    <w:rsid w:val="0066679C"/>
    <w:rsid w:val="00666A57"/>
    <w:rsid w:val="00666BE5"/>
    <w:rsid w:val="00666F9E"/>
    <w:rsid w:val="00670FC3"/>
    <w:rsid w:val="00671465"/>
    <w:rsid w:val="00673053"/>
    <w:rsid w:val="00673097"/>
    <w:rsid w:val="00673B37"/>
    <w:rsid w:val="00673D05"/>
    <w:rsid w:val="006800BF"/>
    <w:rsid w:val="00683DEA"/>
    <w:rsid w:val="00684A4A"/>
    <w:rsid w:val="00687CDA"/>
    <w:rsid w:val="0069034C"/>
    <w:rsid w:val="00692558"/>
    <w:rsid w:val="00692A0E"/>
    <w:rsid w:val="00693D27"/>
    <w:rsid w:val="00695CED"/>
    <w:rsid w:val="00695D78"/>
    <w:rsid w:val="006964F4"/>
    <w:rsid w:val="00697C28"/>
    <w:rsid w:val="006A2202"/>
    <w:rsid w:val="006A2C87"/>
    <w:rsid w:val="006A3571"/>
    <w:rsid w:val="006A63E5"/>
    <w:rsid w:val="006A69C8"/>
    <w:rsid w:val="006A6C46"/>
    <w:rsid w:val="006A72BE"/>
    <w:rsid w:val="006B0CCE"/>
    <w:rsid w:val="006B17A6"/>
    <w:rsid w:val="006B23FB"/>
    <w:rsid w:val="006B2608"/>
    <w:rsid w:val="006B3D9A"/>
    <w:rsid w:val="006B6858"/>
    <w:rsid w:val="006C0316"/>
    <w:rsid w:val="006C1576"/>
    <w:rsid w:val="006C1822"/>
    <w:rsid w:val="006C22D1"/>
    <w:rsid w:val="006C3330"/>
    <w:rsid w:val="006C477F"/>
    <w:rsid w:val="006C5785"/>
    <w:rsid w:val="006C6403"/>
    <w:rsid w:val="006C64A4"/>
    <w:rsid w:val="006C712D"/>
    <w:rsid w:val="006C7F63"/>
    <w:rsid w:val="006D0A3D"/>
    <w:rsid w:val="006D215A"/>
    <w:rsid w:val="006D36B9"/>
    <w:rsid w:val="006D4670"/>
    <w:rsid w:val="006D6370"/>
    <w:rsid w:val="006E0634"/>
    <w:rsid w:val="006E1C44"/>
    <w:rsid w:val="006E28B6"/>
    <w:rsid w:val="006E3640"/>
    <w:rsid w:val="006F0E87"/>
    <w:rsid w:val="006F144B"/>
    <w:rsid w:val="006F16FA"/>
    <w:rsid w:val="006F18AC"/>
    <w:rsid w:val="006F22CA"/>
    <w:rsid w:val="006F5FB9"/>
    <w:rsid w:val="006F7026"/>
    <w:rsid w:val="00701960"/>
    <w:rsid w:val="00703CF1"/>
    <w:rsid w:val="007041C3"/>
    <w:rsid w:val="00706CC5"/>
    <w:rsid w:val="007072E4"/>
    <w:rsid w:val="00707ABB"/>
    <w:rsid w:val="00707B4C"/>
    <w:rsid w:val="00707E3A"/>
    <w:rsid w:val="00710800"/>
    <w:rsid w:val="007109CB"/>
    <w:rsid w:val="007125B6"/>
    <w:rsid w:val="00712793"/>
    <w:rsid w:val="00712D25"/>
    <w:rsid w:val="00716317"/>
    <w:rsid w:val="0071737D"/>
    <w:rsid w:val="00717E47"/>
    <w:rsid w:val="0072073B"/>
    <w:rsid w:val="00720F81"/>
    <w:rsid w:val="0072159A"/>
    <w:rsid w:val="00721F22"/>
    <w:rsid w:val="00722088"/>
    <w:rsid w:val="007223E5"/>
    <w:rsid w:val="0072595C"/>
    <w:rsid w:val="00726607"/>
    <w:rsid w:val="0072678C"/>
    <w:rsid w:val="00726F23"/>
    <w:rsid w:val="007302D8"/>
    <w:rsid w:val="00730964"/>
    <w:rsid w:val="00730F2E"/>
    <w:rsid w:val="00731FD9"/>
    <w:rsid w:val="00732747"/>
    <w:rsid w:val="00733245"/>
    <w:rsid w:val="00736015"/>
    <w:rsid w:val="00736D88"/>
    <w:rsid w:val="007424A8"/>
    <w:rsid w:val="00742892"/>
    <w:rsid w:val="00743C6F"/>
    <w:rsid w:val="0074438B"/>
    <w:rsid w:val="00744403"/>
    <w:rsid w:val="0074512E"/>
    <w:rsid w:val="007523F5"/>
    <w:rsid w:val="007528C4"/>
    <w:rsid w:val="00752F93"/>
    <w:rsid w:val="0075750B"/>
    <w:rsid w:val="00757BE8"/>
    <w:rsid w:val="00757D7C"/>
    <w:rsid w:val="00760975"/>
    <w:rsid w:val="007609C5"/>
    <w:rsid w:val="00760D38"/>
    <w:rsid w:val="0076145D"/>
    <w:rsid w:val="007628B6"/>
    <w:rsid w:val="00762DD1"/>
    <w:rsid w:val="00765AC1"/>
    <w:rsid w:val="007669AC"/>
    <w:rsid w:val="00771550"/>
    <w:rsid w:val="00772865"/>
    <w:rsid w:val="00774FE9"/>
    <w:rsid w:val="00775435"/>
    <w:rsid w:val="00776626"/>
    <w:rsid w:val="007768E0"/>
    <w:rsid w:val="0078002B"/>
    <w:rsid w:val="00783016"/>
    <w:rsid w:val="007841C6"/>
    <w:rsid w:val="00791F2F"/>
    <w:rsid w:val="007921B5"/>
    <w:rsid w:val="00792928"/>
    <w:rsid w:val="00792A5C"/>
    <w:rsid w:val="007941FE"/>
    <w:rsid w:val="007959C5"/>
    <w:rsid w:val="007A4167"/>
    <w:rsid w:val="007A609D"/>
    <w:rsid w:val="007A6631"/>
    <w:rsid w:val="007A6995"/>
    <w:rsid w:val="007B00E7"/>
    <w:rsid w:val="007B0D17"/>
    <w:rsid w:val="007B0ED7"/>
    <w:rsid w:val="007B1899"/>
    <w:rsid w:val="007B2361"/>
    <w:rsid w:val="007B3269"/>
    <w:rsid w:val="007B3409"/>
    <w:rsid w:val="007B3466"/>
    <w:rsid w:val="007B4214"/>
    <w:rsid w:val="007B5ECE"/>
    <w:rsid w:val="007B6D8C"/>
    <w:rsid w:val="007B71C5"/>
    <w:rsid w:val="007C0608"/>
    <w:rsid w:val="007C18DA"/>
    <w:rsid w:val="007C2431"/>
    <w:rsid w:val="007C259B"/>
    <w:rsid w:val="007C5756"/>
    <w:rsid w:val="007C64D4"/>
    <w:rsid w:val="007C67C3"/>
    <w:rsid w:val="007C740B"/>
    <w:rsid w:val="007C78A9"/>
    <w:rsid w:val="007C79B6"/>
    <w:rsid w:val="007D0314"/>
    <w:rsid w:val="007D03A4"/>
    <w:rsid w:val="007D09F2"/>
    <w:rsid w:val="007D3CD4"/>
    <w:rsid w:val="007D4B39"/>
    <w:rsid w:val="007D4BEB"/>
    <w:rsid w:val="007D5388"/>
    <w:rsid w:val="007D5AF8"/>
    <w:rsid w:val="007D5F82"/>
    <w:rsid w:val="007D609A"/>
    <w:rsid w:val="007E0CF7"/>
    <w:rsid w:val="007E48B2"/>
    <w:rsid w:val="007E5C7A"/>
    <w:rsid w:val="007E5D64"/>
    <w:rsid w:val="007E6CCB"/>
    <w:rsid w:val="007F0CED"/>
    <w:rsid w:val="007F18B5"/>
    <w:rsid w:val="007F1BBB"/>
    <w:rsid w:val="007F2E39"/>
    <w:rsid w:val="007F43DF"/>
    <w:rsid w:val="007F5163"/>
    <w:rsid w:val="007F66AA"/>
    <w:rsid w:val="007F76E8"/>
    <w:rsid w:val="007F7E9E"/>
    <w:rsid w:val="0080141B"/>
    <w:rsid w:val="00803CDA"/>
    <w:rsid w:val="00805F38"/>
    <w:rsid w:val="00811040"/>
    <w:rsid w:val="00811277"/>
    <w:rsid w:val="00812F6B"/>
    <w:rsid w:val="00814042"/>
    <w:rsid w:val="00814250"/>
    <w:rsid w:val="00815AB5"/>
    <w:rsid w:val="008164C4"/>
    <w:rsid w:val="00821AF2"/>
    <w:rsid w:val="00822803"/>
    <w:rsid w:val="00822807"/>
    <w:rsid w:val="00823A0D"/>
    <w:rsid w:val="00824D97"/>
    <w:rsid w:val="008265C2"/>
    <w:rsid w:val="008277B9"/>
    <w:rsid w:val="00830B13"/>
    <w:rsid w:val="00831B87"/>
    <w:rsid w:val="00833BD8"/>
    <w:rsid w:val="0083478C"/>
    <w:rsid w:val="00834826"/>
    <w:rsid w:val="00835FDD"/>
    <w:rsid w:val="008360D7"/>
    <w:rsid w:val="00837B2A"/>
    <w:rsid w:val="00837EC7"/>
    <w:rsid w:val="00837F2D"/>
    <w:rsid w:val="00840F75"/>
    <w:rsid w:val="00841F75"/>
    <w:rsid w:val="00842B58"/>
    <w:rsid w:val="00842CDC"/>
    <w:rsid w:val="00843D45"/>
    <w:rsid w:val="00843FD9"/>
    <w:rsid w:val="00844377"/>
    <w:rsid w:val="0084739A"/>
    <w:rsid w:val="00850140"/>
    <w:rsid w:val="00851303"/>
    <w:rsid w:val="0085174C"/>
    <w:rsid w:val="008522BD"/>
    <w:rsid w:val="008532C8"/>
    <w:rsid w:val="00853744"/>
    <w:rsid w:val="00857DB4"/>
    <w:rsid w:val="00861CCD"/>
    <w:rsid w:val="00862F80"/>
    <w:rsid w:val="008651BB"/>
    <w:rsid w:val="00866ED0"/>
    <w:rsid w:val="008672FA"/>
    <w:rsid w:val="00867F3B"/>
    <w:rsid w:val="008705E0"/>
    <w:rsid w:val="00870F7C"/>
    <w:rsid w:val="00873472"/>
    <w:rsid w:val="008734EE"/>
    <w:rsid w:val="00875916"/>
    <w:rsid w:val="00876E94"/>
    <w:rsid w:val="008820E7"/>
    <w:rsid w:val="00882FDD"/>
    <w:rsid w:val="00885BF4"/>
    <w:rsid w:val="008875AA"/>
    <w:rsid w:val="00887CCF"/>
    <w:rsid w:val="0089090B"/>
    <w:rsid w:val="00891A49"/>
    <w:rsid w:val="00892590"/>
    <w:rsid w:val="0089263E"/>
    <w:rsid w:val="00892755"/>
    <w:rsid w:val="00894C69"/>
    <w:rsid w:val="00894F8C"/>
    <w:rsid w:val="00895884"/>
    <w:rsid w:val="00897A87"/>
    <w:rsid w:val="008A082F"/>
    <w:rsid w:val="008A2206"/>
    <w:rsid w:val="008A2329"/>
    <w:rsid w:val="008A59D3"/>
    <w:rsid w:val="008A741B"/>
    <w:rsid w:val="008A7FAF"/>
    <w:rsid w:val="008B0FDD"/>
    <w:rsid w:val="008B1D29"/>
    <w:rsid w:val="008B297F"/>
    <w:rsid w:val="008B2FD3"/>
    <w:rsid w:val="008B3518"/>
    <w:rsid w:val="008B3A04"/>
    <w:rsid w:val="008B5666"/>
    <w:rsid w:val="008B5D7A"/>
    <w:rsid w:val="008B6158"/>
    <w:rsid w:val="008B6756"/>
    <w:rsid w:val="008B70CF"/>
    <w:rsid w:val="008B7505"/>
    <w:rsid w:val="008C08C1"/>
    <w:rsid w:val="008C1B9F"/>
    <w:rsid w:val="008C2AE3"/>
    <w:rsid w:val="008C4312"/>
    <w:rsid w:val="008C4505"/>
    <w:rsid w:val="008D2044"/>
    <w:rsid w:val="008D27A2"/>
    <w:rsid w:val="008D2E35"/>
    <w:rsid w:val="008D3DCB"/>
    <w:rsid w:val="008D4291"/>
    <w:rsid w:val="008D5E7D"/>
    <w:rsid w:val="008E13ED"/>
    <w:rsid w:val="008E22AB"/>
    <w:rsid w:val="008E346E"/>
    <w:rsid w:val="008E405B"/>
    <w:rsid w:val="008E449B"/>
    <w:rsid w:val="008E4836"/>
    <w:rsid w:val="008E5501"/>
    <w:rsid w:val="008E6CA9"/>
    <w:rsid w:val="008F0D96"/>
    <w:rsid w:val="008F11E5"/>
    <w:rsid w:val="008F222E"/>
    <w:rsid w:val="008F2270"/>
    <w:rsid w:val="008F2C63"/>
    <w:rsid w:val="008F58C2"/>
    <w:rsid w:val="008F5D33"/>
    <w:rsid w:val="008F6667"/>
    <w:rsid w:val="008F6C1A"/>
    <w:rsid w:val="008F7C91"/>
    <w:rsid w:val="00902299"/>
    <w:rsid w:val="009029B4"/>
    <w:rsid w:val="00905038"/>
    <w:rsid w:val="009062AD"/>
    <w:rsid w:val="009075A6"/>
    <w:rsid w:val="00907A78"/>
    <w:rsid w:val="00910593"/>
    <w:rsid w:val="009105DD"/>
    <w:rsid w:val="00910C35"/>
    <w:rsid w:val="009133D0"/>
    <w:rsid w:val="00915BCA"/>
    <w:rsid w:val="00916417"/>
    <w:rsid w:val="00917DEC"/>
    <w:rsid w:val="00920DD7"/>
    <w:rsid w:val="0092371D"/>
    <w:rsid w:val="00925072"/>
    <w:rsid w:val="00925778"/>
    <w:rsid w:val="0092587F"/>
    <w:rsid w:val="00925D80"/>
    <w:rsid w:val="0092726C"/>
    <w:rsid w:val="009328D2"/>
    <w:rsid w:val="0093357F"/>
    <w:rsid w:val="00933E1B"/>
    <w:rsid w:val="0094054F"/>
    <w:rsid w:val="00940D77"/>
    <w:rsid w:val="00941487"/>
    <w:rsid w:val="00942180"/>
    <w:rsid w:val="00947512"/>
    <w:rsid w:val="009502CC"/>
    <w:rsid w:val="00950834"/>
    <w:rsid w:val="00950AD3"/>
    <w:rsid w:val="009529C8"/>
    <w:rsid w:val="009535AA"/>
    <w:rsid w:val="00954020"/>
    <w:rsid w:val="009540D3"/>
    <w:rsid w:val="009567D3"/>
    <w:rsid w:val="00961A84"/>
    <w:rsid w:val="00964427"/>
    <w:rsid w:val="00965419"/>
    <w:rsid w:val="009671EC"/>
    <w:rsid w:val="00967552"/>
    <w:rsid w:val="00970F97"/>
    <w:rsid w:val="0097393A"/>
    <w:rsid w:val="00973BBD"/>
    <w:rsid w:val="00976BCE"/>
    <w:rsid w:val="009813D1"/>
    <w:rsid w:val="00981CA5"/>
    <w:rsid w:val="00982334"/>
    <w:rsid w:val="00982C8B"/>
    <w:rsid w:val="00982CDD"/>
    <w:rsid w:val="00982CEA"/>
    <w:rsid w:val="00984005"/>
    <w:rsid w:val="00984AFD"/>
    <w:rsid w:val="00986F9C"/>
    <w:rsid w:val="009875A5"/>
    <w:rsid w:val="00987937"/>
    <w:rsid w:val="009908FC"/>
    <w:rsid w:val="0099197F"/>
    <w:rsid w:val="009919CE"/>
    <w:rsid w:val="00991B54"/>
    <w:rsid w:val="009920BE"/>
    <w:rsid w:val="00993678"/>
    <w:rsid w:val="0099628D"/>
    <w:rsid w:val="00996363"/>
    <w:rsid w:val="00996BF6"/>
    <w:rsid w:val="00996C4D"/>
    <w:rsid w:val="009A06B5"/>
    <w:rsid w:val="009A1DB2"/>
    <w:rsid w:val="009A3587"/>
    <w:rsid w:val="009A38D5"/>
    <w:rsid w:val="009A7EAF"/>
    <w:rsid w:val="009B0CC4"/>
    <w:rsid w:val="009B12C2"/>
    <w:rsid w:val="009B2B25"/>
    <w:rsid w:val="009B324D"/>
    <w:rsid w:val="009B4AE7"/>
    <w:rsid w:val="009B4C74"/>
    <w:rsid w:val="009B4F6C"/>
    <w:rsid w:val="009B72CD"/>
    <w:rsid w:val="009B7CCC"/>
    <w:rsid w:val="009C065B"/>
    <w:rsid w:val="009C0A87"/>
    <w:rsid w:val="009C2268"/>
    <w:rsid w:val="009C63B6"/>
    <w:rsid w:val="009C6716"/>
    <w:rsid w:val="009C679C"/>
    <w:rsid w:val="009C689D"/>
    <w:rsid w:val="009D03E3"/>
    <w:rsid w:val="009D0F12"/>
    <w:rsid w:val="009D23E8"/>
    <w:rsid w:val="009D3D2C"/>
    <w:rsid w:val="009D4A7B"/>
    <w:rsid w:val="009D53BF"/>
    <w:rsid w:val="009D595F"/>
    <w:rsid w:val="009D5E69"/>
    <w:rsid w:val="009D77BF"/>
    <w:rsid w:val="009D7FAB"/>
    <w:rsid w:val="009E5375"/>
    <w:rsid w:val="009E5762"/>
    <w:rsid w:val="009E5B5D"/>
    <w:rsid w:val="009E7E95"/>
    <w:rsid w:val="009F07E8"/>
    <w:rsid w:val="009F1793"/>
    <w:rsid w:val="009F2FAD"/>
    <w:rsid w:val="009F43D0"/>
    <w:rsid w:val="009F646C"/>
    <w:rsid w:val="009F78B7"/>
    <w:rsid w:val="00A0082E"/>
    <w:rsid w:val="00A00AE7"/>
    <w:rsid w:val="00A01DB9"/>
    <w:rsid w:val="00A0221C"/>
    <w:rsid w:val="00A0263E"/>
    <w:rsid w:val="00A049EC"/>
    <w:rsid w:val="00A0645D"/>
    <w:rsid w:val="00A07853"/>
    <w:rsid w:val="00A10150"/>
    <w:rsid w:val="00A10446"/>
    <w:rsid w:val="00A11D68"/>
    <w:rsid w:val="00A123B7"/>
    <w:rsid w:val="00A15040"/>
    <w:rsid w:val="00A162E1"/>
    <w:rsid w:val="00A24070"/>
    <w:rsid w:val="00A2634D"/>
    <w:rsid w:val="00A26594"/>
    <w:rsid w:val="00A27CA8"/>
    <w:rsid w:val="00A33FE4"/>
    <w:rsid w:val="00A347B9"/>
    <w:rsid w:val="00A34EA5"/>
    <w:rsid w:val="00A35462"/>
    <w:rsid w:val="00A35DD7"/>
    <w:rsid w:val="00A378F3"/>
    <w:rsid w:val="00A40746"/>
    <w:rsid w:val="00A415A4"/>
    <w:rsid w:val="00A41E29"/>
    <w:rsid w:val="00A423DA"/>
    <w:rsid w:val="00A428F9"/>
    <w:rsid w:val="00A42FAD"/>
    <w:rsid w:val="00A436FD"/>
    <w:rsid w:val="00A445E9"/>
    <w:rsid w:val="00A45231"/>
    <w:rsid w:val="00A45793"/>
    <w:rsid w:val="00A45ABD"/>
    <w:rsid w:val="00A45DFF"/>
    <w:rsid w:val="00A4713A"/>
    <w:rsid w:val="00A52067"/>
    <w:rsid w:val="00A54315"/>
    <w:rsid w:val="00A545D2"/>
    <w:rsid w:val="00A556BD"/>
    <w:rsid w:val="00A577EA"/>
    <w:rsid w:val="00A607A6"/>
    <w:rsid w:val="00A62EDC"/>
    <w:rsid w:val="00A63035"/>
    <w:rsid w:val="00A65A1A"/>
    <w:rsid w:val="00A6605F"/>
    <w:rsid w:val="00A66106"/>
    <w:rsid w:val="00A66943"/>
    <w:rsid w:val="00A66F77"/>
    <w:rsid w:val="00A66FEA"/>
    <w:rsid w:val="00A71157"/>
    <w:rsid w:val="00A729E8"/>
    <w:rsid w:val="00A73D43"/>
    <w:rsid w:val="00A73E67"/>
    <w:rsid w:val="00A73E91"/>
    <w:rsid w:val="00A75187"/>
    <w:rsid w:val="00A81CA6"/>
    <w:rsid w:val="00A82740"/>
    <w:rsid w:val="00A83127"/>
    <w:rsid w:val="00A83A4F"/>
    <w:rsid w:val="00A83D55"/>
    <w:rsid w:val="00A8455A"/>
    <w:rsid w:val="00A8484B"/>
    <w:rsid w:val="00A86C36"/>
    <w:rsid w:val="00A87016"/>
    <w:rsid w:val="00A87CBB"/>
    <w:rsid w:val="00A915E6"/>
    <w:rsid w:val="00A93383"/>
    <w:rsid w:val="00A95CFB"/>
    <w:rsid w:val="00A97473"/>
    <w:rsid w:val="00AA2768"/>
    <w:rsid w:val="00AA36AD"/>
    <w:rsid w:val="00AA4E5B"/>
    <w:rsid w:val="00AA66C6"/>
    <w:rsid w:val="00AA7926"/>
    <w:rsid w:val="00AB0759"/>
    <w:rsid w:val="00AB2596"/>
    <w:rsid w:val="00AB55F5"/>
    <w:rsid w:val="00AB61A1"/>
    <w:rsid w:val="00AB7BA1"/>
    <w:rsid w:val="00AC1558"/>
    <w:rsid w:val="00AC3A6A"/>
    <w:rsid w:val="00AC4347"/>
    <w:rsid w:val="00AC5DCD"/>
    <w:rsid w:val="00AC5FBF"/>
    <w:rsid w:val="00AC770A"/>
    <w:rsid w:val="00AD0DD6"/>
    <w:rsid w:val="00AD14AD"/>
    <w:rsid w:val="00AD1842"/>
    <w:rsid w:val="00AD2115"/>
    <w:rsid w:val="00AD2CBF"/>
    <w:rsid w:val="00AE06E7"/>
    <w:rsid w:val="00AE0F1B"/>
    <w:rsid w:val="00AE3695"/>
    <w:rsid w:val="00AE4B4F"/>
    <w:rsid w:val="00AE52F8"/>
    <w:rsid w:val="00AE5B15"/>
    <w:rsid w:val="00AE6AE3"/>
    <w:rsid w:val="00AE6D2D"/>
    <w:rsid w:val="00AF091B"/>
    <w:rsid w:val="00AF0E85"/>
    <w:rsid w:val="00AF18EA"/>
    <w:rsid w:val="00AF1ACE"/>
    <w:rsid w:val="00AF3963"/>
    <w:rsid w:val="00AF43D0"/>
    <w:rsid w:val="00AF4AEB"/>
    <w:rsid w:val="00AF51F5"/>
    <w:rsid w:val="00AF64EC"/>
    <w:rsid w:val="00AF673E"/>
    <w:rsid w:val="00AF6A0B"/>
    <w:rsid w:val="00AF6A24"/>
    <w:rsid w:val="00AF73FA"/>
    <w:rsid w:val="00AF7F65"/>
    <w:rsid w:val="00B01D85"/>
    <w:rsid w:val="00B024A5"/>
    <w:rsid w:val="00B05737"/>
    <w:rsid w:val="00B05EFE"/>
    <w:rsid w:val="00B06D50"/>
    <w:rsid w:val="00B07057"/>
    <w:rsid w:val="00B07117"/>
    <w:rsid w:val="00B10961"/>
    <w:rsid w:val="00B10CAB"/>
    <w:rsid w:val="00B11396"/>
    <w:rsid w:val="00B114C9"/>
    <w:rsid w:val="00B11DB3"/>
    <w:rsid w:val="00B13797"/>
    <w:rsid w:val="00B1507E"/>
    <w:rsid w:val="00B156DF"/>
    <w:rsid w:val="00B1590E"/>
    <w:rsid w:val="00B15E2B"/>
    <w:rsid w:val="00B16364"/>
    <w:rsid w:val="00B16E96"/>
    <w:rsid w:val="00B17AC1"/>
    <w:rsid w:val="00B203C6"/>
    <w:rsid w:val="00B23146"/>
    <w:rsid w:val="00B2386D"/>
    <w:rsid w:val="00B2475C"/>
    <w:rsid w:val="00B24E27"/>
    <w:rsid w:val="00B25185"/>
    <w:rsid w:val="00B25923"/>
    <w:rsid w:val="00B25D33"/>
    <w:rsid w:val="00B26454"/>
    <w:rsid w:val="00B31614"/>
    <w:rsid w:val="00B317D8"/>
    <w:rsid w:val="00B3249A"/>
    <w:rsid w:val="00B326A6"/>
    <w:rsid w:val="00B356FC"/>
    <w:rsid w:val="00B35E94"/>
    <w:rsid w:val="00B37210"/>
    <w:rsid w:val="00B41D14"/>
    <w:rsid w:val="00B46D6D"/>
    <w:rsid w:val="00B46D8C"/>
    <w:rsid w:val="00B4750C"/>
    <w:rsid w:val="00B50765"/>
    <w:rsid w:val="00B50C9A"/>
    <w:rsid w:val="00B510B6"/>
    <w:rsid w:val="00B5215E"/>
    <w:rsid w:val="00B526C9"/>
    <w:rsid w:val="00B560AC"/>
    <w:rsid w:val="00B56956"/>
    <w:rsid w:val="00B57E10"/>
    <w:rsid w:val="00B606A1"/>
    <w:rsid w:val="00B61CD9"/>
    <w:rsid w:val="00B63A6B"/>
    <w:rsid w:val="00B63A7B"/>
    <w:rsid w:val="00B66C98"/>
    <w:rsid w:val="00B66F1D"/>
    <w:rsid w:val="00B672B5"/>
    <w:rsid w:val="00B67623"/>
    <w:rsid w:val="00B67C8F"/>
    <w:rsid w:val="00B706F4"/>
    <w:rsid w:val="00B70D3A"/>
    <w:rsid w:val="00B714A5"/>
    <w:rsid w:val="00B7171B"/>
    <w:rsid w:val="00B72510"/>
    <w:rsid w:val="00B74884"/>
    <w:rsid w:val="00B7792A"/>
    <w:rsid w:val="00B77C28"/>
    <w:rsid w:val="00B77D4C"/>
    <w:rsid w:val="00B77D4F"/>
    <w:rsid w:val="00B83D0F"/>
    <w:rsid w:val="00B83FAE"/>
    <w:rsid w:val="00B84AF5"/>
    <w:rsid w:val="00B85FA9"/>
    <w:rsid w:val="00B8646B"/>
    <w:rsid w:val="00B86EC0"/>
    <w:rsid w:val="00B87307"/>
    <w:rsid w:val="00B877A4"/>
    <w:rsid w:val="00B91DD0"/>
    <w:rsid w:val="00B93E52"/>
    <w:rsid w:val="00B94CC3"/>
    <w:rsid w:val="00B95BC3"/>
    <w:rsid w:val="00BA04FC"/>
    <w:rsid w:val="00BA06FF"/>
    <w:rsid w:val="00BA1264"/>
    <w:rsid w:val="00BA167A"/>
    <w:rsid w:val="00BA4277"/>
    <w:rsid w:val="00BA4FDC"/>
    <w:rsid w:val="00BA50A8"/>
    <w:rsid w:val="00BA5C62"/>
    <w:rsid w:val="00BA6208"/>
    <w:rsid w:val="00BA654D"/>
    <w:rsid w:val="00BA6BBD"/>
    <w:rsid w:val="00BA7ECB"/>
    <w:rsid w:val="00BB1694"/>
    <w:rsid w:val="00BB19F7"/>
    <w:rsid w:val="00BB3672"/>
    <w:rsid w:val="00BB6DDD"/>
    <w:rsid w:val="00BC0828"/>
    <w:rsid w:val="00BC14B5"/>
    <w:rsid w:val="00BC2FF5"/>
    <w:rsid w:val="00BC4062"/>
    <w:rsid w:val="00BC5306"/>
    <w:rsid w:val="00BC568C"/>
    <w:rsid w:val="00BC68AF"/>
    <w:rsid w:val="00BC785E"/>
    <w:rsid w:val="00BC7FB3"/>
    <w:rsid w:val="00BD06F2"/>
    <w:rsid w:val="00BD0EAD"/>
    <w:rsid w:val="00BD1563"/>
    <w:rsid w:val="00BD2B3F"/>
    <w:rsid w:val="00BD38E8"/>
    <w:rsid w:val="00BD3B2E"/>
    <w:rsid w:val="00BD4853"/>
    <w:rsid w:val="00BD541D"/>
    <w:rsid w:val="00BD5D0F"/>
    <w:rsid w:val="00BD7E83"/>
    <w:rsid w:val="00BD7F59"/>
    <w:rsid w:val="00BE0237"/>
    <w:rsid w:val="00BE0E7E"/>
    <w:rsid w:val="00BE1705"/>
    <w:rsid w:val="00BE3019"/>
    <w:rsid w:val="00BE6528"/>
    <w:rsid w:val="00BE6907"/>
    <w:rsid w:val="00BE704B"/>
    <w:rsid w:val="00BF005A"/>
    <w:rsid w:val="00BF33E6"/>
    <w:rsid w:val="00BF3807"/>
    <w:rsid w:val="00BF3C7B"/>
    <w:rsid w:val="00BF410A"/>
    <w:rsid w:val="00BF5A5F"/>
    <w:rsid w:val="00BF62AF"/>
    <w:rsid w:val="00BF6EDB"/>
    <w:rsid w:val="00C02618"/>
    <w:rsid w:val="00C0278E"/>
    <w:rsid w:val="00C02ED8"/>
    <w:rsid w:val="00C03345"/>
    <w:rsid w:val="00C03A70"/>
    <w:rsid w:val="00C047EA"/>
    <w:rsid w:val="00C06039"/>
    <w:rsid w:val="00C06E11"/>
    <w:rsid w:val="00C100C8"/>
    <w:rsid w:val="00C105D9"/>
    <w:rsid w:val="00C10FE6"/>
    <w:rsid w:val="00C11825"/>
    <w:rsid w:val="00C11CC8"/>
    <w:rsid w:val="00C12114"/>
    <w:rsid w:val="00C130B4"/>
    <w:rsid w:val="00C15D1E"/>
    <w:rsid w:val="00C15FF2"/>
    <w:rsid w:val="00C17757"/>
    <w:rsid w:val="00C21F3F"/>
    <w:rsid w:val="00C230FE"/>
    <w:rsid w:val="00C23AAB"/>
    <w:rsid w:val="00C23FAF"/>
    <w:rsid w:val="00C2505D"/>
    <w:rsid w:val="00C25B5F"/>
    <w:rsid w:val="00C2658C"/>
    <w:rsid w:val="00C267D1"/>
    <w:rsid w:val="00C27531"/>
    <w:rsid w:val="00C3161A"/>
    <w:rsid w:val="00C32745"/>
    <w:rsid w:val="00C363F0"/>
    <w:rsid w:val="00C41C6B"/>
    <w:rsid w:val="00C421F9"/>
    <w:rsid w:val="00C43C9B"/>
    <w:rsid w:val="00C44032"/>
    <w:rsid w:val="00C46823"/>
    <w:rsid w:val="00C47A98"/>
    <w:rsid w:val="00C47FE8"/>
    <w:rsid w:val="00C51B83"/>
    <w:rsid w:val="00C52513"/>
    <w:rsid w:val="00C53741"/>
    <w:rsid w:val="00C54C24"/>
    <w:rsid w:val="00C578C3"/>
    <w:rsid w:val="00C57962"/>
    <w:rsid w:val="00C6101E"/>
    <w:rsid w:val="00C646E5"/>
    <w:rsid w:val="00C65F53"/>
    <w:rsid w:val="00C66FFC"/>
    <w:rsid w:val="00C67AA6"/>
    <w:rsid w:val="00C71056"/>
    <w:rsid w:val="00C71463"/>
    <w:rsid w:val="00C71B89"/>
    <w:rsid w:val="00C71FE5"/>
    <w:rsid w:val="00C723D7"/>
    <w:rsid w:val="00C7362E"/>
    <w:rsid w:val="00C73D57"/>
    <w:rsid w:val="00C74487"/>
    <w:rsid w:val="00C74493"/>
    <w:rsid w:val="00C761A9"/>
    <w:rsid w:val="00C7657B"/>
    <w:rsid w:val="00C765EE"/>
    <w:rsid w:val="00C7696A"/>
    <w:rsid w:val="00C76B26"/>
    <w:rsid w:val="00C77045"/>
    <w:rsid w:val="00C7783B"/>
    <w:rsid w:val="00C802A7"/>
    <w:rsid w:val="00C813FD"/>
    <w:rsid w:val="00C82549"/>
    <w:rsid w:val="00C83C6E"/>
    <w:rsid w:val="00C86672"/>
    <w:rsid w:val="00C869F2"/>
    <w:rsid w:val="00C91B6E"/>
    <w:rsid w:val="00C95F2B"/>
    <w:rsid w:val="00CA05B7"/>
    <w:rsid w:val="00CA0A3E"/>
    <w:rsid w:val="00CA0D53"/>
    <w:rsid w:val="00CA25C2"/>
    <w:rsid w:val="00CA294F"/>
    <w:rsid w:val="00CA4FF3"/>
    <w:rsid w:val="00CA5785"/>
    <w:rsid w:val="00CA6558"/>
    <w:rsid w:val="00CA668D"/>
    <w:rsid w:val="00CA7B35"/>
    <w:rsid w:val="00CB1375"/>
    <w:rsid w:val="00CB1F17"/>
    <w:rsid w:val="00CB2A4D"/>
    <w:rsid w:val="00CB5E79"/>
    <w:rsid w:val="00CB5ECB"/>
    <w:rsid w:val="00CB7314"/>
    <w:rsid w:val="00CB7E8C"/>
    <w:rsid w:val="00CC0054"/>
    <w:rsid w:val="00CC3103"/>
    <w:rsid w:val="00CC3DF8"/>
    <w:rsid w:val="00CC482C"/>
    <w:rsid w:val="00CC5581"/>
    <w:rsid w:val="00CC5E1D"/>
    <w:rsid w:val="00CC69D5"/>
    <w:rsid w:val="00CC78DE"/>
    <w:rsid w:val="00CC7A91"/>
    <w:rsid w:val="00CD0410"/>
    <w:rsid w:val="00CD10F8"/>
    <w:rsid w:val="00CD2D39"/>
    <w:rsid w:val="00CD3998"/>
    <w:rsid w:val="00CD3A04"/>
    <w:rsid w:val="00CD4F2C"/>
    <w:rsid w:val="00CD582F"/>
    <w:rsid w:val="00CD5FDA"/>
    <w:rsid w:val="00CD5FE6"/>
    <w:rsid w:val="00CD63EC"/>
    <w:rsid w:val="00CD65BD"/>
    <w:rsid w:val="00CE0D8B"/>
    <w:rsid w:val="00CE19C2"/>
    <w:rsid w:val="00CE2F3D"/>
    <w:rsid w:val="00CE4D47"/>
    <w:rsid w:val="00CE6A40"/>
    <w:rsid w:val="00CE7E0B"/>
    <w:rsid w:val="00CE7FA7"/>
    <w:rsid w:val="00CF0C68"/>
    <w:rsid w:val="00CF1B56"/>
    <w:rsid w:val="00CF3EBD"/>
    <w:rsid w:val="00CF3EDD"/>
    <w:rsid w:val="00CF44ED"/>
    <w:rsid w:val="00CF46BB"/>
    <w:rsid w:val="00CF4E4A"/>
    <w:rsid w:val="00CF5065"/>
    <w:rsid w:val="00CF52CF"/>
    <w:rsid w:val="00CF6BA7"/>
    <w:rsid w:val="00D0133A"/>
    <w:rsid w:val="00D01342"/>
    <w:rsid w:val="00D0196A"/>
    <w:rsid w:val="00D01C48"/>
    <w:rsid w:val="00D033D7"/>
    <w:rsid w:val="00D033E1"/>
    <w:rsid w:val="00D035DB"/>
    <w:rsid w:val="00D05895"/>
    <w:rsid w:val="00D05F7D"/>
    <w:rsid w:val="00D0790C"/>
    <w:rsid w:val="00D108EE"/>
    <w:rsid w:val="00D10A2C"/>
    <w:rsid w:val="00D10EAE"/>
    <w:rsid w:val="00D11AA5"/>
    <w:rsid w:val="00D1210C"/>
    <w:rsid w:val="00D139D3"/>
    <w:rsid w:val="00D13EA4"/>
    <w:rsid w:val="00D1799E"/>
    <w:rsid w:val="00D17EBF"/>
    <w:rsid w:val="00D20E4F"/>
    <w:rsid w:val="00D23570"/>
    <w:rsid w:val="00D23D85"/>
    <w:rsid w:val="00D23D92"/>
    <w:rsid w:val="00D266DC"/>
    <w:rsid w:val="00D276C7"/>
    <w:rsid w:val="00D27E7B"/>
    <w:rsid w:val="00D27EEC"/>
    <w:rsid w:val="00D310C7"/>
    <w:rsid w:val="00D325E0"/>
    <w:rsid w:val="00D33850"/>
    <w:rsid w:val="00D33954"/>
    <w:rsid w:val="00D35989"/>
    <w:rsid w:val="00D35B9D"/>
    <w:rsid w:val="00D37859"/>
    <w:rsid w:val="00D42EE9"/>
    <w:rsid w:val="00D4311D"/>
    <w:rsid w:val="00D434C6"/>
    <w:rsid w:val="00D440A7"/>
    <w:rsid w:val="00D46236"/>
    <w:rsid w:val="00D46D92"/>
    <w:rsid w:val="00D50534"/>
    <w:rsid w:val="00D532AE"/>
    <w:rsid w:val="00D54A10"/>
    <w:rsid w:val="00D54E9B"/>
    <w:rsid w:val="00D60694"/>
    <w:rsid w:val="00D61C8E"/>
    <w:rsid w:val="00D6322F"/>
    <w:rsid w:val="00D633D2"/>
    <w:rsid w:val="00D64F71"/>
    <w:rsid w:val="00D6590E"/>
    <w:rsid w:val="00D6664B"/>
    <w:rsid w:val="00D70551"/>
    <w:rsid w:val="00D713D5"/>
    <w:rsid w:val="00D72668"/>
    <w:rsid w:val="00D74AB9"/>
    <w:rsid w:val="00D76C24"/>
    <w:rsid w:val="00D77A51"/>
    <w:rsid w:val="00D81EC2"/>
    <w:rsid w:val="00D82910"/>
    <w:rsid w:val="00D83955"/>
    <w:rsid w:val="00D84DFD"/>
    <w:rsid w:val="00D854C1"/>
    <w:rsid w:val="00D87D0C"/>
    <w:rsid w:val="00D93777"/>
    <w:rsid w:val="00D949F6"/>
    <w:rsid w:val="00D94CFC"/>
    <w:rsid w:val="00D97212"/>
    <w:rsid w:val="00D97773"/>
    <w:rsid w:val="00DA0238"/>
    <w:rsid w:val="00DA03D4"/>
    <w:rsid w:val="00DA0FDB"/>
    <w:rsid w:val="00DA296D"/>
    <w:rsid w:val="00DA3FA9"/>
    <w:rsid w:val="00DA756A"/>
    <w:rsid w:val="00DA7C26"/>
    <w:rsid w:val="00DA7F95"/>
    <w:rsid w:val="00DB01B8"/>
    <w:rsid w:val="00DB0758"/>
    <w:rsid w:val="00DB0D00"/>
    <w:rsid w:val="00DB30F1"/>
    <w:rsid w:val="00DB3B71"/>
    <w:rsid w:val="00DB538F"/>
    <w:rsid w:val="00DB546C"/>
    <w:rsid w:val="00DB5C77"/>
    <w:rsid w:val="00DB67A5"/>
    <w:rsid w:val="00DC08DA"/>
    <w:rsid w:val="00DC0A43"/>
    <w:rsid w:val="00DC0F08"/>
    <w:rsid w:val="00DC20D1"/>
    <w:rsid w:val="00DC511E"/>
    <w:rsid w:val="00DC5E09"/>
    <w:rsid w:val="00DC60D2"/>
    <w:rsid w:val="00DC6B47"/>
    <w:rsid w:val="00DC6CDF"/>
    <w:rsid w:val="00DD086B"/>
    <w:rsid w:val="00DD08A5"/>
    <w:rsid w:val="00DD0C39"/>
    <w:rsid w:val="00DD3615"/>
    <w:rsid w:val="00DD4150"/>
    <w:rsid w:val="00DD61B5"/>
    <w:rsid w:val="00DD74F2"/>
    <w:rsid w:val="00DE04CF"/>
    <w:rsid w:val="00DE0F5A"/>
    <w:rsid w:val="00DE3263"/>
    <w:rsid w:val="00DE3FAF"/>
    <w:rsid w:val="00DE4A83"/>
    <w:rsid w:val="00DE4B2F"/>
    <w:rsid w:val="00DE5516"/>
    <w:rsid w:val="00DE6C19"/>
    <w:rsid w:val="00DF19BE"/>
    <w:rsid w:val="00DF1B23"/>
    <w:rsid w:val="00DF2F0F"/>
    <w:rsid w:val="00DF3B82"/>
    <w:rsid w:val="00DF49BD"/>
    <w:rsid w:val="00DF4D4D"/>
    <w:rsid w:val="00DF5F02"/>
    <w:rsid w:val="00DF716F"/>
    <w:rsid w:val="00DF767C"/>
    <w:rsid w:val="00E0052E"/>
    <w:rsid w:val="00E02714"/>
    <w:rsid w:val="00E02DD5"/>
    <w:rsid w:val="00E02FBE"/>
    <w:rsid w:val="00E03816"/>
    <w:rsid w:val="00E03EE3"/>
    <w:rsid w:val="00E0469A"/>
    <w:rsid w:val="00E04793"/>
    <w:rsid w:val="00E049BF"/>
    <w:rsid w:val="00E06495"/>
    <w:rsid w:val="00E07676"/>
    <w:rsid w:val="00E10A89"/>
    <w:rsid w:val="00E10AD9"/>
    <w:rsid w:val="00E11568"/>
    <w:rsid w:val="00E13E70"/>
    <w:rsid w:val="00E14A25"/>
    <w:rsid w:val="00E174F4"/>
    <w:rsid w:val="00E176F6"/>
    <w:rsid w:val="00E178C8"/>
    <w:rsid w:val="00E17A60"/>
    <w:rsid w:val="00E22F23"/>
    <w:rsid w:val="00E23520"/>
    <w:rsid w:val="00E23B1C"/>
    <w:rsid w:val="00E23D4C"/>
    <w:rsid w:val="00E2487C"/>
    <w:rsid w:val="00E24F7A"/>
    <w:rsid w:val="00E24FAD"/>
    <w:rsid w:val="00E2710E"/>
    <w:rsid w:val="00E30F91"/>
    <w:rsid w:val="00E3103D"/>
    <w:rsid w:val="00E31B90"/>
    <w:rsid w:val="00E337B2"/>
    <w:rsid w:val="00E3531C"/>
    <w:rsid w:val="00E35416"/>
    <w:rsid w:val="00E36BF1"/>
    <w:rsid w:val="00E36E46"/>
    <w:rsid w:val="00E37618"/>
    <w:rsid w:val="00E41785"/>
    <w:rsid w:val="00E43DFD"/>
    <w:rsid w:val="00E44EBF"/>
    <w:rsid w:val="00E4762E"/>
    <w:rsid w:val="00E501C0"/>
    <w:rsid w:val="00E51FA5"/>
    <w:rsid w:val="00E521A1"/>
    <w:rsid w:val="00E52752"/>
    <w:rsid w:val="00E5297B"/>
    <w:rsid w:val="00E537CC"/>
    <w:rsid w:val="00E56FCE"/>
    <w:rsid w:val="00E5726A"/>
    <w:rsid w:val="00E5795C"/>
    <w:rsid w:val="00E6072E"/>
    <w:rsid w:val="00E60E9B"/>
    <w:rsid w:val="00E6196D"/>
    <w:rsid w:val="00E62792"/>
    <w:rsid w:val="00E6333F"/>
    <w:rsid w:val="00E633E6"/>
    <w:rsid w:val="00E646E7"/>
    <w:rsid w:val="00E66B35"/>
    <w:rsid w:val="00E701E7"/>
    <w:rsid w:val="00E7162D"/>
    <w:rsid w:val="00E72733"/>
    <w:rsid w:val="00E72845"/>
    <w:rsid w:val="00E72AAC"/>
    <w:rsid w:val="00E72D5D"/>
    <w:rsid w:val="00E73C58"/>
    <w:rsid w:val="00E74669"/>
    <w:rsid w:val="00E7494F"/>
    <w:rsid w:val="00E75B70"/>
    <w:rsid w:val="00E75FE4"/>
    <w:rsid w:val="00E76A6B"/>
    <w:rsid w:val="00E806C2"/>
    <w:rsid w:val="00E80FE5"/>
    <w:rsid w:val="00E8119F"/>
    <w:rsid w:val="00E81476"/>
    <w:rsid w:val="00E81B76"/>
    <w:rsid w:val="00E8344D"/>
    <w:rsid w:val="00E856EC"/>
    <w:rsid w:val="00E9062B"/>
    <w:rsid w:val="00E90ACB"/>
    <w:rsid w:val="00E90F40"/>
    <w:rsid w:val="00E90FD6"/>
    <w:rsid w:val="00E91AA4"/>
    <w:rsid w:val="00E961C3"/>
    <w:rsid w:val="00EA0CBB"/>
    <w:rsid w:val="00EA12C9"/>
    <w:rsid w:val="00EA20A5"/>
    <w:rsid w:val="00EA33B8"/>
    <w:rsid w:val="00EA38EC"/>
    <w:rsid w:val="00EA5795"/>
    <w:rsid w:val="00EA7740"/>
    <w:rsid w:val="00EA7A62"/>
    <w:rsid w:val="00EA7F08"/>
    <w:rsid w:val="00EB1BA4"/>
    <w:rsid w:val="00EB4EDA"/>
    <w:rsid w:val="00EB65EE"/>
    <w:rsid w:val="00EB6815"/>
    <w:rsid w:val="00EB6BB6"/>
    <w:rsid w:val="00EC0184"/>
    <w:rsid w:val="00EC0712"/>
    <w:rsid w:val="00EC0CF1"/>
    <w:rsid w:val="00EC2172"/>
    <w:rsid w:val="00EC2B8E"/>
    <w:rsid w:val="00EC2BE6"/>
    <w:rsid w:val="00EC3400"/>
    <w:rsid w:val="00EC3580"/>
    <w:rsid w:val="00EC50A5"/>
    <w:rsid w:val="00ED0CDC"/>
    <w:rsid w:val="00ED0D95"/>
    <w:rsid w:val="00ED23E2"/>
    <w:rsid w:val="00ED28BF"/>
    <w:rsid w:val="00ED378A"/>
    <w:rsid w:val="00ED3C3F"/>
    <w:rsid w:val="00ED3E73"/>
    <w:rsid w:val="00ED4358"/>
    <w:rsid w:val="00ED6903"/>
    <w:rsid w:val="00ED7637"/>
    <w:rsid w:val="00EE2A50"/>
    <w:rsid w:val="00EE2B49"/>
    <w:rsid w:val="00EE323C"/>
    <w:rsid w:val="00EE3372"/>
    <w:rsid w:val="00EE4410"/>
    <w:rsid w:val="00EE53A8"/>
    <w:rsid w:val="00EE6AA0"/>
    <w:rsid w:val="00EF2F29"/>
    <w:rsid w:val="00EF2F3E"/>
    <w:rsid w:val="00EF3AFE"/>
    <w:rsid w:val="00EF4CF5"/>
    <w:rsid w:val="00EF69B5"/>
    <w:rsid w:val="00F00B51"/>
    <w:rsid w:val="00F02567"/>
    <w:rsid w:val="00F02D04"/>
    <w:rsid w:val="00F03B95"/>
    <w:rsid w:val="00F05594"/>
    <w:rsid w:val="00F0729B"/>
    <w:rsid w:val="00F07FDF"/>
    <w:rsid w:val="00F102BD"/>
    <w:rsid w:val="00F10353"/>
    <w:rsid w:val="00F105A5"/>
    <w:rsid w:val="00F11463"/>
    <w:rsid w:val="00F13DC2"/>
    <w:rsid w:val="00F20B03"/>
    <w:rsid w:val="00F210BD"/>
    <w:rsid w:val="00F218C5"/>
    <w:rsid w:val="00F2337D"/>
    <w:rsid w:val="00F236F5"/>
    <w:rsid w:val="00F268A1"/>
    <w:rsid w:val="00F27ECA"/>
    <w:rsid w:val="00F30620"/>
    <w:rsid w:val="00F31B45"/>
    <w:rsid w:val="00F31E24"/>
    <w:rsid w:val="00F33166"/>
    <w:rsid w:val="00F33563"/>
    <w:rsid w:val="00F33B92"/>
    <w:rsid w:val="00F33D4E"/>
    <w:rsid w:val="00F34134"/>
    <w:rsid w:val="00F35DE4"/>
    <w:rsid w:val="00F36698"/>
    <w:rsid w:val="00F36715"/>
    <w:rsid w:val="00F37A6B"/>
    <w:rsid w:val="00F41D95"/>
    <w:rsid w:val="00F4295F"/>
    <w:rsid w:val="00F42D1C"/>
    <w:rsid w:val="00F45DD0"/>
    <w:rsid w:val="00F46584"/>
    <w:rsid w:val="00F51AFE"/>
    <w:rsid w:val="00F52674"/>
    <w:rsid w:val="00F5348B"/>
    <w:rsid w:val="00F544C6"/>
    <w:rsid w:val="00F552A5"/>
    <w:rsid w:val="00F5754F"/>
    <w:rsid w:val="00F57AE2"/>
    <w:rsid w:val="00F60AB2"/>
    <w:rsid w:val="00F61421"/>
    <w:rsid w:val="00F6258F"/>
    <w:rsid w:val="00F6585C"/>
    <w:rsid w:val="00F664C2"/>
    <w:rsid w:val="00F66840"/>
    <w:rsid w:val="00F700B1"/>
    <w:rsid w:val="00F73BD1"/>
    <w:rsid w:val="00F74AFF"/>
    <w:rsid w:val="00F75BF7"/>
    <w:rsid w:val="00F76A54"/>
    <w:rsid w:val="00F76E19"/>
    <w:rsid w:val="00F80DF0"/>
    <w:rsid w:val="00F8108C"/>
    <w:rsid w:val="00F81E1A"/>
    <w:rsid w:val="00F828D3"/>
    <w:rsid w:val="00F836DD"/>
    <w:rsid w:val="00F83878"/>
    <w:rsid w:val="00F874E3"/>
    <w:rsid w:val="00F93BF2"/>
    <w:rsid w:val="00F942EA"/>
    <w:rsid w:val="00F94612"/>
    <w:rsid w:val="00F95119"/>
    <w:rsid w:val="00F95210"/>
    <w:rsid w:val="00F9664F"/>
    <w:rsid w:val="00FA0107"/>
    <w:rsid w:val="00FA0265"/>
    <w:rsid w:val="00FA0A15"/>
    <w:rsid w:val="00FA25A3"/>
    <w:rsid w:val="00FA2A36"/>
    <w:rsid w:val="00FA34DE"/>
    <w:rsid w:val="00FA48A8"/>
    <w:rsid w:val="00FA539B"/>
    <w:rsid w:val="00FA564F"/>
    <w:rsid w:val="00FA570F"/>
    <w:rsid w:val="00FA67C2"/>
    <w:rsid w:val="00FA6D82"/>
    <w:rsid w:val="00FA7150"/>
    <w:rsid w:val="00FB0563"/>
    <w:rsid w:val="00FB0D28"/>
    <w:rsid w:val="00FB2373"/>
    <w:rsid w:val="00FB4553"/>
    <w:rsid w:val="00FC0494"/>
    <w:rsid w:val="00FC160B"/>
    <w:rsid w:val="00FC170F"/>
    <w:rsid w:val="00FC2DAC"/>
    <w:rsid w:val="00FC41CE"/>
    <w:rsid w:val="00FD085C"/>
    <w:rsid w:val="00FD0F1C"/>
    <w:rsid w:val="00FD5348"/>
    <w:rsid w:val="00FD5BFB"/>
    <w:rsid w:val="00FD5E69"/>
    <w:rsid w:val="00FD669E"/>
    <w:rsid w:val="00FE20A5"/>
    <w:rsid w:val="00FE212C"/>
    <w:rsid w:val="00FE225E"/>
    <w:rsid w:val="00FE26BD"/>
    <w:rsid w:val="00FE276E"/>
    <w:rsid w:val="00FE2B90"/>
    <w:rsid w:val="00FE3225"/>
    <w:rsid w:val="00FE35E1"/>
    <w:rsid w:val="00FE3B5F"/>
    <w:rsid w:val="00FE4AAD"/>
    <w:rsid w:val="00FE5585"/>
    <w:rsid w:val="00FE7797"/>
    <w:rsid w:val="00FF0437"/>
    <w:rsid w:val="00FF0BE8"/>
    <w:rsid w:val="00FF2998"/>
    <w:rsid w:val="00FF309B"/>
    <w:rsid w:val="00FF3686"/>
    <w:rsid w:val="00FF48A5"/>
    <w:rsid w:val="00FF49E5"/>
    <w:rsid w:val="00FF562A"/>
    <w:rsid w:val="00FF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882FD75-3731-47F8-AC53-2F5B8663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Calibri" w:hAnsi="Georg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05A"/>
    <w:pPr>
      <w:spacing w:line="288" w:lineRule="auto"/>
      <w:jc w:val="both"/>
    </w:pPr>
    <w:rPr>
      <w:rFonts w:eastAsia="Times New Roman"/>
      <w:sz w:val="22"/>
      <w:szCs w:val="24"/>
    </w:rPr>
  </w:style>
  <w:style w:type="paragraph" w:styleId="Heading1">
    <w:name w:val="heading 1"/>
    <w:basedOn w:val="Normal"/>
    <w:next w:val="Normal"/>
    <w:link w:val="Heading1Char"/>
    <w:qFormat/>
    <w:rsid w:val="00AE0F1B"/>
    <w:pPr>
      <w:keepNext/>
      <w:numPr>
        <w:numId w:val="2"/>
      </w:numPr>
      <w:shd w:val="clear" w:color="auto" w:fill="E6E6E6"/>
      <w:spacing w:before="360" w:after="240" w:line="240" w:lineRule="auto"/>
      <w:jc w:val="left"/>
      <w:outlineLvl w:val="0"/>
    </w:pPr>
    <w:rPr>
      <w:rFonts w:ascii="Arial" w:hAnsi="Arial"/>
      <w:b/>
      <w:bCs/>
      <w:w w:val="120"/>
      <w:kern w:val="32"/>
      <w:sz w:val="24"/>
      <w:szCs w:val="32"/>
      <w:lang w:val="hr-HR"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795C"/>
    <w:pPr>
      <w:tabs>
        <w:tab w:val="center" w:pos="4320"/>
        <w:tab w:val="right" w:pos="8640"/>
      </w:tabs>
      <w:spacing w:line="240" w:lineRule="auto"/>
    </w:pPr>
    <w:rPr>
      <w:sz w:val="20"/>
      <w:lang w:val="sq-AL" w:eastAsia="x-none"/>
    </w:rPr>
  </w:style>
  <w:style w:type="character" w:customStyle="1" w:styleId="HeaderChar">
    <w:name w:val="Header Char"/>
    <w:link w:val="Header"/>
    <w:uiPriority w:val="99"/>
    <w:rsid w:val="00E5795C"/>
    <w:rPr>
      <w:rFonts w:eastAsia="Times New Roman"/>
      <w:kern w:val="0"/>
      <w:szCs w:val="24"/>
      <w:lang w:val="sq-AL"/>
    </w:rPr>
  </w:style>
  <w:style w:type="paragraph" w:styleId="Footer">
    <w:name w:val="footer"/>
    <w:basedOn w:val="Normal"/>
    <w:link w:val="FooterChar"/>
    <w:uiPriority w:val="99"/>
    <w:rsid w:val="00E5795C"/>
    <w:pPr>
      <w:tabs>
        <w:tab w:val="center" w:pos="4320"/>
        <w:tab w:val="right" w:pos="8640"/>
      </w:tabs>
      <w:spacing w:line="240" w:lineRule="auto"/>
    </w:pPr>
    <w:rPr>
      <w:sz w:val="20"/>
      <w:lang w:val="sq-AL" w:eastAsia="x-none"/>
    </w:rPr>
  </w:style>
  <w:style w:type="character" w:customStyle="1" w:styleId="FooterChar">
    <w:name w:val="Footer Char"/>
    <w:link w:val="Footer"/>
    <w:uiPriority w:val="99"/>
    <w:rsid w:val="00E5795C"/>
    <w:rPr>
      <w:rFonts w:eastAsia="Times New Roman"/>
      <w:kern w:val="0"/>
      <w:sz w:val="20"/>
      <w:szCs w:val="24"/>
      <w:lang w:val="sq-AL"/>
    </w:rPr>
  </w:style>
  <w:style w:type="paragraph" w:styleId="ListParagraph">
    <w:name w:val="List Paragraph"/>
    <w:basedOn w:val="Normal"/>
    <w:link w:val="ListParagraphChar"/>
    <w:uiPriority w:val="34"/>
    <w:qFormat/>
    <w:rsid w:val="00E5795C"/>
    <w:pPr>
      <w:ind w:left="720"/>
    </w:pPr>
    <w:rPr>
      <w:lang w:val="sq-AL" w:eastAsia="x-none"/>
    </w:rPr>
  </w:style>
  <w:style w:type="paragraph" w:styleId="BodyText">
    <w:name w:val="Body Text"/>
    <w:basedOn w:val="Normal"/>
    <w:link w:val="BodyTextChar"/>
    <w:rsid w:val="00E5795C"/>
    <w:pPr>
      <w:suppressAutoHyphens/>
      <w:spacing w:after="120" w:line="240" w:lineRule="auto"/>
      <w:jc w:val="left"/>
    </w:pPr>
    <w:rPr>
      <w:rFonts w:ascii="Times New Roman" w:hAnsi="Times New Roman"/>
      <w:sz w:val="24"/>
      <w:lang w:val="x-none" w:eastAsia="ar-SA"/>
    </w:rPr>
  </w:style>
  <w:style w:type="character" w:customStyle="1" w:styleId="BodyTextChar">
    <w:name w:val="Body Text Char"/>
    <w:link w:val="BodyText"/>
    <w:rsid w:val="00E5795C"/>
    <w:rPr>
      <w:rFonts w:ascii="Times New Roman" w:eastAsia="Times New Roman" w:hAnsi="Times New Roman"/>
      <w:kern w:val="0"/>
      <w:sz w:val="24"/>
      <w:szCs w:val="24"/>
      <w:lang w:eastAsia="ar-SA"/>
    </w:rPr>
  </w:style>
  <w:style w:type="character" w:styleId="FootnoteReference">
    <w:name w:val="footnote reference"/>
    <w:uiPriority w:val="99"/>
    <w:rsid w:val="00E5795C"/>
    <w:rPr>
      <w:vertAlign w:val="superscript"/>
    </w:rPr>
  </w:style>
  <w:style w:type="character" w:customStyle="1" w:styleId="Heading1Char">
    <w:name w:val="Heading 1 Char"/>
    <w:link w:val="Heading1"/>
    <w:rsid w:val="00AE0F1B"/>
    <w:rPr>
      <w:rFonts w:ascii="Arial" w:eastAsia="Times New Roman" w:hAnsi="Arial" w:cs="Arial"/>
      <w:b/>
      <w:bCs/>
      <w:w w:val="120"/>
      <w:kern w:val="32"/>
      <w:sz w:val="24"/>
      <w:szCs w:val="32"/>
      <w:shd w:val="clear" w:color="auto" w:fill="E6E6E6"/>
      <w:lang w:val="hr-HR"/>
    </w:rPr>
  </w:style>
  <w:style w:type="character" w:customStyle="1" w:styleId="ListParagraphChar">
    <w:name w:val="List Paragraph Char"/>
    <w:link w:val="ListParagraph"/>
    <w:uiPriority w:val="34"/>
    <w:locked/>
    <w:rsid w:val="003636DF"/>
    <w:rPr>
      <w:rFonts w:eastAsia="Times New Roman"/>
      <w:sz w:val="22"/>
      <w:szCs w:val="24"/>
      <w:lang w:val="sq-AL"/>
    </w:rPr>
  </w:style>
  <w:style w:type="paragraph" w:styleId="BalloonText">
    <w:name w:val="Balloon Text"/>
    <w:basedOn w:val="Normal"/>
    <w:link w:val="BalloonTextChar"/>
    <w:uiPriority w:val="99"/>
    <w:semiHidden/>
    <w:unhideWhenUsed/>
    <w:rsid w:val="001622E0"/>
    <w:pPr>
      <w:spacing w:line="240" w:lineRule="auto"/>
    </w:pPr>
    <w:rPr>
      <w:rFonts w:ascii="Tahoma" w:hAnsi="Tahoma"/>
      <w:sz w:val="16"/>
      <w:szCs w:val="16"/>
      <w:lang w:val="sq-AL" w:eastAsia="x-none"/>
    </w:rPr>
  </w:style>
  <w:style w:type="character" w:customStyle="1" w:styleId="BalloonTextChar">
    <w:name w:val="Balloon Text Char"/>
    <w:link w:val="BalloonText"/>
    <w:uiPriority w:val="99"/>
    <w:semiHidden/>
    <w:rsid w:val="001622E0"/>
    <w:rPr>
      <w:rFonts w:ascii="Tahoma" w:eastAsia="Times New Roman" w:hAnsi="Tahoma" w:cs="Tahoma"/>
      <w:sz w:val="16"/>
      <w:szCs w:val="16"/>
      <w:lang w:val="sq-AL"/>
    </w:rPr>
  </w:style>
  <w:style w:type="character" w:customStyle="1" w:styleId="hps">
    <w:name w:val="hps"/>
    <w:basedOn w:val="DefaultParagraphFont"/>
    <w:rsid w:val="001C7F32"/>
  </w:style>
  <w:style w:type="character" w:customStyle="1" w:styleId="st">
    <w:name w:val="st"/>
    <w:basedOn w:val="DefaultParagraphFont"/>
    <w:rsid w:val="00DB30F1"/>
  </w:style>
  <w:style w:type="character" w:styleId="CommentReference">
    <w:name w:val="annotation reference"/>
    <w:uiPriority w:val="99"/>
    <w:semiHidden/>
    <w:unhideWhenUsed/>
    <w:rsid w:val="00244F01"/>
    <w:rPr>
      <w:sz w:val="16"/>
      <w:szCs w:val="16"/>
    </w:rPr>
  </w:style>
  <w:style w:type="paragraph" w:styleId="CommentText">
    <w:name w:val="annotation text"/>
    <w:basedOn w:val="Normal"/>
    <w:link w:val="CommentTextChar"/>
    <w:uiPriority w:val="99"/>
    <w:semiHidden/>
    <w:unhideWhenUsed/>
    <w:rsid w:val="00244F01"/>
    <w:rPr>
      <w:sz w:val="20"/>
      <w:szCs w:val="20"/>
      <w:lang w:val="sq-AL" w:eastAsia="x-none"/>
    </w:rPr>
  </w:style>
  <w:style w:type="character" w:customStyle="1" w:styleId="CommentTextChar">
    <w:name w:val="Comment Text Char"/>
    <w:link w:val="CommentText"/>
    <w:uiPriority w:val="99"/>
    <w:semiHidden/>
    <w:rsid w:val="00244F01"/>
    <w:rPr>
      <w:rFonts w:eastAsia="Times New Roman"/>
      <w:lang w:val="sq-AL"/>
    </w:rPr>
  </w:style>
  <w:style w:type="paragraph" w:styleId="CommentSubject">
    <w:name w:val="annotation subject"/>
    <w:basedOn w:val="CommentText"/>
    <w:next w:val="CommentText"/>
    <w:link w:val="CommentSubjectChar"/>
    <w:uiPriority w:val="99"/>
    <w:semiHidden/>
    <w:unhideWhenUsed/>
    <w:rsid w:val="00244F01"/>
    <w:rPr>
      <w:b/>
      <w:bCs/>
    </w:rPr>
  </w:style>
  <w:style w:type="character" w:customStyle="1" w:styleId="CommentSubjectChar">
    <w:name w:val="Comment Subject Char"/>
    <w:link w:val="CommentSubject"/>
    <w:uiPriority w:val="99"/>
    <w:semiHidden/>
    <w:rsid w:val="00244F01"/>
    <w:rPr>
      <w:rFonts w:eastAsia="Times New Roman"/>
      <w:b/>
      <w:bCs/>
      <w:lang w:val="sq-AL"/>
    </w:rPr>
  </w:style>
  <w:style w:type="paragraph" w:styleId="Revision">
    <w:name w:val="Revision"/>
    <w:hidden/>
    <w:uiPriority w:val="99"/>
    <w:semiHidden/>
    <w:rsid w:val="00666F9E"/>
    <w:rPr>
      <w:rFonts w:eastAsia="Times New Roman"/>
      <w:sz w:val="22"/>
      <w:szCs w:val="24"/>
    </w:rPr>
  </w:style>
  <w:style w:type="paragraph" w:styleId="FootnoteText">
    <w:name w:val="footnote text"/>
    <w:basedOn w:val="Normal"/>
    <w:link w:val="FootnoteTextChar"/>
    <w:uiPriority w:val="99"/>
    <w:semiHidden/>
    <w:rsid w:val="00D72668"/>
    <w:pPr>
      <w:spacing w:line="240" w:lineRule="auto"/>
      <w:jc w:val="left"/>
    </w:pPr>
    <w:rPr>
      <w:rFonts w:ascii="Calibri" w:hAnsi="Calibri"/>
      <w:sz w:val="20"/>
      <w:szCs w:val="20"/>
      <w:lang w:val="x-none" w:eastAsia="x-none"/>
    </w:rPr>
  </w:style>
  <w:style w:type="character" w:customStyle="1" w:styleId="FootnoteTextChar">
    <w:name w:val="Footnote Text Char"/>
    <w:link w:val="FootnoteText"/>
    <w:uiPriority w:val="99"/>
    <w:semiHidden/>
    <w:rsid w:val="00D72668"/>
    <w:rPr>
      <w:rFonts w:ascii="Calibri" w:eastAsia="Times New Roman" w:hAnsi="Calibri" w:cs="Calibri"/>
    </w:rPr>
  </w:style>
  <w:style w:type="character" w:styleId="Strong">
    <w:name w:val="Strong"/>
    <w:uiPriority w:val="22"/>
    <w:qFormat/>
    <w:rsid w:val="002E65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5977">
      <w:bodyDiv w:val="1"/>
      <w:marLeft w:val="0"/>
      <w:marRight w:val="0"/>
      <w:marTop w:val="0"/>
      <w:marBottom w:val="0"/>
      <w:divBdr>
        <w:top w:val="none" w:sz="0" w:space="0" w:color="auto"/>
        <w:left w:val="none" w:sz="0" w:space="0" w:color="auto"/>
        <w:bottom w:val="none" w:sz="0" w:space="0" w:color="auto"/>
        <w:right w:val="none" w:sz="0" w:space="0" w:color="auto"/>
      </w:divBdr>
      <w:divsChild>
        <w:div w:id="69280055">
          <w:marLeft w:val="0"/>
          <w:marRight w:val="0"/>
          <w:marTop w:val="0"/>
          <w:marBottom w:val="0"/>
          <w:divBdr>
            <w:top w:val="none" w:sz="0" w:space="0" w:color="auto"/>
            <w:left w:val="none" w:sz="0" w:space="0" w:color="auto"/>
            <w:bottom w:val="none" w:sz="0" w:space="0" w:color="auto"/>
            <w:right w:val="none" w:sz="0" w:space="0" w:color="auto"/>
          </w:divBdr>
        </w:div>
        <w:div w:id="170265328">
          <w:marLeft w:val="0"/>
          <w:marRight w:val="0"/>
          <w:marTop w:val="0"/>
          <w:marBottom w:val="0"/>
          <w:divBdr>
            <w:top w:val="none" w:sz="0" w:space="0" w:color="auto"/>
            <w:left w:val="none" w:sz="0" w:space="0" w:color="auto"/>
            <w:bottom w:val="none" w:sz="0" w:space="0" w:color="auto"/>
            <w:right w:val="none" w:sz="0" w:space="0" w:color="auto"/>
          </w:divBdr>
        </w:div>
        <w:div w:id="452138470">
          <w:marLeft w:val="567"/>
          <w:marRight w:val="0"/>
          <w:marTop w:val="0"/>
          <w:marBottom w:val="0"/>
          <w:divBdr>
            <w:top w:val="none" w:sz="0" w:space="0" w:color="auto"/>
            <w:left w:val="none" w:sz="0" w:space="0" w:color="auto"/>
            <w:bottom w:val="none" w:sz="0" w:space="0" w:color="auto"/>
            <w:right w:val="none" w:sz="0" w:space="0" w:color="auto"/>
          </w:divBdr>
        </w:div>
        <w:div w:id="470248142">
          <w:marLeft w:val="630"/>
          <w:marRight w:val="27"/>
          <w:marTop w:val="0"/>
          <w:marBottom w:val="0"/>
          <w:divBdr>
            <w:top w:val="none" w:sz="0" w:space="0" w:color="auto"/>
            <w:left w:val="none" w:sz="0" w:space="0" w:color="auto"/>
            <w:bottom w:val="none" w:sz="0" w:space="0" w:color="auto"/>
            <w:right w:val="none" w:sz="0" w:space="0" w:color="auto"/>
          </w:divBdr>
        </w:div>
        <w:div w:id="548761685">
          <w:marLeft w:val="630"/>
          <w:marRight w:val="27"/>
          <w:marTop w:val="0"/>
          <w:marBottom w:val="0"/>
          <w:divBdr>
            <w:top w:val="none" w:sz="0" w:space="0" w:color="auto"/>
            <w:left w:val="none" w:sz="0" w:space="0" w:color="auto"/>
            <w:bottom w:val="none" w:sz="0" w:space="0" w:color="auto"/>
            <w:right w:val="none" w:sz="0" w:space="0" w:color="auto"/>
          </w:divBdr>
        </w:div>
        <w:div w:id="566690568">
          <w:marLeft w:val="634"/>
          <w:marRight w:val="0"/>
          <w:marTop w:val="0"/>
          <w:marBottom w:val="0"/>
          <w:divBdr>
            <w:top w:val="none" w:sz="0" w:space="0" w:color="auto"/>
            <w:left w:val="none" w:sz="0" w:space="0" w:color="auto"/>
            <w:bottom w:val="none" w:sz="0" w:space="0" w:color="auto"/>
            <w:right w:val="none" w:sz="0" w:space="0" w:color="auto"/>
          </w:divBdr>
        </w:div>
        <w:div w:id="579867599">
          <w:marLeft w:val="634"/>
          <w:marRight w:val="0"/>
          <w:marTop w:val="0"/>
          <w:marBottom w:val="0"/>
          <w:divBdr>
            <w:top w:val="none" w:sz="0" w:space="0" w:color="auto"/>
            <w:left w:val="none" w:sz="0" w:space="0" w:color="auto"/>
            <w:bottom w:val="none" w:sz="0" w:space="0" w:color="auto"/>
            <w:right w:val="none" w:sz="0" w:space="0" w:color="auto"/>
          </w:divBdr>
        </w:div>
        <w:div w:id="860582400">
          <w:marLeft w:val="1008"/>
          <w:marRight w:val="0"/>
          <w:marTop w:val="0"/>
          <w:marBottom w:val="0"/>
          <w:divBdr>
            <w:top w:val="none" w:sz="0" w:space="0" w:color="auto"/>
            <w:left w:val="none" w:sz="0" w:space="0" w:color="auto"/>
            <w:bottom w:val="none" w:sz="0" w:space="0" w:color="auto"/>
            <w:right w:val="none" w:sz="0" w:space="0" w:color="auto"/>
          </w:divBdr>
        </w:div>
        <w:div w:id="1041244283">
          <w:marLeft w:val="630"/>
          <w:marRight w:val="27"/>
          <w:marTop w:val="0"/>
          <w:marBottom w:val="0"/>
          <w:divBdr>
            <w:top w:val="none" w:sz="0" w:space="0" w:color="auto"/>
            <w:left w:val="none" w:sz="0" w:space="0" w:color="auto"/>
            <w:bottom w:val="none" w:sz="0" w:space="0" w:color="auto"/>
            <w:right w:val="none" w:sz="0" w:space="0" w:color="auto"/>
          </w:divBdr>
        </w:div>
        <w:div w:id="1519735458">
          <w:marLeft w:val="630"/>
          <w:marRight w:val="27"/>
          <w:marTop w:val="0"/>
          <w:marBottom w:val="0"/>
          <w:divBdr>
            <w:top w:val="none" w:sz="0" w:space="0" w:color="auto"/>
            <w:left w:val="none" w:sz="0" w:space="0" w:color="auto"/>
            <w:bottom w:val="none" w:sz="0" w:space="0" w:color="auto"/>
            <w:right w:val="none" w:sz="0" w:space="0" w:color="auto"/>
          </w:divBdr>
        </w:div>
        <w:div w:id="1565795097">
          <w:marLeft w:val="630"/>
          <w:marRight w:val="27"/>
          <w:marTop w:val="0"/>
          <w:marBottom w:val="0"/>
          <w:divBdr>
            <w:top w:val="none" w:sz="0" w:space="0" w:color="auto"/>
            <w:left w:val="none" w:sz="0" w:space="0" w:color="auto"/>
            <w:bottom w:val="none" w:sz="0" w:space="0" w:color="auto"/>
            <w:right w:val="none" w:sz="0" w:space="0" w:color="auto"/>
          </w:divBdr>
        </w:div>
        <w:div w:id="1748263909">
          <w:marLeft w:val="634"/>
          <w:marRight w:val="0"/>
          <w:marTop w:val="0"/>
          <w:marBottom w:val="0"/>
          <w:divBdr>
            <w:top w:val="none" w:sz="0" w:space="0" w:color="auto"/>
            <w:left w:val="none" w:sz="0" w:space="0" w:color="auto"/>
            <w:bottom w:val="none" w:sz="0" w:space="0" w:color="auto"/>
            <w:right w:val="none" w:sz="0" w:space="0" w:color="auto"/>
          </w:divBdr>
        </w:div>
        <w:div w:id="1945841880">
          <w:marLeft w:val="630"/>
          <w:marRight w:val="27"/>
          <w:marTop w:val="0"/>
          <w:marBottom w:val="0"/>
          <w:divBdr>
            <w:top w:val="none" w:sz="0" w:space="0" w:color="auto"/>
            <w:left w:val="none" w:sz="0" w:space="0" w:color="auto"/>
            <w:bottom w:val="none" w:sz="0" w:space="0" w:color="auto"/>
            <w:right w:val="none" w:sz="0" w:space="0" w:color="auto"/>
          </w:divBdr>
        </w:div>
      </w:divsChild>
    </w:div>
    <w:div w:id="97919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B8F32-B294-4C84-9CB0-DF770A59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4326</Words>
  <Characters>24660</Characters>
  <Application>Microsoft Office Word</Application>
  <DocSecurity>0</DocSecurity>
  <Lines>205</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suzana.krasniqi</dc:creator>
  <cp:keywords/>
  <cp:lastModifiedBy>Valon Surdulli</cp:lastModifiedBy>
  <cp:revision>2</cp:revision>
  <cp:lastPrinted>2019-02-26T12:06:00Z</cp:lastPrinted>
  <dcterms:created xsi:type="dcterms:W3CDTF">2019-03-01T12:32:00Z</dcterms:created>
  <dcterms:modified xsi:type="dcterms:W3CDTF">2019-03-01T12:32:00Z</dcterms:modified>
</cp:coreProperties>
</file>