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A4E" w:rsidRPr="00DD513C" w:rsidRDefault="00D5692A" w:rsidP="00DD513C">
      <w:pPr>
        <w:spacing w:line="240" w:lineRule="auto"/>
        <w:jc w:val="right"/>
        <w:rPr>
          <w:b/>
          <w:bCs/>
          <w:sz w:val="16"/>
          <w:szCs w:val="16"/>
        </w:rPr>
      </w:pPr>
      <w:bookmarkStart w:id="0" w:name="_GoBack"/>
      <w:bookmarkEnd w:id="0"/>
      <w:r w:rsidRPr="00DD513C">
        <w:rPr>
          <w:b/>
          <w:color w:val="000000"/>
          <w:sz w:val="16"/>
          <w:szCs w:val="16"/>
        </w:rPr>
        <w:t xml:space="preserve">Prishtina, on </w:t>
      </w:r>
      <w:r w:rsidR="00004218">
        <w:rPr>
          <w:b/>
          <w:color w:val="000000"/>
          <w:sz w:val="16"/>
          <w:szCs w:val="16"/>
        </w:rPr>
        <w:t>08 July</w:t>
      </w:r>
      <w:r w:rsidR="009356DD" w:rsidRPr="00DD513C">
        <w:rPr>
          <w:rStyle w:val="Emphasis"/>
          <w:b/>
          <w:i w:val="0"/>
          <w:iCs w:val="0"/>
          <w:sz w:val="16"/>
          <w:szCs w:val="16"/>
        </w:rPr>
        <w:t xml:space="preserve"> </w:t>
      </w:r>
      <w:r w:rsidR="00A312A7" w:rsidRPr="00DD513C">
        <w:rPr>
          <w:b/>
          <w:bCs/>
          <w:sz w:val="16"/>
          <w:szCs w:val="16"/>
        </w:rPr>
        <w:t>2019</w:t>
      </w:r>
    </w:p>
    <w:p w:rsidR="00DD513C" w:rsidRPr="00DD513C" w:rsidRDefault="00DD513C" w:rsidP="00DD513C">
      <w:pPr>
        <w:spacing w:line="240" w:lineRule="auto"/>
        <w:jc w:val="right"/>
        <w:rPr>
          <w:b/>
          <w:bCs/>
          <w:sz w:val="16"/>
          <w:szCs w:val="16"/>
        </w:rPr>
      </w:pPr>
      <w:r w:rsidRPr="00DD513C">
        <w:rPr>
          <w:b/>
          <w:bCs/>
          <w:sz w:val="16"/>
          <w:szCs w:val="16"/>
        </w:rPr>
        <w:t>Ref. no.</w:t>
      </w:r>
      <w:r w:rsidR="00004218">
        <w:rPr>
          <w:b/>
          <w:bCs/>
          <w:sz w:val="16"/>
          <w:szCs w:val="16"/>
        </w:rPr>
        <w:t>RK 1391/19</w:t>
      </w:r>
    </w:p>
    <w:p w:rsidR="0030205B" w:rsidRPr="00DD513C" w:rsidRDefault="0030205B" w:rsidP="00DD513C">
      <w:pPr>
        <w:spacing w:line="240" w:lineRule="auto"/>
        <w:jc w:val="right"/>
        <w:rPr>
          <w:b/>
          <w:bCs/>
          <w:sz w:val="24"/>
        </w:rPr>
      </w:pPr>
    </w:p>
    <w:p w:rsidR="003458F9" w:rsidRPr="006A08AE" w:rsidRDefault="003458F9" w:rsidP="003458F9">
      <w:pPr>
        <w:jc w:val="center"/>
        <w:rPr>
          <w:sz w:val="24"/>
        </w:rPr>
      </w:pPr>
      <w:r w:rsidRPr="0084698D">
        <w:rPr>
          <w:rFonts w:ascii="Times New Roman" w:hAnsi="Times New Roman"/>
          <w:b/>
          <w:bCs/>
          <w:i/>
          <w:sz w:val="24"/>
        </w:rPr>
        <w:t>This translation is unofficial and serves for informational purposes only.</w:t>
      </w:r>
    </w:p>
    <w:p w:rsidR="0030205B" w:rsidRPr="00DD513C" w:rsidRDefault="0030205B" w:rsidP="00DD513C">
      <w:pPr>
        <w:spacing w:line="240" w:lineRule="auto"/>
        <w:jc w:val="right"/>
        <w:rPr>
          <w:b/>
          <w:bCs/>
          <w:sz w:val="24"/>
        </w:rPr>
      </w:pPr>
    </w:p>
    <w:p w:rsidR="00E96DB5" w:rsidRDefault="00E96DB5" w:rsidP="00DD513C">
      <w:pPr>
        <w:spacing w:line="240" w:lineRule="auto"/>
        <w:jc w:val="right"/>
        <w:rPr>
          <w:b/>
          <w:bCs/>
          <w:sz w:val="24"/>
        </w:rPr>
      </w:pPr>
    </w:p>
    <w:p w:rsidR="003458F9" w:rsidRPr="00DD513C" w:rsidRDefault="003458F9" w:rsidP="00DD513C">
      <w:pPr>
        <w:spacing w:line="240" w:lineRule="auto"/>
        <w:jc w:val="right"/>
        <w:rPr>
          <w:b/>
          <w:bCs/>
          <w:sz w:val="24"/>
        </w:rPr>
      </w:pPr>
    </w:p>
    <w:p w:rsidR="00D5692A" w:rsidRPr="00DD513C" w:rsidRDefault="00D5692A" w:rsidP="00DD513C">
      <w:pPr>
        <w:spacing w:line="240" w:lineRule="auto"/>
        <w:jc w:val="center"/>
        <w:rPr>
          <w:b/>
          <w:bCs/>
          <w:sz w:val="32"/>
          <w:szCs w:val="32"/>
        </w:rPr>
      </w:pPr>
      <w:r w:rsidRPr="00DD513C">
        <w:rPr>
          <w:b/>
          <w:bCs/>
          <w:sz w:val="32"/>
          <w:szCs w:val="32"/>
        </w:rPr>
        <w:t>RESOLUTION ON INADMISSIBILITY</w:t>
      </w:r>
    </w:p>
    <w:p w:rsidR="00D5692A" w:rsidRPr="00DD513C" w:rsidRDefault="00D5692A" w:rsidP="00DD513C">
      <w:pPr>
        <w:spacing w:line="240" w:lineRule="auto"/>
        <w:jc w:val="center"/>
        <w:rPr>
          <w:rFonts w:cs="Arial"/>
          <w:b/>
          <w:color w:val="000000"/>
          <w:sz w:val="24"/>
        </w:rPr>
      </w:pPr>
    </w:p>
    <w:p w:rsidR="00D5692A" w:rsidRPr="00DD513C" w:rsidRDefault="00D5692A" w:rsidP="00DD513C">
      <w:pPr>
        <w:spacing w:line="240" w:lineRule="auto"/>
        <w:jc w:val="center"/>
        <w:rPr>
          <w:sz w:val="24"/>
        </w:rPr>
      </w:pPr>
      <w:r w:rsidRPr="00DD513C">
        <w:rPr>
          <w:sz w:val="24"/>
        </w:rPr>
        <w:t>in</w:t>
      </w:r>
    </w:p>
    <w:p w:rsidR="00D5692A" w:rsidRPr="00DD513C" w:rsidRDefault="00D5692A" w:rsidP="00DD513C">
      <w:pPr>
        <w:spacing w:line="240" w:lineRule="auto"/>
        <w:jc w:val="center"/>
        <w:rPr>
          <w:color w:val="000000"/>
          <w:sz w:val="24"/>
        </w:rPr>
      </w:pPr>
    </w:p>
    <w:p w:rsidR="00E5795C" w:rsidRPr="00DD513C" w:rsidRDefault="00D5692A" w:rsidP="00DD513C">
      <w:pPr>
        <w:spacing w:line="240" w:lineRule="auto"/>
        <w:jc w:val="center"/>
        <w:rPr>
          <w:b/>
          <w:bCs/>
          <w:sz w:val="24"/>
        </w:rPr>
      </w:pPr>
      <w:r w:rsidRPr="00DD513C">
        <w:rPr>
          <w:b/>
          <w:sz w:val="24"/>
        </w:rPr>
        <w:t>Case No</w:t>
      </w:r>
      <w:r w:rsidR="00B30443" w:rsidRPr="00DD513C">
        <w:rPr>
          <w:b/>
          <w:bCs/>
          <w:color w:val="000000"/>
          <w:sz w:val="24"/>
        </w:rPr>
        <w:t xml:space="preserve">. </w:t>
      </w:r>
      <w:r w:rsidR="00A34A60" w:rsidRPr="00DD513C">
        <w:rPr>
          <w:b/>
          <w:bCs/>
          <w:sz w:val="24"/>
          <w:lang w:val="sq-AL"/>
        </w:rPr>
        <w:t>KI166</w:t>
      </w:r>
      <w:r w:rsidR="00030C06" w:rsidRPr="00DD513C">
        <w:rPr>
          <w:b/>
          <w:bCs/>
          <w:sz w:val="24"/>
        </w:rPr>
        <w:t>/1</w:t>
      </w:r>
      <w:r w:rsidR="007E51B0" w:rsidRPr="00DD513C">
        <w:rPr>
          <w:b/>
          <w:bCs/>
          <w:sz w:val="24"/>
        </w:rPr>
        <w:t>8</w:t>
      </w:r>
    </w:p>
    <w:p w:rsidR="00030C06" w:rsidRPr="00DD513C" w:rsidRDefault="00030C06" w:rsidP="00DD513C">
      <w:pPr>
        <w:spacing w:line="240" w:lineRule="auto"/>
        <w:jc w:val="center"/>
        <w:rPr>
          <w:bCs/>
          <w:sz w:val="24"/>
        </w:rPr>
      </w:pPr>
    </w:p>
    <w:p w:rsidR="00634AAE" w:rsidRPr="00DD513C" w:rsidRDefault="00D5692A" w:rsidP="00DD513C">
      <w:pPr>
        <w:spacing w:line="240" w:lineRule="auto"/>
        <w:jc w:val="center"/>
        <w:rPr>
          <w:sz w:val="24"/>
        </w:rPr>
      </w:pPr>
      <w:r w:rsidRPr="00DD513C">
        <w:rPr>
          <w:sz w:val="24"/>
        </w:rPr>
        <w:t>Applicant</w:t>
      </w:r>
    </w:p>
    <w:p w:rsidR="00634AAE" w:rsidRPr="00DD513C" w:rsidRDefault="00634AAE" w:rsidP="00DD513C">
      <w:pPr>
        <w:spacing w:line="240" w:lineRule="auto"/>
        <w:jc w:val="center"/>
        <w:rPr>
          <w:sz w:val="24"/>
        </w:rPr>
      </w:pPr>
    </w:p>
    <w:p w:rsidR="00E5795C" w:rsidRPr="00DD513C" w:rsidRDefault="00634AAE" w:rsidP="00DD513C">
      <w:pPr>
        <w:spacing w:line="240" w:lineRule="auto"/>
        <w:jc w:val="center"/>
        <w:rPr>
          <w:b/>
          <w:bCs/>
          <w:sz w:val="24"/>
        </w:rPr>
      </w:pPr>
      <w:r w:rsidRPr="00DD513C">
        <w:rPr>
          <w:b/>
          <w:bCs/>
          <w:sz w:val="24"/>
        </w:rPr>
        <w:t>Limak</w:t>
      </w:r>
      <w:r w:rsidR="00D5692A" w:rsidRPr="00DD513C">
        <w:rPr>
          <w:b/>
          <w:bCs/>
          <w:sz w:val="24"/>
        </w:rPr>
        <w:t xml:space="preserve"> </w:t>
      </w:r>
      <w:r w:rsidRPr="00DD513C">
        <w:rPr>
          <w:b/>
          <w:bCs/>
          <w:sz w:val="24"/>
        </w:rPr>
        <w:t>Kosovo</w:t>
      </w:r>
      <w:r w:rsidR="00D5692A" w:rsidRPr="00DD513C">
        <w:rPr>
          <w:b/>
          <w:bCs/>
          <w:sz w:val="24"/>
        </w:rPr>
        <w:t xml:space="preserve"> </w:t>
      </w:r>
      <w:r w:rsidRPr="00DD513C">
        <w:rPr>
          <w:b/>
          <w:bCs/>
          <w:sz w:val="24"/>
        </w:rPr>
        <w:t>International</w:t>
      </w:r>
      <w:r w:rsidR="00D5692A" w:rsidRPr="00DD513C">
        <w:rPr>
          <w:b/>
          <w:bCs/>
          <w:sz w:val="24"/>
        </w:rPr>
        <w:t xml:space="preserve"> </w:t>
      </w:r>
      <w:r w:rsidRPr="00DD513C">
        <w:rPr>
          <w:b/>
          <w:bCs/>
          <w:sz w:val="24"/>
        </w:rPr>
        <w:t>Airport J.S.C</w:t>
      </w:r>
      <w:r w:rsidR="004F5E75" w:rsidRPr="00DD513C">
        <w:rPr>
          <w:b/>
          <w:bCs/>
          <w:sz w:val="24"/>
        </w:rPr>
        <w:t>.</w:t>
      </w:r>
      <w:r w:rsidRPr="00DD513C">
        <w:rPr>
          <w:b/>
          <w:bCs/>
          <w:sz w:val="24"/>
        </w:rPr>
        <w:t xml:space="preserve"> </w:t>
      </w:r>
      <w:r w:rsidR="004F5E75" w:rsidRPr="00DD513C">
        <w:rPr>
          <w:b/>
          <w:bCs/>
          <w:sz w:val="24"/>
        </w:rPr>
        <w:t>“</w:t>
      </w:r>
      <w:r w:rsidRPr="00DD513C">
        <w:rPr>
          <w:b/>
          <w:bCs/>
          <w:sz w:val="24"/>
        </w:rPr>
        <w:t>Adem Jashari</w:t>
      </w:r>
      <w:r w:rsidR="004F5E75" w:rsidRPr="00DD513C">
        <w:rPr>
          <w:b/>
          <w:bCs/>
          <w:sz w:val="24"/>
        </w:rPr>
        <w:t>”</w:t>
      </w:r>
    </w:p>
    <w:p w:rsidR="00645707" w:rsidRPr="00DD513C" w:rsidRDefault="00645707" w:rsidP="00DD513C">
      <w:pPr>
        <w:spacing w:line="240" w:lineRule="auto"/>
        <w:jc w:val="center"/>
        <w:rPr>
          <w:bCs/>
          <w:sz w:val="24"/>
        </w:rPr>
      </w:pPr>
    </w:p>
    <w:p w:rsidR="00E23B1C" w:rsidRPr="00DD513C" w:rsidRDefault="00E23B1C" w:rsidP="00DD513C">
      <w:pPr>
        <w:spacing w:line="240" w:lineRule="auto"/>
        <w:jc w:val="center"/>
        <w:rPr>
          <w:bCs/>
          <w:sz w:val="24"/>
        </w:rPr>
      </w:pPr>
    </w:p>
    <w:p w:rsidR="00C25B5F" w:rsidRPr="00DD513C" w:rsidRDefault="00D5692A" w:rsidP="00DD513C">
      <w:pPr>
        <w:spacing w:line="240" w:lineRule="auto"/>
        <w:jc w:val="center"/>
        <w:rPr>
          <w:b/>
          <w:bCs/>
          <w:sz w:val="24"/>
        </w:rPr>
      </w:pPr>
      <w:r w:rsidRPr="00DD513C">
        <w:rPr>
          <w:b/>
          <w:sz w:val="24"/>
        </w:rPr>
        <w:t>Constitutional review of</w:t>
      </w:r>
      <w:r w:rsidR="00F82E1C" w:rsidRPr="00DD513C">
        <w:rPr>
          <w:b/>
          <w:bCs/>
          <w:sz w:val="24"/>
        </w:rPr>
        <w:t xml:space="preserve"> </w:t>
      </w:r>
      <w:r w:rsidRPr="00DD513C">
        <w:rPr>
          <w:b/>
          <w:bCs/>
          <w:sz w:val="24"/>
        </w:rPr>
        <w:t>Judgment</w:t>
      </w:r>
      <w:r w:rsidR="00F82E1C" w:rsidRPr="00DD513C">
        <w:rPr>
          <w:b/>
          <w:bCs/>
          <w:sz w:val="24"/>
        </w:rPr>
        <w:t xml:space="preserve"> </w:t>
      </w:r>
      <w:r w:rsidRPr="00DD513C">
        <w:rPr>
          <w:b/>
          <w:bCs/>
          <w:sz w:val="24"/>
        </w:rPr>
        <w:t>Rev.</w:t>
      </w:r>
      <w:r w:rsidR="00161DC4" w:rsidRPr="00DD513C">
        <w:rPr>
          <w:b/>
          <w:bCs/>
          <w:sz w:val="24"/>
        </w:rPr>
        <w:t xml:space="preserve"> No. </w:t>
      </w:r>
      <w:r w:rsidR="008B0144" w:rsidRPr="00DD513C">
        <w:rPr>
          <w:b/>
          <w:bCs/>
          <w:sz w:val="24"/>
        </w:rPr>
        <w:t>2</w:t>
      </w:r>
      <w:r w:rsidR="00A34A60" w:rsidRPr="00DD513C">
        <w:rPr>
          <w:b/>
          <w:bCs/>
          <w:sz w:val="24"/>
        </w:rPr>
        <w:t>19</w:t>
      </w:r>
      <w:r w:rsidR="00161DC4" w:rsidRPr="00DD513C">
        <w:rPr>
          <w:b/>
          <w:bCs/>
          <w:sz w:val="24"/>
        </w:rPr>
        <w:t>/2018</w:t>
      </w:r>
      <w:r w:rsidRPr="00DD513C">
        <w:rPr>
          <w:b/>
          <w:bCs/>
          <w:sz w:val="24"/>
        </w:rPr>
        <w:t xml:space="preserve"> of the </w:t>
      </w:r>
      <w:r w:rsidR="00F82E1C" w:rsidRPr="00DD513C">
        <w:rPr>
          <w:b/>
          <w:bCs/>
          <w:sz w:val="24"/>
        </w:rPr>
        <w:t xml:space="preserve">Supreme </w:t>
      </w:r>
      <w:r w:rsidRPr="00DD513C">
        <w:rPr>
          <w:b/>
          <w:bCs/>
          <w:sz w:val="24"/>
        </w:rPr>
        <w:t xml:space="preserve">Court of Kosovo of </w:t>
      </w:r>
      <w:r w:rsidR="00A34A60" w:rsidRPr="00DD513C">
        <w:rPr>
          <w:b/>
          <w:bCs/>
          <w:sz w:val="24"/>
        </w:rPr>
        <w:t>3 September</w:t>
      </w:r>
      <w:r w:rsidR="00034BA3" w:rsidRPr="00DD513C">
        <w:rPr>
          <w:b/>
          <w:bCs/>
          <w:sz w:val="24"/>
        </w:rPr>
        <w:t xml:space="preserve"> </w:t>
      </w:r>
      <w:r w:rsidR="001E2AE2" w:rsidRPr="00DD513C">
        <w:rPr>
          <w:b/>
          <w:bCs/>
          <w:sz w:val="24"/>
        </w:rPr>
        <w:t>20</w:t>
      </w:r>
      <w:r w:rsidR="00594A9D" w:rsidRPr="00DD513C">
        <w:rPr>
          <w:b/>
          <w:bCs/>
          <w:sz w:val="24"/>
        </w:rPr>
        <w:t>1</w:t>
      </w:r>
      <w:r w:rsidR="007E51B0" w:rsidRPr="00DD513C">
        <w:rPr>
          <w:b/>
          <w:bCs/>
          <w:sz w:val="24"/>
        </w:rPr>
        <w:t>8</w:t>
      </w:r>
    </w:p>
    <w:p w:rsidR="0052297D" w:rsidRPr="00DD513C" w:rsidRDefault="0052297D" w:rsidP="00DD513C">
      <w:pPr>
        <w:spacing w:line="240" w:lineRule="auto"/>
        <w:rPr>
          <w:b/>
          <w:bCs/>
          <w:sz w:val="24"/>
        </w:rPr>
      </w:pPr>
    </w:p>
    <w:p w:rsidR="00360C06" w:rsidRPr="00DD513C" w:rsidRDefault="00360C06" w:rsidP="00DD513C">
      <w:pPr>
        <w:spacing w:line="240" w:lineRule="auto"/>
        <w:rPr>
          <w:b/>
          <w:bCs/>
          <w:sz w:val="24"/>
        </w:rPr>
      </w:pPr>
    </w:p>
    <w:p w:rsidR="00D5692A" w:rsidRPr="00DD513C" w:rsidRDefault="00D5692A" w:rsidP="00DD513C">
      <w:pPr>
        <w:spacing w:line="240" w:lineRule="auto"/>
        <w:jc w:val="center"/>
        <w:rPr>
          <w:b/>
          <w:sz w:val="24"/>
        </w:rPr>
      </w:pPr>
      <w:r w:rsidRPr="00DD513C">
        <w:rPr>
          <w:b/>
          <w:sz w:val="24"/>
        </w:rPr>
        <w:t>THE CONSTITUTIONAL COURT OF THE REPUBLIC OF KOSOVO</w:t>
      </w:r>
    </w:p>
    <w:p w:rsidR="00D5692A" w:rsidRDefault="00D5692A" w:rsidP="00DD513C">
      <w:pPr>
        <w:spacing w:line="240" w:lineRule="auto"/>
        <w:rPr>
          <w:rFonts w:eastAsia="SimSun"/>
          <w:color w:val="000000"/>
          <w:sz w:val="24"/>
          <w:highlight w:val="yellow"/>
        </w:rPr>
      </w:pPr>
    </w:p>
    <w:p w:rsidR="00DD513C" w:rsidRPr="00DD513C" w:rsidRDefault="00DD513C" w:rsidP="00DD513C">
      <w:pPr>
        <w:spacing w:line="240" w:lineRule="auto"/>
        <w:rPr>
          <w:rFonts w:eastAsia="SimSun"/>
          <w:color w:val="000000"/>
          <w:sz w:val="24"/>
          <w:highlight w:val="yellow"/>
        </w:rPr>
      </w:pPr>
    </w:p>
    <w:p w:rsidR="00D5692A" w:rsidRPr="00DD513C" w:rsidRDefault="00D5692A" w:rsidP="00DD513C">
      <w:pPr>
        <w:tabs>
          <w:tab w:val="left" w:pos="540"/>
          <w:tab w:val="left" w:pos="720"/>
        </w:tabs>
        <w:spacing w:line="240" w:lineRule="auto"/>
        <w:ind w:left="360" w:hanging="360"/>
        <w:rPr>
          <w:bCs/>
          <w:sz w:val="24"/>
        </w:rPr>
      </w:pPr>
      <w:r w:rsidRPr="00DD513C">
        <w:rPr>
          <w:bCs/>
          <w:sz w:val="24"/>
        </w:rPr>
        <w:t>composed of</w:t>
      </w:r>
      <w:r w:rsidRPr="00DD513C">
        <w:rPr>
          <w:sz w:val="24"/>
        </w:rPr>
        <w:t>:</w:t>
      </w:r>
    </w:p>
    <w:p w:rsidR="00D5692A" w:rsidRPr="00DD513C" w:rsidRDefault="00D5692A" w:rsidP="00DD513C">
      <w:pPr>
        <w:spacing w:line="240" w:lineRule="auto"/>
        <w:rPr>
          <w:bCs/>
          <w:sz w:val="24"/>
        </w:rPr>
      </w:pPr>
    </w:p>
    <w:p w:rsidR="00D5692A" w:rsidRPr="00DD513C" w:rsidRDefault="00D5692A" w:rsidP="00DD513C">
      <w:pPr>
        <w:spacing w:line="240" w:lineRule="auto"/>
        <w:rPr>
          <w:bCs/>
          <w:sz w:val="24"/>
        </w:rPr>
      </w:pPr>
      <w:r w:rsidRPr="00DD513C">
        <w:rPr>
          <w:bCs/>
          <w:sz w:val="24"/>
        </w:rPr>
        <w:t>Arta Rama-Hajrizi, President</w:t>
      </w:r>
    </w:p>
    <w:p w:rsidR="00D5692A" w:rsidRPr="00DD513C" w:rsidRDefault="00D5692A" w:rsidP="00DD513C">
      <w:pPr>
        <w:spacing w:line="240" w:lineRule="auto"/>
        <w:rPr>
          <w:bCs/>
          <w:sz w:val="24"/>
        </w:rPr>
      </w:pPr>
      <w:r w:rsidRPr="00DD513C">
        <w:rPr>
          <w:bCs/>
          <w:sz w:val="24"/>
        </w:rPr>
        <w:t>Bajram Ljatifi, Deputy President</w:t>
      </w:r>
    </w:p>
    <w:p w:rsidR="00D5692A" w:rsidRPr="00DD513C" w:rsidRDefault="00D5692A" w:rsidP="00DD513C">
      <w:pPr>
        <w:spacing w:line="240" w:lineRule="auto"/>
        <w:rPr>
          <w:bCs/>
          <w:sz w:val="24"/>
        </w:rPr>
      </w:pPr>
      <w:r w:rsidRPr="00DD513C">
        <w:rPr>
          <w:bCs/>
          <w:sz w:val="24"/>
        </w:rPr>
        <w:t>Bekim Sejdiu, Judge</w:t>
      </w:r>
    </w:p>
    <w:p w:rsidR="00D5692A" w:rsidRPr="00DD513C" w:rsidRDefault="00D5692A" w:rsidP="00DD513C">
      <w:pPr>
        <w:spacing w:line="240" w:lineRule="auto"/>
        <w:rPr>
          <w:bCs/>
          <w:sz w:val="24"/>
        </w:rPr>
      </w:pPr>
      <w:r w:rsidRPr="00DD513C">
        <w:rPr>
          <w:bCs/>
          <w:sz w:val="24"/>
        </w:rPr>
        <w:t>Selvete Gërxhaliu-Krasniqi, Judge</w:t>
      </w:r>
    </w:p>
    <w:p w:rsidR="00D5692A" w:rsidRPr="00DD513C" w:rsidRDefault="00D5692A" w:rsidP="00DD513C">
      <w:pPr>
        <w:spacing w:line="240" w:lineRule="auto"/>
        <w:rPr>
          <w:bCs/>
          <w:sz w:val="24"/>
        </w:rPr>
      </w:pPr>
      <w:r w:rsidRPr="00DD513C">
        <w:rPr>
          <w:bCs/>
          <w:sz w:val="24"/>
        </w:rPr>
        <w:t>Gresa Caka-Nimani, Judge</w:t>
      </w:r>
    </w:p>
    <w:p w:rsidR="00D5692A" w:rsidRPr="00DD513C" w:rsidRDefault="00D5692A" w:rsidP="00DD513C">
      <w:pPr>
        <w:spacing w:line="240" w:lineRule="auto"/>
        <w:rPr>
          <w:bCs/>
          <w:sz w:val="24"/>
        </w:rPr>
      </w:pPr>
      <w:r w:rsidRPr="00DD513C">
        <w:rPr>
          <w:bCs/>
          <w:sz w:val="24"/>
        </w:rPr>
        <w:t>Safet Hoxha, Judge</w:t>
      </w:r>
    </w:p>
    <w:p w:rsidR="00D5692A" w:rsidRPr="00DD513C" w:rsidRDefault="00D5692A" w:rsidP="00DD513C">
      <w:pPr>
        <w:spacing w:line="240" w:lineRule="auto"/>
        <w:rPr>
          <w:bCs/>
          <w:sz w:val="24"/>
        </w:rPr>
      </w:pPr>
      <w:r w:rsidRPr="00DD513C">
        <w:rPr>
          <w:bCs/>
          <w:sz w:val="24"/>
        </w:rPr>
        <w:t>Radomir Laban, Judge</w:t>
      </w:r>
    </w:p>
    <w:p w:rsidR="00D5692A" w:rsidRPr="00DD513C" w:rsidRDefault="00D5692A" w:rsidP="00DD513C">
      <w:pPr>
        <w:spacing w:line="240" w:lineRule="auto"/>
        <w:rPr>
          <w:bCs/>
          <w:sz w:val="24"/>
        </w:rPr>
      </w:pPr>
      <w:r w:rsidRPr="00DD513C">
        <w:rPr>
          <w:bCs/>
          <w:sz w:val="24"/>
        </w:rPr>
        <w:t>Remzije Istrefi-Peci, Judge, and</w:t>
      </w:r>
    </w:p>
    <w:p w:rsidR="009B3502" w:rsidRPr="00DD513C" w:rsidRDefault="00D5692A" w:rsidP="00DD513C">
      <w:pPr>
        <w:spacing w:line="240" w:lineRule="auto"/>
        <w:jc w:val="left"/>
        <w:rPr>
          <w:sz w:val="24"/>
        </w:rPr>
      </w:pPr>
      <w:r w:rsidRPr="00DD513C">
        <w:rPr>
          <w:bCs/>
          <w:sz w:val="24"/>
        </w:rPr>
        <w:t>Nexhmi Rexhepi, Judge</w:t>
      </w:r>
    </w:p>
    <w:p w:rsidR="00300822" w:rsidRPr="00DD513C" w:rsidRDefault="00300822" w:rsidP="00DD513C">
      <w:pPr>
        <w:spacing w:line="240" w:lineRule="auto"/>
        <w:rPr>
          <w:b/>
          <w:bCs/>
          <w:sz w:val="24"/>
        </w:rPr>
      </w:pPr>
    </w:p>
    <w:p w:rsidR="00DD513C" w:rsidRPr="00DD513C" w:rsidRDefault="00DD513C" w:rsidP="00DD513C">
      <w:pPr>
        <w:tabs>
          <w:tab w:val="left" w:pos="540"/>
        </w:tabs>
        <w:spacing w:line="240" w:lineRule="auto"/>
        <w:rPr>
          <w:b/>
          <w:iCs/>
          <w:color w:val="000000"/>
          <w:sz w:val="24"/>
        </w:rPr>
      </w:pPr>
    </w:p>
    <w:p w:rsidR="00634AAE" w:rsidRPr="00DD513C" w:rsidRDefault="002C1A8B" w:rsidP="00DD513C">
      <w:pPr>
        <w:spacing w:line="240" w:lineRule="auto"/>
        <w:rPr>
          <w:b/>
          <w:sz w:val="24"/>
        </w:rPr>
      </w:pPr>
      <w:r w:rsidRPr="00DD513C">
        <w:rPr>
          <w:b/>
          <w:sz w:val="24"/>
        </w:rPr>
        <w:t>Applicant</w:t>
      </w:r>
    </w:p>
    <w:p w:rsidR="001E63FC" w:rsidRPr="00DD513C" w:rsidRDefault="001E63FC" w:rsidP="00DD513C">
      <w:pPr>
        <w:tabs>
          <w:tab w:val="left" w:pos="540"/>
        </w:tabs>
        <w:spacing w:line="240" w:lineRule="auto"/>
        <w:rPr>
          <w:sz w:val="24"/>
        </w:rPr>
      </w:pPr>
    </w:p>
    <w:p w:rsidR="00693D01" w:rsidRPr="00DD513C" w:rsidRDefault="002C1A8B" w:rsidP="00DD513C">
      <w:pPr>
        <w:numPr>
          <w:ilvl w:val="0"/>
          <w:numId w:val="4"/>
        </w:numPr>
        <w:tabs>
          <w:tab w:val="clear" w:pos="720"/>
          <w:tab w:val="num" w:pos="630"/>
        </w:tabs>
        <w:spacing w:line="240" w:lineRule="auto"/>
        <w:ind w:left="630" w:hanging="630"/>
        <w:rPr>
          <w:sz w:val="24"/>
        </w:rPr>
      </w:pPr>
      <w:r w:rsidRPr="00DD513C">
        <w:rPr>
          <w:sz w:val="24"/>
        </w:rPr>
        <w:t xml:space="preserve">The Referral was submitted by </w:t>
      </w:r>
      <w:r w:rsidR="004F5E75" w:rsidRPr="00DD513C">
        <w:rPr>
          <w:sz w:val="24"/>
        </w:rPr>
        <w:t xml:space="preserve">Joint Stock Company </w:t>
      </w:r>
      <w:r w:rsidRPr="00DD513C">
        <w:rPr>
          <w:sz w:val="24"/>
        </w:rPr>
        <w:t xml:space="preserve">Limak Kosovo International Airport J.S.C, “Adem Jashari” (hereinafter: the Applicant), based </w:t>
      </w:r>
      <w:r w:rsidRPr="00DD513C">
        <w:rPr>
          <w:sz w:val="24"/>
        </w:rPr>
        <w:lastRenderedPageBreak/>
        <w:t xml:space="preserve">in Vrellë village, Lipjan Municipality, which is </w:t>
      </w:r>
      <w:r w:rsidR="004F5E75" w:rsidRPr="00DD513C">
        <w:rPr>
          <w:sz w:val="24"/>
        </w:rPr>
        <w:t>represented with power of attorney</w:t>
      </w:r>
      <w:r w:rsidRPr="00DD513C">
        <w:rPr>
          <w:sz w:val="24"/>
        </w:rPr>
        <w:t xml:space="preserve"> by Fazli</w:t>
      </w:r>
      <w:r w:rsidR="00161DC4" w:rsidRPr="00DD513C">
        <w:rPr>
          <w:sz w:val="24"/>
        </w:rPr>
        <w:t xml:space="preserve"> </w:t>
      </w:r>
      <w:r w:rsidRPr="00DD513C">
        <w:rPr>
          <w:sz w:val="24"/>
        </w:rPr>
        <w:t>Gjonbalaj and Leonora Fejzullahu</w:t>
      </w:r>
      <w:r w:rsidR="00F82E1C" w:rsidRPr="00DD513C">
        <w:rPr>
          <w:sz w:val="24"/>
        </w:rPr>
        <w:t>.</w:t>
      </w:r>
    </w:p>
    <w:p w:rsidR="00693D01" w:rsidRPr="00DD513C" w:rsidRDefault="00693D01" w:rsidP="00DD513C">
      <w:pPr>
        <w:spacing w:line="240" w:lineRule="auto"/>
        <w:jc w:val="left"/>
        <w:rPr>
          <w:sz w:val="24"/>
        </w:rPr>
      </w:pPr>
      <w:r w:rsidRPr="00DD513C">
        <w:rPr>
          <w:sz w:val="24"/>
        </w:rPr>
        <w:br w:type="page"/>
      </w:r>
    </w:p>
    <w:p w:rsidR="00567109" w:rsidRPr="00DD513C" w:rsidRDefault="002C1A8B" w:rsidP="00DD513C">
      <w:pPr>
        <w:spacing w:line="240" w:lineRule="auto"/>
        <w:rPr>
          <w:b/>
          <w:sz w:val="24"/>
        </w:rPr>
      </w:pPr>
      <w:r w:rsidRPr="00DD513C">
        <w:rPr>
          <w:b/>
          <w:sz w:val="24"/>
        </w:rPr>
        <w:lastRenderedPageBreak/>
        <w:t xml:space="preserve">Challenged decision </w:t>
      </w:r>
    </w:p>
    <w:p w:rsidR="001E63FC" w:rsidRPr="00DD513C" w:rsidRDefault="001E63FC" w:rsidP="00DD513C">
      <w:pPr>
        <w:spacing w:line="240" w:lineRule="auto"/>
        <w:rPr>
          <w:b/>
          <w:sz w:val="24"/>
        </w:rPr>
      </w:pPr>
    </w:p>
    <w:p w:rsidR="001924A9" w:rsidRPr="00DD513C" w:rsidRDefault="002C1A8B" w:rsidP="00DD513C">
      <w:pPr>
        <w:numPr>
          <w:ilvl w:val="0"/>
          <w:numId w:val="4"/>
        </w:numPr>
        <w:tabs>
          <w:tab w:val="clear" w:pos="720"/>
          <w:tab w:val="num" w:pos="630"/>
        </w:tabs>
        <w:spacing w:line="240" w:lineRule="auto"/>
        <w:ind w:left="630" w:hanging="630"/>
        <w:rPr>
          <w:bCs/>
          <w:sz w:val="24"/>
        </w:rPr>
      </w:pPr>
      <w:r w:rsidRPr="00DD513C">
        <w:rPr>
          <w:bCs/>
          <w:iCs/>
          <w:sz w:val="24"/>
        </w:rPr>
        <w:t xml:space="preserve">The Applicant challenges Judgment </w:t>
      </w:r>
      <w:r w:rsidR="00161DC4" w:rsidRPr="00DD513C">
        <w:rPr>
          <w:bCs/>
          <w:iCs/>
          <w:sz w:val="24"/>
        </w:rPr>
        <w:t xml:space="preserve">Rev. No. </w:t>
      </w:r>
      <w:r w:rsidR="008B0144" w:rsidRPr="00DD513C">
        <w:rPr>
          <w:bCs/>
          <w:iCs/>
          <w:sz w:val="24"/>
        </w:rPr>
        <w:t>2</w:t>
      </w:r>
      <w:r w:rsidR="00A34A60" w:rsidRPr="00DD513C">
        <w:rPr>
          <w:bCs/>
          <w:iCs/>
          <w:sz w:val="24"/>
        </w:rPr>
        <w:t>18</w:t>
      </w:r>
      <w:r w:rsidR="00161DC4" w:rsidRPr="00DD513C">
        <w:rPr>
          <w:bCs/>
          <w:iCs/>
          <w:sz w:val="24"/>
        </w:rPr>
        <w:t>/201</w:t>
      </w:r>
      <w:r w:rsidR="004F5E75" w:rsidRPr="00DD513C">
        <w:rPr>
          <w:bCs/>
          <w:iCs/>
          <w:sz w:val="24"/>
        </w:rPr>
        <w:t>8</w:t>
      </w:r>
      <w:r w:rsidR="00161DC4" w:rsidRPr="00DD513C">
        <w:rPr>
          <w:bCs/>
          <w:iCs/>
          <w:sz w:val="24"/>
        </w:rPr>
        <w:t xml:space="preserve"> </w:t>
      </w:r>
      <w:r w:rsidR="006A239F" w:rsidRPr="00DD513C">
        <w:rPr>
          <w:bCs/>
          <w:iCs/>
          <w:sz w:val="24"/>
        </w:rPr>
        <w:t>of the Supreme Court of Kosovo</w:t>
      </w:r>
      <w:r w:rsidRPr="00DD513C">
        <w:rPr>
          <w:bCs/>
          <w:iCs/>
          <w:sz w:val="24"/>
        </w:rPr>
        <w:t xml:space="preserve"> of </w:t>
      </w:r>
      <w:r w:rsidR="00A34A60" w:rsidRPr="00DD513C">
        <w:rPr>
          <w:bCs/>
          <w:iCs/>
          <w:sz w:val="24"/>
        </w:rPr>
        <w:t>3 September</w:t>
      </w:r>
      <w:r w:rsidRPr="00DD513C">
        <w:rPr>
          <w:bCs/>
          <w:iCs/>
          <w:sz w:val="24"/>
        </w:rPr>
        <w:t xml:space="preserve"> </w:t>
      </w:r>
      <w:r w:rsidR="0058348A" w:rsidRPr="00DD513C">
        <w:rPr>
          <w:bCs/>
          <w:sz w:val="24"/>
        </w:rPr>
        <w:t>201</w:t>
      </w:r>
      <w:r w:rsidR="009356DD" w:rsidRPr="00DD513C">
        <w:rPr>
          <w:bCs/>
          <w:sz w:val="24"/>
        </w:rPr>
        <w:t>8</w:t>
      </w:r>
      <w:r w:rsidR="00F82E1C" w:rsidRPr="00DD513C">
        <w:rPr>
          <w:bCs/>
          <w:sz w:val="24"/>
        </w:rPr>
        <w:t xml:space="preserve">. </w:t>
      </w:r>
    </w:p>
    <w:p w:rsidR="000D177F" w:rsidRPr="00DD513C" w:rsidRDefault="000D177F" w:rsidP="00DD513C">
      <w:pPr>
        <w:spacing w:line="240" w:lineRule="auto"/>
        <w:rPr>
          <w:b/>
          <w:iCs/>
          <w:color w:val="000000"/>
          <w:sz w:val="24"/>
        </w:rPr>
      </w:pPr>
    </w:p>
    <w:p w:rsidR="000B4044" w:rsidRPr="00DD513C" w:rsidRDefault="002C1A8B" w:rsidP="00DD513C">
      <w:pPr>
        <w:spacing w:line="240" w:lineRule="auto"/>
        <w:rPr>
          <w:b/>
          <w:sz w:val="24"/>
        </w:rPr>
      </w:pPr>
      <w:r w:rsidRPr="00DD513C">
        <w:rPr>
          <w:b/>
          <w:sz w:val="24"/>
        </w:rPr>
        <w:t>Subject matter</w:t>
      </w:r>
    </w:p>
    <w:p w:rsidR="00605A88" w:rsidRPr="00DD513C" w:rsidRDefault="00605A88" w:rsidP="00DD513C">
      <w:pPr>
        <w:pStyle w:val="ListParagraph"/>
        <w:spacing w:line="240" w:lineRule="auto"/>
        <w:ind w:left="634" w:hanging="634"/>
        <w:rPr>
          <w:b/>
          <w:bCs/>
          <w:iCs/>
          <w:sz w:val="24"/>
          <w:lang w:val="en-US"/>
        </w:rPr>
      </w:pPr>
    </w:p>
    <w:p w:rsidR="00F82E1C" w:rsidRPr="00DD513C" w:rsidRDefault="00034BA3" w:rsidP="00DD513C">
      <w:pPr>
        <w:numPr>
          <w:ilvl w:val="0"/>
          <w:numId w:val="4"/>
        </w:numPr>
        <w:tabs>
          <w:tab w:val="clear" w:pos="720"/>
          <w:tab w:val="num" w:pos="630"/>
        </w:tabs>
        <w:spacing w:line="240" w:lineRule="auto"/>
        <w:ind w:left="630" w:hanging="630"/>
        <w:rPr>
          <w:color w:val="000000"/>
          <w:sz w:val="24"/>
        </w:rPr>
      </w:pPr>
      <w:r w:rsidRPr="00DD513C">
        <w:rPr>
          <w:color w:val="000000"/>
          <w:sz w:val="24"/>
        </w:rPr>
        <w:t>The subject matter is the constitutional review of the challenged Judgment, which allegedly violates the Applicant's rights guaranteed by Article 24 [Equality Before the Law], Article 31 [Right to Fair and Impartial Trial] Article 32 [Right to Legal Remedies] and Article 46 [Protection of Property] of the Constitution of the Republic of Kosovo (hereinafter: the Constitution), as well as Article 6 (Right to a fair trial) and Article 1 of Protocol No. 1 of the European Convention for the Protection of Human Rights and Fundamental Freedoms (hereinafter: the ECHR</w:t>
      </w:r>
      <w:r w:rsidR="00F82E1C" w:rsidRPr="00DD513C">
        <w:rPr>
          <w:color w:val="000000"/>
          <w:sz w:val="24"/>
        </w:rPr>
        <w:t>).</w:t>
      </w:r>
    </w:p>
    <w:p w:rsidR="009F6BDA" w:rsidRPr="00DD513C" w:rsidRDefault="009F6BDA" w:rsidP="00DD513C">
      <w:pPr>
        <w:spacing w:line="240" w:lineRule="auto"/>
        <w:ind w:left="634" w:hanging="634"/>
        <w:rPr>
          <w:sz w:val="24"/>
        </w:rPr>
      </w:pPr>
    </w:p>
    <w:p w:rsidR="00605A88" w:rsidRPr="00DD513C" w:rsidRDefault="002C1A8B" w:rsidP="00DD513C">
      <w:pPr>
        <w:spacing w:line="240" w:lineRule="auto"/>
        <w:ind w:left="634" w:hanging="634"/>
        <w:rPr>
          <w:b/>
          <w:sz w:val="24"/>
        </w:rPr>
      </w:pPr>
      <w:r w:rsidRPr="00DD513C">
        <w:rPr>
          <w:b/>
          <w:sz w:val="24"/>
        </w:rPr>
        <w:t>Legal basis</w:t>
      </w:r>
    </w:p>
    <w:p w:rsidR="002C1A8B" w:rsidRPr="00DD513C" w:rsidRDefault="002C1A8B" w:rsidP="00DD513C">
      <w:pPr>
        <w:spacing w:line="240" w:lineRule="auto"/>
        <w:ind w:left="634" w:hanging="634"/>
        <w:rPr>
          <w:sz w:val="24"/>
        </w:rPr>
      </w:pPr>
    </w:p>
    <w:p w:rsidR="00BB77C0" w:rsidRPr="00DD513C" w:rsidRDefault="002C1A8B" w:rsidP="00DD513C">
      <w:pPr>
        <w:numPr>
          <w:ilvl w:val="0"/>
          <w:numId w:val="4"/>
        </w:numPr>
        <w:tabs>
          <w:tab w:val="clear" w:pos="720"/>
          <w:tab w:val="num" w:pos="630"/>
        </w:tabs>
        <w:spacing w:line="240" w:lineRule="auto"/>
        <w:ind w:left="630" w:hanging="630"/>
        <w:rPr>
          <w:iCs/>
          <w:sz w:val="24"/>
        </w:rPr>
      </w:pPr>
      <w:r w:rsidRPr="00DD513C">
        <w:rPr>
          <w:sz w:val="24"/>
        </w:rPr>
        <w:t>The Referral is based on paragraph 4</w:t>
      </w:r>
      <w:r w:rsidR="00161DC4" w:rsidRPr="00DD513C">
        <w:rPr>
          <w:sz w:val="24"/>
        </w:rPr>
        <w:t xml:space="preserve"> of</w:t>
      </w:r>
      <w:r w:rsidRPr="00DD513C">
        <w:rPr>
          <w:sz w:val="24"/>
        </w:rPr>
        <w:t xml:space="preserve"> Article 21 [Gene</w:t>
      </w:r>
      <w:r w:rsidR="00161DC4" w:rsidRPr="00DD513C">
        <w:rPr>
          <w:sz w:val="24"/>
        </w:rPr>
        <w:t>ral Principles] and paragraph 7</w:t>
      </w:r>
      <w:r w:rsidRPr="00DD513C">
        <w:rPr>
          <w:sz w:val="24"/>
        </w:rPr>
        <w:t xml:space="preserve"> </w:t>
      </w:r>
      <w:r w:rsidR="00161DC4" w:rsidRPr="00DD513C">
        <w:rPr>
          <w:sz w:val="24"/>
        </w:rPr>
        <w:t xml:space="preserve">of </w:t>
      </w:r>
      <w:r w:rsidRPr="00DD513C">
        <w:rPr>
          <w:sz w:val="24"/>
        </w:rPr>
        <w:t>Article 113 [Jurisdiction and Authorized Parties] of the Constitutio</w:t>
      </w:r>
      <w:r w:rsidR="00161DC4" w:rsidRPr="00DD513C">
        <w:rPr>
          <w:sz w:val="24"/>
        </w:rPr>
        <w:t>n, Articles 22 [Processing</w:t>
      </w:r>
      <w:r w:rsidRPr="00DD513C">
        <w:rPr>
          <w:sz w:val="24"/>
        </w:rPr>
        <w:t xml:space="preserve"> Referral</w:t>
      </w:r>
      <w:r w:rsidR="00161DC4" w:rsidRPr="00DD513C">
        <w:rPr>
          <w:sz w:val="24"/>
        </w:rPr>
        <w:t>s</w:t>
      </w:r>
      <w:r w:rsidRPr="00DD513C">
        <w:rPr>
          <w:sz w:val="24"/>
        </w:rPr>
        <w:t xml:space="preserve">] and 47 [Individual </w:t>
      </w:r>
      <w:r w:rsidR="00161DC4" w:rsidRPr="00DD513C">
        <w:rPr>
          <w:sz w:val="24"/>
        </w:rPr>
        <w:t>Requests</w:t>
      </w:r>
      <w:r w:rsidRPr="00DD513C">
        <w:rPr>
          <w:sz w:val="24"/>
        </w:rPr>
        <w:t xml:space="preserve">] of Law </w:t>
      </w:r>
      <w:r w:rsidR="00161DC4" w:rsidRPr="00DD513C">
        <w:rPr>
          <w:sz w:val="24"/>
        </w:rPr>
        <w:t>No. 03/</w:t>
      </w:r>
      <w:r w:rsidRPr="00DD513C">
        <w:rPr>
          <w:sz w:val="24"/>
        </w:rPr>
        <w:t>L-121 on the Constitutional Court of the Republic of Kosovo (hereinafter: the Law) and Rule 32 [</w:t>
      </w:r>
      <w:r w:rsidR="00161DC4" w:rsidRPr="00DD513C">
        <w:rPr>
          <w:sz w:val="24"/>
        </w:rPr>
        <w:t>Filing of Referrals</w:t>
      </w:r>
      <w:r w:rsidRPr="00DD513C">
        <w:rPr>
          <w:sz w:val="24"/>
        </w:rPr>
        <w:t xml:space="preserve"> and </w:t>
      </w:r>
      <w:r w:rsidR="00161DC4" w:rsidRPr="00DD513C">
        <w:rPr>
          <w:sz w:val="24"/>
        </w:rPr>
        <w:t>Replies</w:t>
      </w:r>
      <w:r w:rsidRPr="00DD513C">
        <w:rPr>
          <w:sz w:val="24"/>
        </w:rPr>
        <w:t>] of the Rules of Procedure of the Constitutional Court of the Republic of Kosovo (hereinafter: the Rules of Procedure</w:t>
      </w:r>
      <w:r w:rsidR="00F82E1C" w:rsidRPr="00DD513C">
        <w:rPr>
          <w:iCs/>
          <w:sz w:val="24"/>
        </w:rPr>
        <w:t>).</w:t>
      </w:r>
    </w:p>
    <w:p w:rsidR="00795730" w:rsidRPr="00DD513C" w:rsidRDefault="00795730" w:rsidP="00DD513C">
      <w:pPr>
        <w:tabs>
          <w:tab w:val="left" w:pos="540"/>
        </w:tabs>
        <w:spacing w:line="240" w:lineRule="auto"/>
        <w:ind w:left="634" w:hanging="634"/>
        <w:rPr>
          <w:b/>
          <w:bCs/>
          <w:iCs/>
          <w:sz w:val="24"/>
        </w:rPr>
      </w:pPr>
    </w:p>
    <w:p w:rsidR="00E5795C" w:rsidRPr="00DD513C" w:rsidRDefault="002C1A8B" w:rsidP="00DD513C">
      <w:pPr>
        <w:tabs>
          <w:tab w:val="left" w:pos="540"/>
        </w:tabs>
        <w:spacing w:line="240" w:lineRule="auto"/>
        <w:ind w:left="634" w:hanging="634"/>
        <w:rPr>
          <w:b/>
          <w:sz w:val="24"/>
        </w:rPr>
      </w:pPr>
      <w:r w:rsidRPr="00DD513C">
        <w:rPr>
          <w:b/>
          <w:sz w:val="24"/>
        </w:rPr>
        <w:t xml:space="preserve">Proceedings </w:t>
      </w:r>
      <w:r w:rsidR="00DF624B" w:rsidRPr="00DD513C">
        <w:rPr>
          <w:b/>
          <w:sz w:val="24"/>
        </w:rPr>
        <w:t>before</w:t>
      </w:r>
      <w:r w:rsidRPr="00DD513C">
        <w:rPr>
          <w:b/>
          <w:sz w:val="24"/>
        </w:rPr>
        <w:t xml:space="preserve"> the Constitutional Court</w:t>
      </w:r>
    </w:p>
    <w:p w:rsidR="002C1A8B" w:rsidRPr="00DD513C" w:rsidRDefault="002C1A8B" w:rsidP="00DD513C">
      <w:pPr>
        <w:tabs>
          <w:tab w:val="left" w:pos="540"/>
        </w:tabs>
        <w:spacing w:line="240" w:lineRule="auto"/>
        <w:ind w:left="634" w:hanging="634"/>
        <w:rPr>
          <w:b/>
          <w:bCs/>
          <w:sz w:val="24"/>
        </w:rPr>
      </w:pPr>
    </w:p>
    <w:p w:rsidR="008B0144" w:rsidRPr="00DD513C" w:rsidRDefault="008B0144" w:rsidP="00DD513C">
      <w:pPr>
        <w:numPr>
          <w:ilvl w:val="0"/>
          <w:numId w:val="4"/>
        </w:numPr>
        <w:tabs>
          <w:tab w:val="clear" w:pos="720"/>
          <w:tab w:val="num" w:pos="630"/>
        </w:tabs>
        <w:spacing w:line="240" w:lineRule="auto"/>
        <w:ind w:left="634" w:hanging="634"/>
        <w:rPr>
          <w:sz w:val="24"/>
        </w:rPr>
      </w:pPr>
      <w:r w:rsidRPr="00DD513C">
        <w:rPr>
          <w:sz w:val="24"/>
        </w:rPr>
        <w:t xml:space="preserve">On 3 September 2018, the Applicant submitted the Referrals </w:t>
      </w:r>
      <w:r w:rsidR="000C6E4E" w:rsidRPr="00DD513C">
        <w:rPr>
          <w:color w:val="000000"/>
          <w:sz w:val="24"/>
        </w:rPr>
        <w:t xml:space="preserve">KI128/18, KI129/18 </w:t>
      </w:r>
      <w:r w:rsidR="000C6E4E" w:rsidRPr="00DD513C">
        <w:rPr>
          <w:sz w:val="24"/>
        </w:rPr>
        <w:t>and KI130/</w:t>
      </w:r>
      <w:r w:rsidRPr="00DD513C">
        <w:rPr>
          <w:sz w:val="24"/>
        </w:rPr>
        <w:t>18 to the Constitutional Court of the Republic of Kosovo (hereinafter: the Court).</w:t>
      </w:r>
    </w:p>
    <w:p w:rsidR="008B0144" w:rsidRPr="00DD513C" w:rsidRDefault="008B0144" w:rsidP="00DD513C">
      <w:pPr>
        <w:spacing w:line="240" w:lineRule="auto"/>
        <w:ind w:left="634"/>
        <w:rPr>
          <w:sz w:val="24"/>
        </w:rPr>
      </w:pPr>
    </w:p>
    <w:p w:rsidR="008B0144" w:rsidRPr="00DD513C" w:rsidRDefault="008B0144" w:rsidP="00DD513C">
      <w:pPr>
        <w:numPr>
          <w:ilvl w:val="0"/>
          <w:numId w:val="4"/>
        </w:numPr>
        <w:tabs>
          <w:tab w:val="clear" w:pos="720"/>
          <w:tab w:val="num" w:pos="630"/>
        </w:tabs>
        <w:spacing w:line="240" w:lineRule="auto"/>
        <w:ind w:left="634" w:hanging="634"/>
        <w:rPr>
          <w:sz w:val="24"/>
        </w:rPr>
      </w:pPr>
      <w:r w:rsidRPr="00DD513C">
        <w:rPr>
          <w:sz w:val="24"/>
        </w:rPr>
        <w:t>On 5 September 2018, the Applica</w:t>
      </w:r>
      <w:r w:rsidR="000C6E4E" w:rsidRPr="00DD513C">
        <w:rPr>
          <w:sz w:val="24"/>
        </w:rPr>
        <w:t>nt submitted the Referral KI132/</w:t>
      </w:r>
      <w:r w:rsidRPr="00DD513C">
        <w:rPr>
          <w:sz w:val="24"/>
        </w:rPr>
        <w:t>18 to the Court.</w:t>
      </w:r>
    </w:p>
    <w:p w:rsidR="008B0144" w:rsidRPr="00DD513C" w:rsidRDefault="008B0144" w:rsidP="00DD513C">
      <w:pPr>
        <w:spacing w:line="240" w:lineRule="auto"/>
        <w:ind w:left="630"/>
        <w:rPr>
          <w:sz w:val="24"/>
        </w:rPr>
      </w:pPr>
    </w:p>
    <w:p w:rsidR="00034BA3" w:rsidRPr="00DD513C" w:rsidRDefault="00034BA3" w:rsidP="00DD513C">
      <w:pPr>
        <w:numPr>
          <w:ilvl w:val="0"/>
          <w:numId w:val="4"/>
        </w:numPr>
        <w:tabs>
          <w:tab w:val="clear" w:pos="720"/>
          <w:tab w:val="num" w:pos="630"/>
        </w:tabs>
        <w:spacing w:line="240" w:lineRule="auto"/>
        <w:ind w:left="630" w:hanging="630"/>
        <w:rPr>
          <w:sz w:val="24"/>
        </w:rPr>
      </w:pPr>
      <w:r w:rsidRPr="00DD513C">
        <w:rPr>
          <w:color w:val="000000"/>
          <w:sz w:val="24"/>
        </w:rPr>
        <w:t xml:space="preserve">On 21 September 2018, the President of the Court appointed Judge Radomir Laban as Judge Rapporteur, and the Review Panel, composed of Judges: </w:t>
      </w:r>
      <w:r w:rsidRPr="00DD513C">
        <w:rPr>
          <w:sz w:val="24"/>
        </w:rPr>
        <w:t xml:space="preserve">Bekim Sejdiu </w:t>
      </w:r>
      <w:r w:rsidRPr="00DD513C">
        <w:rPr>
          <w:color w:val="000000"/>
          <w:sz w:val="24"/>
        </w:rPr>
        <w:t xml:space="preserve">(Presiding), </w:t>
      </w:r>
      <w:r w:rsidRPr="00DD513C">
        <w:rPr>
          <w:sz w:val="24"/>
        </w:rPr>
        <w:t xml:space="preserve">Remzie Istrefi </w:t>
      </w:r>
      <w:r w:rsidRPr="00DD513C">
        <w:rPr>
          <w:color w:val="000000"/>
          <w:sz w:val="24"/>
        </w:rPr>
        <w:t xml:space="preserve">and </w:t>
      </w:r>
      <w:r w:rsidRPr="00DD513C">
        <w:rPr>
          <w:sz w:val="24"/>
        </w:rPr>
        <w:t>Nexhmi Rexhepi, in case KI128/18</w:t>
      </w:r>
      <w:r w:rsidRPr="00DD513C">
        <w:rPr>
          <w:color w:val="000000"/>
          <w:sz w:val="24"/>
        </w:rPr>
        <w:t>.</w:t>
      </w:r>
    </w:p>
    <w:p w:rsidR="00034BA3" w:rsidRPr="00DD513C" w:rsidRDefault="00034BA3" w:rsidP="00DD513C">
      <w:pPr>
        <w:pStyle w:val="ListParagraph"/>
        <w:spacing w:line="240" w:lineRule="auto"/>
        <w:rPr>
          <w:sz w:val="24"/>
          <w:lang w:val="en-US"/>
        </w:rPr>
      </w:pPr>
    </w:p>
    <w:p w:rsidR="00034BA3" w:rsidRPr="00DD513C" w:rsidRDefault="00034BA3" w:rsidP="00DD513C">
      <w:pPr>
        <w:numPr>
          <w:ilvl w:val="0"/>
          <w:numId w:val="4"/>
        </w:numPr>
        <w:tabs>
          <w:tab w:val="clear" w:pos="720"/>
          <w:tab w:val="num" w:pos="630"/>
        </w:tabs>
        <w:spacing w:line="240" w:lineRule="auto"/>
        <w:ind w:left="630" w:hanging="630"/>
        <w:rPr>
          <w:color w:val="000000"/>
          <w:sz w:val="24"/>
        </w:rPr>
      </w:pPr>
      <w:r w:rsidRPr="00DD513C">
        <w:rPr>
          <w:color w:val="000000"/>
          <w:sz w:val="24"/>
        </w:rPr>
        <w:t>On 21 September 2018, the President of the Court by Order joined the cases KI128/18, KI129/18, KI130/18, KI132/18, with the same Judge Rapporteur and the Review Panel, as in case KI128/18.</w:t>
      </w:r>
    </w:p>
    <w:p w:rsidR="00034BA3" w:rsidRPr="00DD513C" w:rsidRDefault="00034BA3" w:rsidP="00DD513C">
      <w:pPr>
        <w:spacing w:line="240" w:lineRule="auto"/>
        <w:ind w:left="630"/>
        <w:rPr>
          <w:color w:val="000000"/>
          <w:sz w:val="24"/>
        </w:rPr>
      </w:pPr>
    </w:p>
    <w:p w:rsidR="00034BA3" w:rsidRPr="00DD513C" w:rsidRDefault="000C6E4E" w:rsidP="00DD513C">
      <w:pPr>
        <w:numPr>
          <w:ilvl w:val="0"/>
          <w:numId w:val="4"/>
        </w:numPr>
        <w:tabs>
          <w:tab w:val="clear" w:pos="720"/>
          <w:tab w:val="num" w:pos="630"/>
        </w:tabs>
        <w:spacing w:line="240" w:lineRule="auto"/>
        <w:ind w:left="630" w:hanging="630"/>
        <w:rPr>
          <w:color w:val="000000"/>
          <w:sz w:val="24"/>
        </w:rPr>
      </w:pPr>
      <w:r w:rsidRPr="00DD513C">
        <w:rPr>
          <w:color w:val="000000"/>
          <w:sz w:val="24"/>
        </w:rPr>
        <w:t>On 25 September 2018, the Applicant submitted the Referrals KI164/18, KI165/18, KI166/18 and KI167/18 to the Court.</w:t>
      </w:r>
      <w:r w:rsidR="00034BA3" w:rsidRPr="00DD513C">
        <w:rPr>
          <w:color w:val="000000"/>
          <w:sz w:val="24"/>
        </w:rPr>
        <w:t xml:space="preserve"> </w:t>
      </w:r>
    </w:p>
    <w:p w:rsidR="00034BA3" w:rsidRPr="00DD513C" w:rsidRDefault="00034BA3" w:rsidP="00DD513C">
      <w:pPr>
        <w:pStyle w:val="ListParagraph"/>
        <w:spacing w:line="240" w:lineRule="auto"/>
        <w:rPr>
          <w:color w:val="000000"/>
          <w:sz w:val="24"/>
        </w:rPr>
      </w:pPr>
    </w:p>
    <w:p w:rsidR="00034BA3" w:rsidRPr="00DD513C" w:rsidRDefault="00034BA3" w:rsidP="00DD513C">
      <w:pPr>
        <w:numPr>
          <w:ilvl w:val="0"/>
          <w:numId w:val="4"/>
        </w:numPr>
        <w:tabs>
          <w:tab w:val="clear" w:pos="720"/>
          <w:tab w:val="num" w:pos="630"/>
        </w:tabs>
        <w:spacing w:line="240" w:lineRule="auto"/>
        <w:ind w:left="630" w:hanging="630"/>
        <w:rPr>
          <w:color w:val="000000"/>
          <w:sz w:val="24"/>
        </w:rPr>
      </w:pPr>
      <w:r w:rsidRPr="00DD513C">
        <w:rPr>
          <w:color w:val="000000"/>
          <w:sz w:val="24"/>
        </w:rPr>
        <w:t xml:space="preserve">On 5 November 2018, the President of the Court by Order joined the cases KI128/18, KI129/18, KI130/18, KI132/18, </w:t>
      </w:r>
      <w:r w:rsidR="00403682" w:rsidRPr="00DD513C">
        <w:rPr>
          <w:color w:val="000000"/>
          <w:sz w:val="24"/>
        </w:rPr>
        <w:t>with</w:t>
      </w:r>
      <w:r w:rsidRPr="00DD513C">
        <w:rPr>
          <w:color w:val="000000"/>
          <w:sz w:val="24"/>
        </w:rPr>
        <w:t xml:space="preserve"> cases KI164/18, KI165/18, KI166/18 and KI167/18, with the same Judge Rap</w:t>
      </w:r>
      <w:r w:rsidR="00403682" w:rsidRPr="00DD513C">
        <w:rPr>
          <w:color w:val="000000"/>
          <w:sz w:val="24"/>
        </w:rPr>
        <w:t xml:space="preserve">porteur and the Review Panel, </w:t>
      </w:r>
      <w:r w:rsidRPr="00DD513C">
        <w:rPr>
          <w:color w:val="000000"/>
          <w:sz w:val="24"/>
        </w:rPr>
        <w:t>as in case KI128/18.</w:t>
      </w:r>
    </w:p>
    <w:p w:rsidR="00034BA3" w:rsidRPr="00DD513C" w:rsidRDefault="00034BA3" w:rsidP="00DD513C">
      <w:pPr>
        <w:spacing w:line="240" w:lineRule="auto"/>
        <w:ind w:left="630"/>
        <w:rPr>
          <w:color w:val="000000"/>
          <w:sz w:val="24"/>
        </w:rPr>
      </w:pPr>
    </w:p>
    <w:p w:rsidR="00034BA3" w:rsidRPr="00DD513C" w:rsidRDefault="00034BA3" w:rsidP="00DD513C">
      <w:pPr>
        <w:numPr>
          <w:ilvl w:val="0"/>
          <w:numId w:val="4"/>
        </w:numPr>
        <w:tabs>
          <w:tab w:val="clear" w:pos="720"/>
          <w:tab w:val="num" w:pos="630"/>
        </w:tabs>
        <w:spacing w:line="240" w:lineRule="auto"/>
        <w:ind w:left="630" w:hanging="630"/>
        <w:rPr>
          <w:color w:val="000000"/>
          <w:sz w:val="24"/>
        </w:rPr>
      </w:pPr>
      <w:r w:rsidRPr="00DD513C">
        <w:rPr>
          <w:color w:val="000000"/>
          <w:sz w:val="24"/>
        </w:rPr>
        <w:lastRenderedPageBreak/>
        <w:t xml:space="preserve">On 8 November 2018, the Court notified the Applicant </w:t>
      </w:r>
      <w:r w:rsidR="000C6E4E" w:rsidRPr="00DD513C">
        <w:rPr>
          <w:color w:val="000000"/>
          <w:sz w:val="24"/>
        </w:rPr>
        <w:t xml:space="preserve">and the Supreme Court </w:t>
      </w:r>
      <w:r w:rsidRPr="00DD513C">
        <w:rPr>
          <w:color w:val="000000"/>
          <w:sz w:val="24"/>
        </w:rPr>
        <w:t xml:space="preserve">about the registration </w:t>
      </w:r>
      <w:r w:rsidR="000C6E4E" w:rsidRPr="00DD513C">
        <w:rPr>
          <w:color w:val="000000"/>
          <w:sz w:val="24"/>
        </w:rPr>
        <w:t xml:space="preserve">and joinder </w:t>
      </w:r>
      <w:r w:rsidRPr="00DD513C">
        <w:rPr>
          <w:color w:val="000000"/>
          <w:sz w:val="24"/>
        </w:rPr>
        <w:t xml:space="preserve">of Referrals KI164/18, KI165/18, KI166/18 and KI167/18 with </w:t>
      </w:r>
      <w:r w:rsidR="000C6E4E" w:rsidRPr="00DD513C">
        <w:rPr>
          <w:color w:val="000000"/>
          <w:sz w:val="24"/>
        </w:rPr>
        <w:t>Referrals</w:t>
      </w:r>
      <w:r w:rsidRPr="00DD513C">
        <w:rPr>
          <w:color w:val="000000"/>
          <w:sz w:val="24"/>
        </w:rPr>
        <w:t xml:space="preserve"> KI128/18, KI129/18, KI130/18, KI132/18.</w:t>
      </w:r>
    </w:p>
    <w:p w:rsidR="00034BA3" w:rsidRPr="00DD513C" w:rsidRDefault="00034BA3" w:rsidP="00DD513C">
      <w:pPr>
        <w:spacing w:line="240" w:lineRule="auto"/>
        <w:ind w:left="630"/>
        <w:rPr>
          <w:color w:val="000000"/>
          <w:sz w:val="24"/>
        </w:rPr>
      </w:pPr>
    </w:p>
    <w:p w:rsidR="004B2E01" w:rsidRPr="00DD513C" w:rsidRDefault="004B2E01" w:rsidP="00DD513C">
      <w:pPr>
        <w:numPr>
          <w:ilvl w:val="0"/>
          <w:numId w:val="4"/>
        </w:numPr>
        <w:tabs>
          <w:tab w:val="clear" w:pos="720"/>
          <w:tab w:val="num" w:pos="630"/>
        </w:tabs>
        <w:spacing w:line="240" w:lineRule="auto"/>
        <w:ind w:left="630" w:hanging="630"/>
        <w:rPr>
          <w:color w:val="000000"/>
          <w:sz w:val="24"/>
        </w:rPr>
      </w:pPr>
      <w:r w:rsidRPr="00DD513C">
        <w:rPr>
          <w:color w:val="000000"/>
          <w:sz w:val="24"/>
        </w:rPr>
        <w:t xml:space="preserve">On 6 December 2018, the Applicant submitted a letter to the Court and attached two decisions of the Basic Court in Prishtina - </w:t>
      </w:r>
      <w:r w:rsidR="0028449F" w:rsidRPr="00DD513C">
        <w:rPr>
          <w:color w:val="000000"/>
          <w:sz w:val="24"/>
        </w:rPr>
        <w:t>B</w:t>
      </w:r>
      <w:r w:rsidRPr="00DD513C">
        <w:rPr>
          <w:color w:val="000000"/>
          <w:sz w:val="24"/>
        </w:rPr>
        <w:t>ranch in Lipjan, and a decision of the Court of Appeals. It requested that these documents be joined to cases KI129/18 and KI166/18. With these additional documents, the Applicant wanted to demonstrate different practices of regular courts in the decision-making process.</w:t>
      </w:r>
    </w:p>
    <w:p w:rsidR="004B2E01" w:rsidRPr="00DD513C" w:rsidRDefault="004B2E01" w:rsidP="00DD513C">
      <w:pPr>
        <w:pStyle w:val="ListParagraph"/>
        <w:spacing w:line="240" w:lineRule="auto"/>
        <w:rPr>
          <w:color w:val="000000"/>
          <w:sz w:val="24"/>
        </w:rPr>
      </w:pPr>
    </w:p>
    <w:p w:rsidR="00034BA3" w:rsidRPr="00DD513C" w:rsidRDefault="00034BA3" w:rsidP="00DD513C">
      <w:pPr>
        <w:numPr>
          <w:ilvl w:val="0"/>
          <w:numId w:val="4"/>
        </w:numPr>
        <w:tabs>
          <w:tab w:val="clear" w:pos="720"/>
          <w:tab w:val="num" w:pos="630"/>
        </w:tabs>
        <w:spacing w:line="240" w:lineRule="auto"/>
        <w:ind w:left="630" w:hanging="630"/>
        <w:rPr>
          <w:color w:val="000000"/>
          <w:sz w:val="24"/>
        </w:rPr>
      </w:pPr>
      <w:r w:rsidRPr="00DD513C">
        <w:rPr>
          <w:color w:val="000000"/>
          <w:sz w:val="24"/>
        </w:rPr>
        <w:t>On 4 April 2019, the President of the Court by Order separated the joined cases KI128/18, KI129/18, KI130/18, KI132/18, KI164/18, KI165/18, KI166/18 and KI167/18 in individual cases, with the same Judge Rapporteur and the Review Panel,  as in case KI128/18.</w:t>
      </w:r>
    </w:p>
    <w:p w:rsidR="00034BA3" w:rsidRPr="00DD513C" w:rsidRDefault="00034BA3" w:rsidP="00DD513C">
      <w:pPr>
        <w:spacing w:line="240" w:lineRule="auto"/>
        <w:ind w:left="630"/>
        <w:rPr>
          <w:color w:val="000000"/>
          <w:sz w:val="24"/>
        </w:rPr>
      </w:pPr>
    </w:p>
    <w:p w:rsidR="00034BA3" w:rsidRPr="00DD513C" w:rsidRDefault="00034BA3" w:rsidP="00DD513C">
      <w:pPr>
        <w:numPr>
          <w:ilvl w:val="0"/>
          <w:numId w:val="4"/>
        </w:numPr>
        <w:tabs>
          <w:tab w:val="clear" w:pos="720"/>
          <w:tab w:val="num" w:pos="630"/>
        </w:tabs>
        <w:spacing w:line="240" w:lineRule="auto"/>
        <w:ind w:left="630" w:hanging="630"/>
        <w:rPr>
          <w:color w:val="000000"/>
          <w:sz w:val="24"/>
        </w:rPr>
      </w:pPr>
      <w:r w:rsidRPr="00DD513C">
        <w:rPr>
          <w:color w:val="000000"/>
          <w:sz w:val="24"/>
        </w:rPr>
        <w:t xml:space="preserve">On 12 April 2019, the Court notified the Applicant and the Supreme Court that cases </w:t>
      </w:r>
      <w:r w:rsidRPr="00DD513C">
        <w:rPr>
          <w:rFonts w:eastAsia="Calibri"/>
          <w:sz w:val="24"/>
          <w:lang w:val="sq-AL"/>
        </w:rPr>
        <w:t xml:space="preserve">KI128/18, KI129/18, KI130/18, KI132/18, KI164/18, KI165/18, KI166/18 </w:t>
      </w:r>
      <w:r w:rsidRPr="00DD513C">
        <w:rPr>
          <w:color w:val="000000"/>
          <w:sz w:val="24"/>
        </w:rPr>
        <w:t>and KI167/18 were separated by Order and that they will be individually reviewed before the Constitutional Court.</w:t>
      </w:r>
    </w:p>
    <w:p w:rsidR="00034BA3" w:rsidRPr="00DD513C" w:rsidRDefault="00034BA3" w:rsidP="00DD513C">
      <w:pPr>
        <w:spacing w:line="240" w:lineRule="auto"/>
        <w:ind w:left="630"/>
        <w:rPr>
          <w:color w:val="000000"/>
          <w:sz w:val="24"/>
        </w:rPr>
      </w:pPr>
    </w:p>
    <w:p w:rsidR="00034BA3" w:rsidRPr="00DD513C" w:rsidRDefault="00034BA3" w:rsidP="00DD513C">
      <w:pPr>
        <w:numPr>
          <w:ilvl w:val="0"/>
          <w:numId w:val="4"/>
        </w:numPr>
        <w:tabs>
          <w:tab w:val="clear" w:pos="720"/>
          <w:tab w:val="num" w:pos="630"/>
        </w:tabs>
        <w:spacing w:line="240" w:lineRule="auto"/>
        <w:ind w:left="630" w:hanging="630"/>
        <w:rPr>
          <w:color w:val="000000"/>
          <w:sz w:val="24"/>
        </w:rPr>
      </w:pPr>
      <w:r w:rsidRPr="00DD513C">
        <w:rPr>
          <w:sz w:val="24"/>
        </w:rPr>
        <w:t xml:space="preserve">On 12 April 2019, the Applicant submitted to the Court </w:t>
      </w:r>
      <w:r w:rsidR="00A34A60" w:rsidRPr="00DD513C">
        <w:rPr>
          <w:sz w:val="24"/>
        </w:rPr>
        <w:t>a</w:t>
      </w:r>
      <w:r w:rsidRPr="00DD513C">
        <w:rPr>
          <w:sz w:val="24"/>
        </w:rPr>
        <w:t xml:space="preserve"> letter entitled </w:t>
      </w:r>
      <w:r w:rsidRPr="00DD513C">
        <w:rPr>
          <w:i/>
          <w:sz w:val="24"/>
        </w:rPr>
        <w:t>“[...] regarding the cases registered with the Constitutional Court AND in particular the case registered with [...] number KI132/18</w:t>
      </w:r>
      <w:r w:rsidRPr="00DD513C">
        <w:rPr>
          <w:iCs/>
          <w:sz w:val="24"/>
        </w:rPr>
        <w:t>”</w:t>
      </w:r>
      <w:r w:rsidRPr="00DD513C">
        <w:rPr>
          <w:color w:val="000000"/>
          <w:sz w:val="24"/>
        </w:rPr>
        <w:t>.</w:t>
      </w:r>
    </w:p>
    <w:p w:rsidR="00034BA3" w:rsidRPr="00DD513C" w:rsidRDefault="00034BA3" w:rsidP="00DD513C">
      <w:pPr>
        <w:pStyle w:val="ListParagraph"/>
        <w:spacing w:line="240" w:lineRule="auto"/>
        <w:rPr>
          <w:color w:val="000000"/>
          <w:sz w:val="24"/>
          <w:lang w:val="en-US"/>
        </w:rPr>
      </w:pPr>
    </w:p>
    <w:p w:rsidR="00034BA3" w:rsidRPr="00DD513C" w:rsidRDefault="00034BA3" w:rsidP="00DD513C">
      <w:pPr>
        <w:numPr>
          <w:ilvl w:val="0"/>
          <w:numId w:val="4"/>
        </w:numPr>
        <w:tabs>
          <w:tab w:val="clear" w:pos="720"/>
          <w:tab w:val="num" w:pos="630"/>
        </w:tabs>
        <w:spacing w:line="240" w:lineRule="auto"/>
        <w:ind w:left="630" w:hanging="630"/>
        <w:rPr>
          <w:color w:val="000000"/>
          <w:sz w:val="24"/>
        </w:rPr>
      </w:pPr>
      <w:r w:rsidRPr="00DD513C">
        <w:rPr>
          <w:sz w:val="24"/>
        </w:rPr>
        <w:t xml:space="preserve">On 16 May 2019, the Applicant submitted to the Court a </w:t>
      </w:r>
      <w:r w:rsidR="006A239F" w:rsidRPr="00DD513C">
        <w:rPr>
          <w:sz w:val="24"/>
        </w:rPr>
        <w:t>document</w:t>
      </w:r>
      <w:r w:rsidRPr="00DD513C">
        <w:rPr>
          <w:sz w:val="24"/>
        </w:rPr>
        <w:t xml:space="preserve"> entitled “</w:t>
      </w:r>
      <w:r w:rsidRPr="00DD513C">
        <w:rPr>
          <w:i/>
          <w:sz w:val="24"/>
        </w:rPr>
        <w:t>Submission, regarding the cases registered with the Constitutional Court”</w:t>
      </w:r>
      <w:r w:rsidR="004B2E01" w:rsidRPr="00DD513C">
        <w:rPr>
          <w:i/>
          <w:sz w:val="24"/>
        </w:rPr>
        <w:t xml:space="preserve">, </w:t>
      </w:r>
      <w:r w:rsidR="004B2E01" w:rsidRPr="00DD513C">
        <w:rPr>
          <w:iCs/>
          <w:sz w:val="24"/>
        </w:rPr>
        <w:t>in which in essence he repeated the allegations, which he made before</w:t>
      </w:r>
      <w:r w:rsidRPr="00DD513C">
        <w:rPr>
          <w:i/>
          <w:sz w:val="24"/>
        </w:rPr>
        <w:t>.</w:t>
      </w:r>
    </w:p>
    <w:p w:rsidR="00034BA3" w:rsidRPr="00DD513C" w:rsidRDefault="00034BA3" w:rsidP="00DD513C">
      <w:pPr>
        <w:pStyle w:val="ListParagraph"/>
        <w:spacing w:line="240" w:lineRule="auto"/>
        <w:rPr>
          <w:color w:val="000000"/>
          <w:sz w:val="24"/>
          <w:lang w:val="en-US"/>
        </w:rPr>
      </w:pPr>
    </w:p>
    <w:p w:rsidR="0030205B" w:rsidRPr="00DD513C" w:rsidRDefault="00034BA3" w:rsidP="00DD513C">
      <w:pPr>
        <w:numPr>
          <w:ilvl w:val="0"/>
          <w:numId w:val="4"/>
        </w:numPr>
        <w:tabs>
          <w:tab w:val="clear" w:pos="720"/>
          <w:tab w:val="num" w:pos="630"/>
        </w:tabs>
        <w:spacing w:line="240" w:lineRule="auto"/>
        <w:ind w:left="630" w:hanging="630"/>
        <w:rPr>
          <w:color w:val="000000"/>
          <w:sz w:val="24"/>
        </w:rPr>
      </w:pPr>
      <w:r w:rsidRPr="00DD513C">
        <w:rPr>
          <w:sz w:val="24"/>
        </w:rPr>
        <w:t xml:space="preserve">On </w:t>
      </w:r>
      <w:r w:rsidR="004B2E01" w:rsidRPr="00DD513C">
        <w:rPr>
          <w:sz w:val="24"/>
        </w:rPr>
        <w:t>20</w:t>
      </w:r>
      <w:r w:rsidRPr="00DD513C">
        <w:rPr>
          <w:sz w:val="24"/>
        </w:rPr>
        <w:t xml:space="preserve"> </w:t>
      </w:r>
      <w:r w:rsidR="004B2E01" w:rsidRPr="00DD513C">
        <w:rPr>
          <w:sz w:val="24"/>
        </w:rPr>
        <w:t>June</w:t>
      </w:r>
      <w:r w:rsidRPr="00DD513C">
        <w:rPr>
          <w:sz w:val="24"/>
        </w:rPr>
        <w:t xml:space="preserve"> 2019, the Review Panel considered the report of the Judge Rapporteur and unanimously recommended to the Court the inadmissibility of the Referral</w:t>
      </w:r>
      <w:r w:rsidR="002C1A8B" w:rsidRPr="00DD513C">
        <w:rPr>
          <w:sz w:val="24"/>
        </w:rPr>
        <w:t>.</w:t>
      </w:r>
    </w:p>
    <w:p w:rsidR="00DB5A8E" w:rsidRPr="00DD513C" w:rsidRDefault="00DB5A8E" w:rsidP="00DD513C">
      <w:pPr>
        <w:pStyle w:val="ListParagraph"/>
        <w:spacing w:line="240" w:lineRule="auto"/>
        <w:rPr>
          <w:sz w:val="24"/>
          <w:lang w:val="en-US"/>
        </w:rPr>
      </w:pPr>
    </w:p>
    <w:p w:rsidR="0058348A" w:rsidRPr="00DD513C" w:rsidRDefault="002C1A8B" w:rsidP="00DD513C">
      <w:pPr>
        <w:spacing w:line="240" w:lineRule="auto"/>
        <w:rPr>
          <w:b/>
          <w:sz w:val="24"/>
        </w:rPr>
      </w:pPr>
      <w:r w:rsidRPr="00DD513C">
        <w:rPr>
          <w:b/>
          <w:sz w:val="24"/>
        </w:rPr>
        <w:t xml:space="preserve">Summary of facts </w:t>
      </w:r>
    </w:p>
    <w:p w:rsidR="004B65D5" w:rsidRPr="00DD513C" w:rsidRDefault="004B65D5" w:rsidP="00DD513C">
      <w:pPr>
        <w:spacing w:line="240" w:lineRule="auto"/>
        <w:rPr>
          <w:sz w:val="24"/>
        </w:rPr>
      </w:pPr>
    </w:p>
    <w:p w:rsidR="002C1A8B" w:rsidRPr="00DD513C" w:rsidRDefault="002C1A8B" w:rsidP="00DD513C">
      <w:pPr>
        <w:numPr>
          <w:ilvl w:val="0"/>
          <w:numId w:val="4"/>
        </w:numPr>
        <w:tabs>
          <w:tab w:val="clear" w:pos="720"/>
          <w:tab w:val="num" w:pos="630"/>
        </w:tabs>
        <w:spacing w:line="240" w:lineRule="auto"/>
        <w:ind w:left="630" w:hanging="630"/>
        <w:rPr>
          <w:color w:val="000000"/>
          <w:sz w:val="24"/>
        </w:rPr>
      </w:pPr>
      <w:r w:rsidRPr="00DD513C">
        <w:rPr>
          <w:color w:val="000000"/>
          <w:sz w:val="24"/>
        </w:rPr>
        <w:t>On 12 August 2010, the Government of the Republic of Kosovo and the Applicant signed a Public-Private Partnership Agreement (hereinafter: the PPP Agreement). Prior to the signing of the PPP Agreement, the name of Pris</w:t>
      </w:r>
      <w:r w:rsidR="00161DC4" w:rsidRPr="00DD513C">
        <w:rPr>
          <w:color w:val="000000"/>
          <w:sz w:val="24"/>
        </w:rPr>
        <w:t>h</w:t>
      </w:r>
      <w:r w:rsidRPr="00DD513C">
        <w:rPr>
          <w:color w:val="000000"/>
          <w:sz w:val="24"/>
        </w:rPr>
        <w:t>tina Airport was Pris</w:t>
      </w:r>
      <w:r w:rsidR="00161DC4" w:rsidRPr="00DD513C">
        <w:rPr>
          <w:color w:val="000000"/>
          <w:sz w:val="24"/>
        </w:rPr>
        <w:t>h</w:t>
      </w:r>
      <w:r w:rsidRPr="00DD513C">
        <w:rPr>
          <w:color w:val="000000"/>
          <w:sz w:val="24"/>
        </w:rPr>
        <w:t xml:space="preserve">tina International Airport (hereinafter: </w:t>
      </w:r>
      <w:r w:rsidR="00161DC4" w:rsidRPr="00DD513C">
        <w:rPr>
          <w:color w:val="000000"/>
          <w:sz w:val="24"/>
        </w:rPr>
        <w:t xml:space="preserve">the </w:t>
      </w:r>
      <w:r w:rsidRPr="00DD513C">
        <w:rPr>
          <w:color w:val="000000"/>
          <w:sz w:val="24"/>
        </w:rPr>
        <w:t>PIA).</w:t>
      </w:r>
    </w:p>
    <w:p w:rsidR="002C1A8B" w:rsidRPr="00DD513C" w:rsidRDefault="002C1A8B" w:rsidP="00DD513C">
      <w:pPr>
        <w:spacing w:line="240" w:lineRule="auto"/>
        <w:ind w:left="630"/>
        <w:rPr>
          <w:color w:val="000000"/>
          <w:sz w:val="24"/>
        </w:rPr>
      </w:pPr>
    </w:p>
    <w:p w:rsidR="002C1A8B" w:rsidRPr="00DD513C" w:rsidRDefault="002C1A8B" w:rsidP="00DD513C">
      <w:pPr>
        <w:numPr>
          <w:ilvl w:val="0"/>
          <w:numId w:val="4"/>
        </w:numPr>
        <w:tabs>
          <w:tab w:val="clear" w:pos="720"/>
          <w:tab w:val="num" w:pos="630"/>
        </w:tabs>
        <w:spacing w:line="240" w:lineRule="auto"/>
        <w:ind w:left="630" w:hanging="630"/>
        <w:rPr>
          <w:color w:val="000000"/>
          <w:sz w:val="24"/>
        </w:rPr>
      </w:pPr>
      <w:r w:rsidRPr="00DD513C">
        <w:rPr>
          <w:color w:val="000000"/>
          <w:sz w:val="24"/>
        </w:rPr>
        <w:t xml:space="preserve">Based on the case file, it is noted that the </w:t>
      </w:r>
      <w:r w:rsidR="00161DC4" w:rsidRPr="00DD513C">
        <w:rPr>
          <w:color w:val="000000"/>
          <w:sz w:val="24"/>
        </w:rPr>
        <w:t>employee</w:t>
      </w:r>
      <w:r w:rsidRPr="00DD513C">
        <w:rPr>
          <w:color w:val="000000"/>
          <w:sz w:val="24"/>
        </w:rPr>
        <w:t xml:space="preserve"> </w:t>
      </w:r>
      <w:r w:rsidR="0004353D" w:rsidRPr="00DD513C">
        <w:rPr>
          <w:color w:val="000000"/>
          <w:sz w:val="24"/>
        </w:rPr>
        <w:t xml:space="preserve"> </w:t>
      </w:r>
      <w:r w:rsidR="00A34A60" w:rsidRPr="00DD513C">
        <w:rPr>
          <w:color w:val="000000"/>
          <w:sz w:val="24"/>
        </w:rPr>
        <w:t>SH</w:t>
      </w:r>
      <w:r w:rsidR="00A34A60" w:rsidRPr="00DD513C">
        <w:rPr>
          <w:color w:val="000000"/>
          <w:sz w:val="24"/>
          <w:lang w:val="sr-Cyrl-CS"/>
        </w:rPr>
        <w:t xml:space="preserve">. </w:t>
      </w:r>
      <w:r w:rsidR="00A34A60" w:rsidRPr="00DD513C">
        <w:rPr>
          <w:color w:val="000000"/>
          <w:sz w:val="24"/>
        </w:rPr>
        <w:t>G</w:t>
      </w:r>
      <w:r w:rsidR="00A34A60" w:rsidRPr="00DD513C">
        <w:rPr>
          <w:color w:val="000000"/>
          <w:sz w:val="24"/>
          <w:lang w:val="sq-AL"/>
        </w:rPr>
        <w:t xml:space="preserve">. </w:t>
      </w:r>
      <w:r w:rsidRPr="00DD513C">
        <w:rPr>
          <w:color w:val="000000"/>
          <w:sz w:val="24"/>
        </w:rPr>
        <w:t>(hereinafter</w:t>
      </w:r>
      <w:r w:rsidR="00161DC4" w:rsidRPr="00DD513C">
        <w:rPr>
          <w:color w:val="000000"/>
          <w:sz w:val="24"/>
        </w:rPr>
        <w:t>: the employee</w:t>
      </w:r>
      <w:r w:rsidRPr="00DD513C">
        <w:rPr>
          <w:color w:val="000000"/>
          <w:sz w:val="24"/>
        </w:rPr>
        <w:t xml:space="preserve">) </w:t>
      </w:r>
      <w:r w:rsidR="00161DC4" w:rsidRPr="00DD513C">
        <w:rPr>
          <w:color w:val="000000"/>
          <w:sz w:val="24"/>
        </w:rPr>
        <w:t>was</w:t>
      </w:r>
      <w:r w:rsidRPr="00DD513C">
        <w:rPr>
          <w:color w:val="000000"/>
          <w:sz w:val="24"/>
        </w:rPr>
        <w:t xml:space="preserve"> employed </w:t>
      </w:r>
      <w:r w:rsidR="00161DC4" w:rsidRPr="00DD513C">
        <w:rPr>
          <w:color w:val="000000"/>
          <w:sz w:val="24"/>
        </w:rPr>
        <w:t>with</w:t>
      </w:r>
      <w:r w:rsidRPr="00DD513C">
        <w:rPr>
          <w:color w:val="000000"/>
          <w:sz w:val="24"/>
        </w:rPr>
        <w:t xml:space="preserve"> </w:t>
      </w:r>
      <w:r w:rsidR="00161DC4" w:rsidRPr="00DD513C">
        <w:rPr>
          <w:color w:val="000000"/>
          <w:sz w:val="24"/>
        </w:rPr>
        <w:t xml:space="preserve">the </w:t>
      </w:r>
      <w:r w:rsidRPr="00DD513C">
        <w:rPr>
          <w:color w:val="000000"/>
          <w:sz w:val="24"/>
        </w:rPr>
        <w:t xml:space="preserve">PIA. </w:t>
      </w:r>
      <w:r w:rsidR="00596AFA" w:rsidRPr="00DD513C">
        <w:rPr>
          <w:color w:val="000000"/>
          <w:sz w:val="24"/>
        </w:rPr>
        <w:t xml:space="preserve">The employee </w:t>
      </w:r>
      <w:r w:rsidR="00A34A60" w:rsidRPr="00DD513C">
        <w:rPr>
          <w:color w:val="000000"/>
          <w:sz w:val="24"/>
        </w:rPr>
        <w:t>SH</w:t>
      </w:r>
      <w:r w:rsidR="00A34A60" w:rsidRPr="00DD513C">
        <w:rPr>
          <w:color w:val="000000"/>
          <w:sz w:val="24"/>
          <w:lang w:val="sr-Cyrl-CS"/>
        </w:rPr>
        <w:t xml:space="preserve">. </w:t>
      </w:r>
      <w:r w:rsidR="00A34A60" w:rsidRPr="00DD513C">
        <w:rPr>
          <w:color w:val="000000"/>
          <w:sz w:val="24"/>
        </w:rPr>
        <w:t>G</w:t>
      </w:r>
      <w:r w:rsidR="00596AFA" w:rsidRPr="00DD513C">
        <w:rPr>
          <w:color w:val="000000"/>
          <w:sz w:val="24"/>
          <w:lang w:val="sq-AL"/>
        </w:rPr>
        <w:t xml:space="preserve">. </w:t>
      </w:r>
      <w:r w:rsidR="00596AFA" w:rsidRPr="00DD513C">
        <w:rPr>
          <w:color w:val="000000"/>
          <w:sz w:val="24"/>
        </w:rPr>
        <w:t xml:space="preserve">established employment relationship with the PIA for the period from </w:t>
      </w:r>
      <w:r w:rsidR="00A34A60" w:rsidRPr="00DD513C">
        <w:rPr>
          <w:color w:val="000000"/>
          <w:sz w:val="24"/>
        </w:rPr>
        <w:t>14 February</w:t>
      </w:r>
      <w:r w:rsidR="00596AFA" w:rsidRPr="00DD513C">
        <w:rPr>
          <w:color w:val="000000"/>
          <w:sz w:val="24"/>
        </w:rPr>
        <w:t xml:space="preserve"> 2005 until 3 April 2011. </w:t>
      </w:r>
      <w:r w:rsidRPr="00DD513C">
        <w:rPr>
          <w:color w:val="000000"/>
          <w:sz w:val="24"/>
        </w:rPr>
        <w:t xml:space="preserve">Pursuant to the PPP Agreement, the Applicant </w:t>
      </w:r>
      <w:r w:rsidR="00161DC4" w:rsidRPr="00DD513C">
        <w:rPr>
          <w:color w:val="000000"/>
          <w:sz w:val="24"/>
        </w:rPr>
        <w:t>assumed</w:t>
      </w:r>
      <w:r w:rsidRPr="00DD513C">
        <w:rPr>
          <w:color w:val="000000"/>
          <w:sz w:val="24"/>
        </w:rPr>
        <w:t xml:space="preserve"> the obligation to keep all employees in employment </w:t>
      </w:r>
      <w:r w:rsidR="00161DC4" w:rsidRPr="00DD513C">
        <w:rPr>
          <w:color w:val="000000"/>
          <w:sz w:val="24"/>
        </w:rPr>
        <w:t xml:space="preserve">relationship </w:t>
      </w:r>
      <w:r w:rsidRPr="00DD513C">
        <w:rPr>
          <w:color w:val="000000"/>
          <w:sz w:val="24"/>
        </w:rPr>
        <w:t>for three (3) years.</w:t>
      </w:r>
      <w:r w:rsidR="00596AFA" w:rsidRPr="00DD513C">
        <w:rPr>
          <w:color w:val="000000"/>
          <w:sz w:val="24"/>
        </w:rPr>
        <w:t xml:space="preserve"> Based on the PPP Agreement, the Applicant hired </w:t>
      </w:r>
      <w:r w:rsidR="00A34A60" w:rsidRPr="00DD513C">
        <w:rPr>
          <w:color w:val="000000"/>
          <w:sz w:val="24"/>
        </w:rPr>
        <w:t>the employee SH</w:t>
      </w:r>
      <w:r w:rsidR="00A34A60" w:rsidRPr="00DD513C">
        <w:rPr>
          <w:color w:val="000000"/>
          <w:sz w:val="24"/>
          <w:lang w:val="sr-Cyrl-CS"/>
        </w:rPr>
        <w:t xml:space="preserve">. </w:t>
      </w:r>
      <w:r w:rsidR="00A34A60" w:rsidRPr="00DD513C">
        <w:rPr>
          <w:color w:val="000000"/>
          <w:sz w:val="24"/>
        </w:rPr>
        <w:t>G</w:t>
      </w:r>
      <w:r w:rsidR="00596AFA" w:rsidRPr="00DD513C">
        <w:rPr>
          <w:color w:val="000000"/>
          <w:sz w:val="24"/>
        </w:rPr>
        <w:t xml:space="preserve">., according to a fixed-term contract for a duration of 3 (three) years, namely from 3 April 2011 </w:t>
      </w:r>
      <w:r w:rsidR="0002656A" w:rsidRPr="00DD513C">
        <w:rPr>
          <w:color w:val="000000"/>
          <w:sz w:val="24"/>
        </w:rPr>
        <w:t>until</w:t>
      </w:r>
      <w:r w:rsidR="00596AFA" w:rsidRPr="00DD513C">
        <w:rPr>
          <w:color w:val="000000"/>
          <w:sz w:val="24"/>
        </w:rPr>
        <w:t xml:space="preserve"> 3 April 2014.</w:t>
      </w:r>
    </w:p>
    <w:p w:rsidR="002C1A8B" w:rsidRPr="00DD513C" w:rsidRDefault="002C1A8B" w:rsidP="00DD513C">
      <w:pPr>
        <w:spacing w:line="240" w:lineRule="auto"/>
        <w:ind w:left="630"/>
        <w:rPr>
          <w:color w:val="000000"/>
          <w:sz w:val="24"/>
        </w:rPr>
      </w:pPr>
    </w:p>
    <w:p w:rsidR="002C1A8B" w:rsidRPr="00DD513C" w:rsidRDefault="002C1A8B" w:rsidP="00DD513C">
      <w:pPr>
        <w:numPr>
          <w:ilvl w:val="0"/>
          <w:numId w:val="4"/>
        </w:numPr>
        <w:tabs>
          <w:tab w:val="clear" w:pos="720"/>
          <w:tab w:val="num" w:pos="630"/>
        </w:tabs>
        <w:spacing w:line="240" w:lineRule="auto"/>
        <w:ind w:left="630" w:hanging="630"/>
        <w:rPr>
          <w:color w:val="000000"/>
          <w:sz w:val="24"/>
        </w:rPr>
      </w:pPr>
      <w:r w:rsidRPr="00DD513C">
        <w:rPr>
          <w:color w:val="000000"/>
          <w:sz w:val="24"/>
        </w:rPr>
        <w:t xml:space="preserve">On 3 March 2014, </w:t>
      </w:r>
      <w:r w:rsidR="00161DC4" w:rsidRPr="00DD513C">
        <w:rPr>
          <w:color w:val="000000"/>
          <w:sz w:val="24"/>
        </w:rPr>
        <w:t>namely</w:t>
      </w:r>
      <w:r w:rsidRPr="00DD513C">
        <w:rPr>
          <w:color w:val="000000"/>
          <w:sz w:val="24"/>
        </w:rPr>
        <w:t xml:space="preserve"> 30 (thirty) days before the expiry of the </w:t>
      </w:r>
      <w:r w:rsidR="00596AFA" w:rsidRPr="00DD513C">
        <w:rPr>
          <w:color w:val="000000"/>
          <w:sz w:val="24"/>
        </w:rPr>
        <w:t xml:space="preserve">fix-term </w:t>
      </w:r>
      <w:r w:rsidRPr="00DD513C">
        <w:rPr>
          <w:color w:val="000000"/>
          <w:sz w:val="24"/>
        </w:rPr>
        <w:t xml:space="preserve">contract, the Applicant </w:t>
      </w:r>
      <w:r w:rsidR="00161DC4" w:rsidRPr="00DD513C">
        <w:rPr>
          <w:color w:val="000000"/>
          <w:sz w:val="24"/>
        </w:rPr>
        <w:t>notified</w:t>
      </w:r>
      <w:r w:rsidRPr="00DD513C">
        <w:rPr>
          <w:color w:val="000000"/>
          <w:sz w:val="24"/>
        </w:rPr>
        <w:t xml:space="preserve"> the employee </w:t>
      </w:r>
      <w:r w:rsidR="00A34A60" w:rsidRPr="00DD513C">
        <w:rPr>
          <w:color w:val="000000"/>
          <w:sz w:val="24"/>
        </w:rPr>
        <w:t>SH</w:t>
      </w:r>
      <w:r w:rsidR="00A34A60" w:rsidRPr="00DD513C">
        <w:rPr>
          <w:color w:val="000000"/>
          <w:sz w:val="24"/>
          <w:lang w:val="sr-Cyrl-CS"/>
        </w:rPr>
        <w:t xml:space="preserve">. </w:t>
      </w:r>
      <w:r w:rsidR="00A34A60" w:rsidRPr="00DD513C">
        <w:rPr>
          <w:color w:val="000000"/>
          <w:sz w:val="24"/>
        </w:rPr>
        <w:t>G</w:t>
      </w:r>
      <w:r w:rsidR="00596AFA" w:rsidRPr="00DD513C">
        <w:rPr>
          <w:color w:val="000000"/>
          <w:sz w:val="24"/>
        </w:rPr>
        <w:t xml:space="preserve">.  that his contract was </w:t>
      </w:r>
      <w:r w:rsidR="00596AFA" w:rsidRPr="00DD513C">
        <w:rPr>
          <w:color w:val="000000"/>
          <w:sz w:val="24"/>
        </w:rPr>
        <w:lastRenderedPageBreak/>
        <w:t>terminated through a “</w:t>
      </w:r>
      <w:r w:rsidR="00596AFA" w:rsidRPr="00DD513C">
        <w:rPr>
          <w:i/>
          <w:iCs/>
          <w:color w:val="000000"/>
          <w:sz w:val="24"/>
        </w:rPr>
        <w:t xml:space="preserve">Notice of </w:t>
      </w:r>
      <w:r w:rsidR="00A34A60" w:rsidRPr="00DD513C">
        <w:rPr>
          <w:i/>
          <w:iCs/>
          <w:color w:val="000000"/>
          <w:sz w:val="24"/>
        </w:rPr>
        <w:t>non-renewal</w:t>
      </w:r>
      <w:r w:rsidR="00596AFA" w:rsidRPr="00DD513C">
        <w:rPr>
          <w:i/>
          <w:iCs/>
          <w:color w:val="000000"/>
          <w:sz w:val="24"/>
        </w:rPr>
        <w:t xml:space="preserve"> of the employment contract</w:t>
      </w:r>
      <w:r w:rsidR="00596AFA" w:rsidRPr="00DD513C">
        <w:rPr>
          <w:color w:val="000000"/>
          <w:sz w:val="24"/>
        </w:rPr>
        <w:t xml:space="preserve">” and reasoned that this is based on </w:t>
      </w:r>
      <w:r w:rsidR="00596AFA" w:rsidRPr="00DD513C">
        <w:rPr>
          <w:i/>
          <w:iCs/>
          <w:color w:val="000000"/>
          <w:sz w:val="24"/>
        </w:rPr>
        <w:t>“[...] the company's decision on future human resource planning</w:t>
      </w:r>
      <w:r w:rsidR="00596AFA" w:rsidRPr="00DD513C">
        <w:rPr>
          <w:color w:val="000000"/>
          <w:sz w:val="24"/>
        </w:rPr>
        <w:t>”. On the other hand, as a legal basis for the non-extension of the employment contract, the Applicant was based on paragraph 2 of Article 71 of the Law on Labor and the employment contract.</w:t>
      </w:r>
    </w:p>
    <w:p w:rsidR="00596AFA" w:rsidRPr="00DD513C" w:rsidRDefault="00596AFA" w:rsidP="00DD513C">
      <w:pPr>
        <w:spacing w:line="240" w:lineRule="auto"/>
        <w:rPr>
          <w:color w:val="000000"/>
          <w:sz w:val="24"/>
        </w:rPr>
      </w:pPr>
    </w:p>
    <w:p w:rsidR="002C1A8B" w:rsidRPr="00DD513C" w:rsidRDefault="002C1A8B" w:rsidP="00DD513C">
      <w:pPr>
        <w:numPr>
          <w:ilvl w:val="0"/>
          <w:numId w:val="4"/>
        </w:numPr>
        <w:tabs>
          <w:tab w:val="clear" w:pos="720"/>
          <w:tab w:val="num" w:pos="630"/>
        </w:tabs>
        <w:spacing w:line="240" w:lineRule="auto"/>
        <w:ind w:left="630" w:hanging="630"/>
        <w:rPr>
          <w:color w:val="000000"/>
          <w:sz w:val="24"/>
        </w:rPr>
      </w:pPr>
      <w:r w:rsidRPr="00DD513C">
        <w:rPr>
          <w:color w:val="000000"/>
          <w:sz w:val="24"/>
        </w:rPr>
        <w:t xml:space="preserve">On </w:t>
      </w:r>
      <w:r w:rsidR="00A34A60" w:rsidRPr="00DD513C">
        <w:rPr>
          <w:color w:val="000000"/>
          <w:sz w:val="24"/>
        </w:rPr>
        <w:t>16</w:t>
      </w:r>
      <w:r w:rsidR="009168AF" w:rsidRPr="00DD513C">
        <w:rPr>
          <w:color w:val="000000"/>
          <w:sz w:val="24"/>
        </w:rPr>
        <w:t xml:space="preserve"> March</w:t>
      </w:r>
      <w:r w:rsidR="00AA31F5" w:rsidRPr="00DD513C">
        <w:rPr>
          <w:color w:val="000000"/>
          <w:sz w:val="24"/>
        </w:rPr>
        <w:t xml:space="preserve"> 2014, the employee  SH</w:t>
      </w:r>
      <w:r w:rsidR="00AA31F5" w:rsidRPr="00DD513C">
        <w:rPr>
          <w:color w:val="000000"/>
          <w:sz w:val="24"/>
          <w:lang w:val="sr-Cyrl-CS"/>
        </w:rPr>
        <w:t xml:space="preserve">. </w:t>
      </w:r>
      <w:r w:rsidR="00AA31F5" w:rsidRPr="00DD513C">
        <w:rPr>
          <w:color w:val="000000"/>
          <w:sz w:val="24"/>
        </w:rPr>
        <w:t>G</w:t>
      </w:r>
      <w:r w:rsidR="00AA31F5" w:rsidRPr="00DD513C">
        <w:rPr>
          <w:color w:val="000000"/>
          <w:sz w:val="24"/>
          <w:lang w:val="sq-AL"/>
        </w:rPr>
        <w:t xml:space="preserve">. </w:t>
      </w:r>
      <w:r w:rsidR="00AA31F5" w:rsidRPr="00DD513C">
        <w:rPr>
          <w:color w:val="000000"/>
          <w:sz w:val="24"/>
        </w:rPr>
        <w:t>considering</w:t>
      </w:r>
      <w:r w:rsidR="00AA31F5" w:rsidRPr="00DD513C">
        <w:rPr>
          <w:color w:val="000000"/>
          <w:sz w:val="24"/>
          <w:lang w:val="sq-AL"/>
        </w:rPr>
        <w:t xml:space="preserve"> </w:t>
      </w:r>
      <w:r w:rsidR="00AA31F5" w:rsidRPr="00DD513C">
        <w:rPr>
          <w:color w:val="000000"/>
          <w:sz w:val="24"/>
        </w:rPr>
        <w:t>that the notice of 3 March 2014 is unlawful, submitted to</w:t>
      </w:r>
      <w:r w:rsidRPr="00DD513C">
        <w:rPr>
          <w:color w:val="000000"/>
          <w:sz w:val="24"/>
        </w:rPr>
        <w:t xml:space="preserve"> the Applicant </w:t>
      </w:r>
      <w:r w:rsidR="00AA31F5" w:rsidRPr="00DD513C">
        <w:rPr>
          <w:color w:val="000000"/>
          <w:sz w:val="24"/>
        </w:rPr>
        <w:t>a</w:t>
      </w:r>
      <w:r w:rsidRPr="00DD513C">
        <w:rPr>
          <w:i/>
          <w:iCs/>
          <w:color w:val="000000"/>
          <w:sz w:val="24"/>
        </w:rPr>
        <w:t xml:space="preserve"> </w:t>
      </w:r>
      <w:r w:rsidRPr="00DD513C">
        <w:rPr>
          <w:color w:val="000000"/>
          <w:sz w:val="24"/>
        </w:rPr>
        <w:t xml:space="preserve">proposal that the notice be annulled as </w:t>
      </w:r>
      <w:r w:rsidR="00161DC4" w:rsidRPr="00DD513C">
        <w:rPr>
          <w:color w:val="000000"/>
          <w:sz w:val="24"/>
        </w:rPr>
        <w:t>unlawful</w:t>
      </w:r>
      <w:r w:rsidR="00AA31F5" w:rsidRPr="00DD513C">
        <w:rPr>
          <w:color w:val="000000"/>
          <w:sz w:val="24"/>
        </w:rPr>
        <w:t>,</w:t>
      </w:r>
      <w:r w:rsidRPr="00DD513C">
        <w:rPr>
          <w:color w:val="000000"/>
          <w:sz w:val="24"/>
        </w:rPr>
        <w:t xml:space="preserve"> and </w:t>
      </w:r>
      <w:r w:rsidR="00AA31F5" w:rsidRPr="00DD513C">
        <w:rPr>
          <w:color w:val="000000"/>
          <w:sz w:val="24"/>
        </w:rPr>
        <w:t xml:space="preserve">requested the Applicant </w:t>
      </w:r>
      <w:r w:rsidRPr="00DD513C">
        <w:rPr>
          <w:color w:val="000000"/>
          <w:sz w:val="24"/>
        </w:rPr>
        <w:t xml:space="preserve">to </w:t>
      </w:r>
      <w:r w:rsidR="00161DC4" w:rsidRPr="00DD513C">
        <w:rPr>
          <w:color w:val="000000"/>
          <w:sz w:val="24"/>
        </w:rPr>
        <w:t xml:space="preserve">reinstate </w:t>
      </w:r>
      <w:r w:rsidR="00AA31F5" w:rsidRPr="00DD513C">
        <w:rPr>
          <w:color w:val="000000"/>
          <w:sz w:val="24"/>
        </w:rPr>
        <w:t>her</w:t>
      </w:r>
      <w:r w:rsidRPr="00DD513C">
        <w:rPr>
          <w:color w:val="000000"/>
          <w:sz w:val="24"/>
        </w:rPr>
        <w:t xml:space="preserve"> to the previous </w:t>
      </w:r>
      <w:r w:rsidR="00161DC4" w:rsidRPr="00DD513C">
        <w:rPr>
          <w:color w:val="000000"/>
          <w:sz w:val="24"/>
        </w:rPr>
        <w:t xml:space="preserve">working </w:t>
      </w:r>
      <w:r w:rsidRPr="00DD513C">
        <w:rPr>
          <w:color w:val="000000"/>
          <w:sz w:val="24"/>
        </w:rPr>
        <w:t xml:space="preserve">place, with all the </w:t>
      </w:r>
      <w:r w:rsidR="00161DC4" w:rsidRPr="00DD513C">
        <w:rPr>
          <w:color w:val="000000"/>
          <w:sz w:val="24"/>
        </w:rPr>
        <w:t>rights under the employment relationship.</w:t>
      </w:r>
    </w:p>
    <w:p w:rsidR="002C1A8B" w:rsidRPr="00DD513C" w:rsidRDefault="002C1A8B" w:rsidP="00DD513C">
      <w:pPr>
        <w:spacing w:line="240" w:lineRule="auto"/>
        <w:ind w:left="630"/>
        <w:rPr>
          <w:color w:val="000000"/>
          <w:sz w:val="24"/>
        </w:rPr>
      </w:pPr>
    </w:p>
    <w:p w:rsidR="002C1A8B" w:rsidRPr="00DD513C" w:rsidRDefault="002C1A8B" w:rsidP="00DD513C">
      <w:pPr>
        <w:numPr>
          <w:ilvl w:val="0"/>
          <w:numId w:val="4"/>
        </w:numPr>
        <w:tabs>
          <w:tab w:val="clear" w:pos="720"/>
          <w:tab w:val="num" w:pos="630"/>
        </w:tabs>
        <w:spacing w:line="240" w:lineRule="auto"/>
        <w:ind w:left="630" w:hanging="630"/>
        <w:rPr>
          <w:color w:val="000000"/>
          <w:sz w:val="24"/>
        </w:rPr>
      </w:pPr>
      <w:r w:rsidRPr="00DD513C">
        <w:rPr>
          <w:color w:val="000000"/>
          <w:sz w:val="24"/>
        </w:rPr>
        <w:t xml:space="preserve">On </w:t>
      </w:r>
      <w:r w:rsidR="00AA31F5" w:rsidRPr="00DD513C">
        <w:rPr>
          <w:color w:val="000000"/>
          <w:sz w:val="24"/>
        </w:rPr>
        <w:t>20 March</w:t>
      </w:r>
      <w:r w:rsidRPr="00DD513C">
        <w:rPr>
          <w:color w:val="000000"/>
          <w:sz w:val="24"/>
        </w:rPr>
        <w:t xml:space="preserve"> 2014, the Applicant rejected as un</w:t>
      </w:r>
      <w:r w:rsidR="00161DC4" w:rsidRPr="00DD513C">
        <w:rPr>
          <w:color w:val="000000"/>
          <w:sz w:val="24"/>
        </w:rPr>
        <w:t>gr</w:t>
      </w:r>
      <w:r w:rsidRPr="00DD513C">
        <w:rPr>
          <w:color w:val="000000"/>
          <w:sz w:val="24"/>
        </w:rPr>
        <w:t xml:space="preserve">ounded the employee's </w:t>
      </w:r>
      <w:r w:rsidR="00596AFA" w:rsidRPr="00DD513C">
        <w:rPr>
          <w:color w:val="000000"/>
          <w:sz w:val="24"/>
        </w:rPr>
        <w:t>request of the employee to annul the notification on non-renewal of the contract as unlawful</w:t>
      </w:r>
      <w:r w:rsidRPr="00DD513C">
        <w:rPr>
          <w:color w:val="000000"/>
          <w:sz w:val="24"/>
        </w:rPr>
        <w:t>.</w:t>
      </w:r>
    </w:p>
    <w:p w:rsidR="002C1A8B" w:rsidRPr="00DD513C" w:rsidRDefault="002C1A8B" w:rsidP="00DD513C">
      <w:pPr>
        <w:spacing w:line="240" w:lineRule="auto"/>
        <w:ind w:left="630"/>
        <w:rPr>
          <w:color w:val="000000"/>
          <w:sz w:val="24"/>
        </w:rPr>
      </w:pPr>
    </w:p>
    <w:p w:rsidR="002C1A8B" w:rsidRPr="00DD513C" w:rsidRDefault="002C1A8B" w:rsidP="00DD513C">
      <w:pPr>
        <w:numPr>
          <w:ilvl w:val="0"/>
          <w:numId w:val="4"/>
        </w:numPr>
        <w:tabs>
          <w:tab w:val="clear" w:pos="720"/>
          <w:tab w:val="num" w:pos="630"/>
        </w:tabs>
        <w:spacing w:line="240" w:lineRule="auto"/>
        <w:ind w:left="630" w:hanging="630"/>
        <w:rPr>
          <w:color w:val="000000"/>
          <w:sz w:val="24"/>
        </w:rPr>
      </w:pPr>
      <w:r w:rsidRPr="00DD513C">
        <w:rPr>
          <w:color w:val="000000"/>
          <w:sz w:val="24"/>
        </w:rPr>
        <w:t xml:space="preserve">The employee filed </w:t>
      </w:r>
      <w:r w:rsidR="00161DC4" w:rsidRPr="00DD513C">
        <w:rPr>
          <w:color w:val="000000"/>
          <w:sz w:val="24"/>
        </w:rPr>
        <w:t>the statement of</w:t>
      </w:r>
      <w:r w:rsidRPr="00DD513C">
        <w:rPr>
          <w:color w:val="000000"/>
          <w:sz w:val="24"/>
        </w:rPr>
        <w:t xml:space="preserve"> claim with the Basic Court in Prishtina - Branch in Lipjan (hereinafter: the Basic Court), requesting the annulment of the </w:t>
      </w:r>
      <w:r w:rsidR="00161DC4" w:rsidRPr="00DD513C">
        <w:rPr>
          <w:color w:val="000000"/>
          <w:sz w:val="24"/>
        </w:rPr>
        <w:t xml:space="preserve">notice of 3 </w:t>
      </w:r>
      <w:r w:rsidRPr="00DD513C">
        <w:rPr>
          <w:color w:val="000000"/>
          <w:sz w:val="24"/>
        </w:rPr>
        <w:t xml:space="preserve">March 2014 </w:t>
      </w:r>
      <w:r w:rsidR="005033BB" w:rsidRPr="00DD513C">
        <w:rPr>
          <w:color w:val="000000"/>
          <w:sz w:val="24"/>
        </w:rPr>
        <w:t xml:space="preserve">and the response of the Applicant of </w:t>
      </w:r>
      <w:r w:rsidR="00AA31F5" w:rsidRPr="00DD513C">
        <w:rPr>
          <w:color w:val="000000"/>
          <w:sz w:val="24"/>
        </w:rPr>
        <w:t>20 March</w:t>
      </w:r>
      <w:r w:rsidR="005033BB" w:rsidRPr="00DD513C">
        <w:rPr>
          <w:color w:val="000000"/>
          <w:sz w:val="24"/>
        </w:rPr>
        <w:t xml:space="preserve"> 2014 on non-extension of the employment contract, </w:t>
      </w:r>
      <w:r w:rsidRPr="00DD513C">
        <w:rPr>
          <w:color w:val="000000"/>
          <w:sz w:val="24"/>
        </w:rPr>
        <w:t>issued by the Applicant</w:t>
      </w:r>
      <w:r w:rsidR="00161DC4" w:rsidRPr="00DD513C">
        <w:rPr>
          <w:color w:val="000000"/>
          <w:sz w:val="24"/>
        </w:rPr>
        <w:t>,</w:t>
      </w:r>
      <w:r w:rsidRPr="00DD513C">
        <w:rPr>
          <w:color w:val="000000"/>
          <w:sz w:val="24"/>
        </w:rPr>
        <w:t xml:space="preserve"> and </w:t>
      </w:r>
      <w:r w:rsidR="00AA31F5" w:rsidRPr="00DD513C">
        <w:rPr>
          <w:color w:val="000000"/>
          <w:sz w:val="24"/>
        </w:rPr>
        <w:t>obliged</w:t>
      </w:r>
      <w:r w:rsidRPr="00DD513C">
        <w:rPr>
          <w:color w:val="000000"/>
          <w:sz w:val="24"/>
        </w:rPr>
        <w:t xml:space="preserve"> the Applicant to </w:t>
      </w:r>
      <w:r w:rsidR="00161DC4" w:rsidRPr="00DD513C">
        <w:rPr>
          <w:color w:val="000000"/>
          <w:sz w:val="24"/>
        </w:rPr>
        <w:t>reinstate</w:t>
      </w:r>
      <w:r w:rsidRPr="00DD513C">
        <w:rPr>
          <w:color w:val="000000"/>
          <w:sz w:val="24"/>
        </w:rPr>
        <w:t xml:space="preserve"> the employee to work with all rights and obligations, and to compensate the material damage.</w:t>
      </w:r>
    </w:p>
    <w:p w:rsidR="002C1A8B" w:rsidRPr="00DD513C" w:rsidRDefault="002C1A8B" w:rsidP="00DD513C">
      <w:pPr>
        <w:spacing w:line="240" w:lineRule="auto"/>
        <w:ind w:left="630"/>
        <w:rPr>
          <w:color w:val="000000"/>
          <w:sz w:val="24"/>
        </w:rPr>
      </w:pPr>
    </w:p>
    <w:p w:rsidR="005033BB" w:rsidRPr="00DD513C" w:rsidRDefault="005033BB" w:rsidP="00DD513C">
      <w:pPr>
        <w:numPr>
          <w:ilvl w:val="0"/>
          <w:numId w:val="4"/>
        </w:numPr>
        <w:tabs>
          <w:tab w:val="clear" w:pos="720"/>
          <w:tab w:val="num" w:pos="630"/>
        </w:tabs>
        <w:spacing w:line="240" w:lineRule="auto"/>
        <w:ind w:left="630" w:hanging="630"/>
        <w:rPr>
          <w:color w:val="000000"/>
          <w:sz w:val="24"/>
        </w:rPr>
      </w:pPr>
      <w:r w:rsidRPr="00DD513C">
        <w:rPr>
          <w:color w:val="000000"/>
          <w:sz w:val="24"/>
        </w:rPr>
        <w:t xml:space="preserve">On </w:t>
      </w:r>
      <w:r w:rsidR="00AA31F5" w:rsidRPr="00DD513C">
        <w:rPr>
          <w:color w:val="000000"/>
          <w:sz w:val="24"/>
        </w:rPr>
        <w:t>3</w:t>
      </w:r>
      <w:r w:rsidRPr="00DD513C">
        <w:rPr>
          <w:color w:val="000000"/>
          <w:sz w:val="24"/>
        </w:rPr>
        <w:t xml:space="preserve"> June 2015, the Basic Court in Prishtina - Branch in Lipjan (hereinafter: the Basic Court) by Judgment C. No. 2</w:t>
      </w:r>
      <w:r w:rsidR="00AA31F5" w:rsidRPr="00DD513C">
        <w:rPr>
          <w:color w:val="000000"/>
          <w:sz w:val="24"/>
        </w:rPr>
        <w:t>13</w:t>
      </w:r>
      <w:r w:rsidRPr="00DD513C">
        <w:rPr>
          <w:color w:val="000000"/>
          <w:sz w:val="24"/>
        </w:rPr>
        <w:t>/</w:t>
      </w:r>
      <w:r w:rsidR="00AA31F5" w:rsidRPr="00DD513C">
        <w:rPr>
          <w:color w:val="000000"/>
          <w:sz w:val="24"/>
        </w:rPr>
        <w:t>20</w:t>
      </w:r>
      <w:r w:rsidRPr="00DD513C">
        <w:rPr>
          <w:color w:val="000000"/>
          <w:sz w:val="24"/>
        </w:rPr>
        <w:t xml:space="preserve">14 rejected, as ungrounded, the claim of </w:t>
      </w:r>
      <w:r w:rsidR="00AA31F5" w:rsidRPr="00DD513C">
        <w:rPr>
          <w:color w:val="000000"/>
          <w:sz w:val="24"/>
        </w:rPr>
        <w:t>SH</w:t>
      </w:r>
      <w:r w:rsidR="00AA31F5" w:rsidRPr="00DD513C">
        <w:rPr>
          <w:color w:val="000000"/>
          <w:sz w:val="24"/>
          <w:lang w:val="sr-Cyrl-CS"/>
        </w:rPr>
        <w:t xml:space="preserve">. </w:t>
      </w:r>
      <w:r w:rsidR="00AA31F5" w:rsidRPr="00DD513C">
        <w:rPr>
          <w:color w:val="000000"/>
          <w:sz w:val="24"/>
        </w:rPr>
        <w:t>G</w:t>
      </w:r>
      <w:r w:rsidRPr="00DD513C">
        <w:rPr>
          <w:color w:val="000000"/>
          <w:sz w:val="24"/>
        </w:rPr>
        <w:t xml:space="preserve">. referring to the provision of Article 67, item 1.3 of the Law on Labor, which provides </w:t>
      </w:r>
      <w:r w:rsidRPr="00DD513C">
        <w:rPr>
          <w:i/>
          <w:iCs/>
          <w:color w:val="000000"/>
          <w:sz w:val="24"/>
        </w:rPr>
        <w:t xml:space="preserve">“[...] </w:t>
      </w:r>
      <w:r w:rsidR="00AA31F5" w:rsidRPr="00DD513C">
        <w:rPr>
          <w:i/>
          <w:iCs/>
          <w:color w:val="000000"/>
          <w:sz w:val="24"/>
        </w:rPr>
        <w:t xml:space="preserve">The </w:t>
      </w:r>
      <w:r w:rsidRPr="00DD513C">
        <w:rPr>
          <w:i/>
          <w:iCs/>
          <w:color w:val="000000"/>
          <w:sz w:val="24"/>
        </w:rPr>
        <w:t>termination of employment relationship based on law</w:t>
      </w:r>
      <w:r w:rsidR="007A51D2" w:rsidRPr="00DD513C">
        <w:rPr>
          <w:i/>
          <w:iCs/>
          <w:color w:val="000000"/>
          <w:sz w:val="24"/>
        </w:rPr>
        <w:t>, except for other cases</w:t>
      </w:r>
      <w:r w:rsidRPr="00DD513C">
        <w:rPr>
          <w:i/>
          <w:iCs/>
          <w:color w:val="000000"/>
          <w:sz w:val="24"/>
        </w:rPr>
        <w:t xml:space="preserve">, is terminated even after the </w:t>
      </w:r>
      <w:r w:rsidR="007A51D2" w:rsidRPr="00DD513C">
        <w:rPr>
          <w:i/>
          <w:iCs/>
          <w:color w:val="000000"/>
          <w:sz w:val="24"/>
        </w:rPr>
        <w:t>expiry</w:t>
      </w:r>
      <w:r w:rsidRPr="00DD513C">
        <w:rPr>
          <w:i/>
          <w:iCs/>
          <w:color w:val="000000"/>
          <w:sz w:val="24"/>
        </w:rPr>
        <w:t xml:space="preserve"> of the </w:t>
      </w:r>
      <w:r w:rsidR="007A51D2" w:rsidRPr="00DD513C">
        <w:rPr>
          <w:i/>
          <w:iCs/>
          <w:color w:val="000000"/>
          <w:sz w:val="24"/>
        </w:rPr>
        <w:t>term</w:t>
      </w:r>
      <w:r w:rsidR="007A51D2" w:rsidRPr="00DD513C">
        <w:rPr>
          <w:color w:val="000000"/>
          <w:sz w:val="24"/>
        </w:rPr>
        <w:t xml:space="preserve"> </w:t>
      </w:r>
      <w:r w:rsidR="007A51D2" w:rsidRPr="00DD513C">
        <w:rPr>
          <w:i/>
          <w:iCs/>
          <w:color w:val="000000"/>
          <w:sz w:val="24"/>
        </w:rPr>
        <w:t>of the</w:t>
      </w:r>
      <w:r w:rsidR="007A51D2" w:rsidRPr="00DD513C">
        <w:rPr>
          <w:color w:val="000000"/>
          <w:sz w:val="24"/>
        </w:rPr>
        <w:t xml:space="preserve"> </w:t>
      </w:r>
      <w:r w:rsidRPr="00DD513C">
        <w:rPr>
          <w:i/>
          <w:iCs/>
          <w:color w:val="000000"/>
          <w:sz w:val="24"/>
        </w:rPr>
        <w:t xml:space="preserve">contract </w:t>
      </w:r>
      <w:r w:rsidRPr="00DD513C">
        <w:rPr>
          <w:color w:val="000000"/>
          <w:sz w:val="24"/>
        </w:rPr>
        <w:t xml:space="preserve">“. Therefore, in the present case, according to the Basic Court, </w:t>
      </w:r>
      <w:r w:rsidR="007A51D2" w:rsidRPr="00DD513C">
        <w:rPr>
          <w:color w:val="000000"/>
          <w:sz w:val="24"/>
        </w:rPr>
        <w:t>as</w:t>
      </w:r>
      <w:r w:rsidRPr="00DD513C">
        <w:rPr>
          <w:color w:val="000000"/>
          <w:sz w:val="24"/>
        </w:rPr>
        <w:t xml:space="preserve"> the employee has not completed 10 (ten) years of work experience, to be considered to be on an indefinite </w:t>
      </w:r>
      <w:r w:rsidR="007A51D2" w:rsidRPr="00DD513C">
        <w:rPr>
          <w:color w:val="000000"/>
          <w:sz w:val="24"/>
        </w:rPr>
        <w:t>term</w:t>
      </w:r>
      <w:r w:rsidRPr="00DD513C">
        <w:rPr>
          <w:color w:val="000000"/>
          <w:sz w:val="24"/>
        </w:rPr>
        <w:t xml:space="preserve">, then </w:t>
      </w:r>
      <w:r w:rsidR="007A51D2" w:rsidRPr="00DD513C">
        <w:rPr>
          <w:color w:val="000000"/>
          <w:sz w:val="24"/>
        </w:rPr>
        <w:t>“</w:t>
      </w:r>
      <w:r w:rsidRPr="00DD513C">
        <w:rPr>
          <w:i/>
          <w:iCs/>
          <w:color w:val="000000"/>
          <w:sz w:val="24"/>
        </w:rPr>
        <w:t xml:space="preserve">[the Applicant] </w:t>
      </w:r>
      <w:r w:rsidR="007A51D2" w:rsidRPr="00DD513C">
        <w:rPr>
          <w:i/>
          <w:iCs/>
          <w:color w:val="000000"/>
          <w:sz w:val="24"/>
        </w:rPr>
        <w:t>did not</w:t>
      </w:r>
      <w:r w:rsidR="00ED14FD" w:rsidRPr="00DD513C">
        <w:rPr>
          <w:i/>
          <w:iCs/>
          <w:color w:val="000000"/>
          <w:sz w:val="24"/>
        </w:rPr>
        <w:t xml:space="preserve"> have</w:t>
      </w:r>
      <w:r w:rsidRPr="00DD513C">
        <w:rPr>
          <w:i/>
          <w:iCs/>
          <w:color w:val="000000"/>
          <w:sz w:val="24"/>
        </w:rPr>
        <w:t xml:space="preserve"> a legal obligation to </w:t>
      </w:r>
      <w:r w:rsidR="007A51D2" w:rsidRPr="00DD513C">
        <w:rPr>
          <w:i/>
          <w:iCs/>
          <w:color w:val="000000"/>
          <w:sz w:val="24"/>
        </w:rPr>
        <w:t>extend</w:t>
      </w:r>
      <w:r w:rsidRPr="00DD513C">
        <w:rPr>
          <w:i/>
          <w:iCs/>
          <w:color w:val="000000"/>
          <w:sz w:val="24"/>
        </w:rPr>
        <w:t xml:space="preserve"> the employment contract</w:t>
      </w:r>
      <w:r w:rsidR="007A51D2" w:rsidRPr="00DD513C">
        <w:rPr>
          <w:i/>
          <w:iCs/>
          <w:color w:val="000000"/>
          <w:sz w:val="24"/>
        </w:rPr>
        <w:t xml:space="preserve"> of</w:t>
      </w:r>
      <w:r w:rsidRPr="00DD513C">
        <w:rPr>
          <w:i/>
          <w:iCs/>
          <w:color w:val="000000"/>
          <w:sz w:val="24"/>
        </w:rPr>
        <w:t xml:space="preserve"> [the employee]</w:t>
      </w:r>
      <w:r w:rsidRPr="00DD513C">
        <w:rPr>
          <w:color w:val="000000"/>
          <w:sz w:val="24"/>
        </w:rPr>
        <w:t xml:space="preserve">, </w:t>
      </w:r>
      <w:r w:rsidR="007A51D2" w:rsidRPr="00DD513C">
        <w:rPr>
          <w:color w:val="000000"/>
          <w:sz w:val="24"/>
        </w:rPr>
        <w:t>as</w:t>
      </w:r>
      <w:r w:rsidRPr="00DD513C">
        <w:rPr>
          <w:color w:val="000000"/>
          <w:sz w:val="24"/>
        </w:rPr>
        <w:t xml:space="preserve"> his employment relationship with the expir</w:t>
      </w:r>
      <w:r w:rsidR="007A51D2" w:rsidRPr="00DD513C">
        <w:rPr>
          <w:color w:val="000000"/>
          <w:sz w:val="24"/>
        </w:rPr>
        <w:t>y</w:t>
      </w:r>
      <w:r w:rsidRPr="00DD513C">
        <w:rPr>
          <w:color w:val="000000"/>
          <w:sz w:val="24"/>
        </w:rPr>
        <w:t xml:space="preserve"> of the employment contract</w:t>
      </w:r>
      <w:r w:rsidR="007A51D2" w:rsidRPr="00DD513C">
        <w:rPr>
          <w:color w:val="000000"/>
          <w:sz w:val="24"/>
        </w:rPr>
        <w:t xml:space="preserve"> was terminated</w:t>
      </w:r>
      <w:r w:rsidRPr="00DD513C">
        <w:rPr>
          <w:color w:val="000000"/>
          <w:sz w:val="24"/>
        </w:rPr>
        <w:t xml:space="preserve">, </w:t>
      </w:r>
      <w:r w:rsidR="00ED14FD" w:rsidRPr="00DD513C">
        <w:rPr>
          <w:color w:val="000000"/>
          <w:sz w:val="24"/>
        </w:rPr>
        <w:t>namely</w:t>
      </w:r>
      <w:r w:rsidRPr="00DD513C">
        <w:rPr>
          <w:color w:val="000000"/>
          <w:sz w:val="24"/>
        </w:rPr>
        <w:t xml:space="preserve">, </w:t>
      </w:r>
      <w:r w:rsidR="00ED14FD" w:rsidRPr="00DD513C">
        <w:rPr>
          <w:color w:val="000000"/>
          <w:sz w:val="24"/>
        </w:rPr>
        <w:t xml:space="preserve">on legal </w:t>
      </w:r>
      <w:r w:rsidR="007A51D2" w:rsidRPr="00DD513C">
        <w:rPr>
          <w:color w:val="000000"/>
          <w:sz w:val="24"/>
        </w:rPr>
        <w:t>basis</w:t>
      </w:r>
      <w:r w:rsidRPr="00DD513C">
        <w:rPr>
          <w:color w:val="000000"/>
          <w:sz w:val="24"/>
        </w:rPr>
        <w:t>.</w:t>
      </w:r>
    </w:p>
    <w:p w:rsidR="005033BB" w:rsidRPr="00DD513C" w:rsidRDefault="005033BB" w:rsidP="00DD513C">
      <w:pPr>
        <w:spacing w:line="240" w:lineRule="auto"/>
        <w:ind w:left="630"/>
        <w:rPr>
          <w:color w:val="000000"/>
          <w:sz w:val="24"/>
        </w:rPr>
      </w:pPr>
    </w:p>
    <w:p w:rsidR="002C1A8B" w:rsidRPr="00DD513C" w:rsidRDefault="005033BB" w:rsidP="00DD513C">
      <w:pPr>
        <w:numPr>
          <w:ilvl w:val="0"/>
          <w:numId w:val="4"/>
        </w:numPr>
        <w:tabs>
          <w:tab w:val="clear" w:pos="720"/>
          <w:tab w:val="num" w:pos="630"/>
        </w:tabs>
        <w:spacing w:line="240" w:lineRule="auto"/>
        <w:ind w:left="630" w:hanging="630"/>
        <w:rPr>
          <w:color w:val="000000"/>
          <w:sz w:val="24"/>
        </w:rPr>
      </w:pPr>
      <w:r w:rsidRPr="00DD513C">
        <w:rPr>
          <w:color w:val="000000"/>
          <w:sz w:val="24"/>
        </w:rPr>
        <w:t xml:space="preserve">On an unspecified date, </w:t>
      </w:r>
      <w:r w:rsidR="007A51D2" w:rsidRPr="00DD513C">
        <w:rPr>
          <w:color w:val="000000"/>
          <w:sz w:val="24"/>
        </w:rPr>
        <w:t xml:space="preserve">the employee </w:t>
      </w:r>
      <w:r w:rsidR="00AA31F5" w:rsidRPr="00DD513C">
        <w:rPr>
          <w:color w:val="000000"/>
          <w:sz w:val="24"/>
        </w:rPr>
        <w:t>SH</w:t>
      </w:r>
      <w:r w:rsidR="00AA31F5" w:rsidRPr="00DD513C">
        <w:rPr>
          <w:color w:val="000000"/>
          <w:sz w:val="24"/>
          <w:lang w:val="sr-Cyrl-CS"/>
        </w:rPr>
        <w:t xml:space="preserve">. </w:t>
      </w:r>
      <w:r w:rsidR="00AA31F5" w:rsidRPr="00DD513C">
        <w:rPr>
          <w:color w:val="000000"/>
          <w:sz w:val="24"/>
        </w:rPr>
        <w:t>G</w:t>
      </w:r>
      <w:r w:rsidRPr="00DD513C">
        <w:rPr>
          <w:color w:val="000000"/>
          <w:sz w:val="24"/>
        </w:rPr>
        <w:t>. filed an appeal</w:t>
      </w:r>
      <w:r w:rsidR="007A51D2" w:rsidRPr="00DD513C">
        <w:rPr>
          <w:color w:val="000000"/>
          <w:sz w:val="24"/>
        </w:rPr>
        <w:t xml:space="preserve"> against the judgment of the fi</w:t>
      </w:r>
      <w:r w:rsidRPr="00DD513C">
        <w:rPr>
          <w:color w:val="000000"/>
          <w:sz w:val="24"/>
        </w:rPr>
        <w:t>rst instance court.</w:t>
      </w:r>
    </w:p>
    <w:p w:rsidR="002C1A8B" w:rsidRPr="00DD513C" w:rsidRDefault="002C1A8B" w:rsidP="00DD513C">
      <w:pPr>
        <w:spacing w:line="240" w:lineRule="auto"/>
        <w:ind w:left="630"/>
        <w:rPr>
          <w:color w:val="000000"/>
          <w:sz w:val="24"/>
        </w:rPr>
      </w:pPr>
    </w:p>
    <w:p w:rsidR="009C53F9" w:rsidRPr="00DD513C" w:rsidRDefault="002C1A8B" w:rsidP="00DD513C">
      <w:pPr>
        <w:numPr>
          <w:ilvl w:val="0"/>
          <w:numId w:val="4"/>
        </w:numPr>
        <w:tabs>
          <w:tab w:val="clear" w:pos="720"/>
          <w:tab w:val="num" w:pos="630"/>
        </w:tabs>
        <w:spacing w:line="240" w:lineRule="auto"/>
        <w:ind w:left="630" w:hanging="630"/>
        <w:rPr>
          <w:sz w:val="24"/>
        </w:rPr>
      </w:pPr>
      <w:r w:rsidRPr="00DD513C">
        <w:rPr>
          <w:color w:val="000000"/>
          <w:sz w:val="24"/>
        </w:rPr>
        <w:t xml:space="preserve">On </w:t>
      </w:r>
      <w:r w:rsidR="007A51D2" w:rsidRPr="00DD513C">
        <w:rPr>
          <w:color w:val="000000"/>
          <w:sz w:val="24"/>
        </w:rPr>
        <w:t>5 April</w:t>
      </w:r>
      <w:r w:rsidRPr="00DD513C">
        <w:rPr>
          <w:color w:val="000000"/>
          <w:sz w:val="24"/>
        </w:rPr>
        <w:t xml:space="preserve"> 2018, the Court </w:t>
      </w:r>
      <w:r w:rsidR="00161DC4" w:rsidRPr="00DD513C">
        <w:rPr>
          <w:color w:val="000000"/>
          <w:sz w:val="24"/>
        </w:rPr>
        <w:t>of Appeals by Judgmen</w:t>
      </w:r>
      <w:r w:rsidR="007A51D2" w:rsidRPr="00DD513C">
        <w:rPr>
          <w:color w:val="000000"/>
          <w:sz w:val="24"/>
        </w:rPr>
        <w:t xml:space="preserve">t </w:t>
      </w:r>
      <w:r w:rsidR="007A51D2" w:rsidRPr="00DD513C">
        <w:rPr>
          <w:color w:val="000000"/>
          <w:sz w:val="24"/>
          <w:lang w:val="sq-AL"/>
        </w:rPr>
        <w:t xml:space="preserve">Ac. No. </w:t>
      </w:r>
      <w:r w:rsidR="00AA31F5" w:rsidRPr="00DD513C">
        <w:rPr>
          <w:color w:val="000000"/>
          <w:sz w:val="24"/>
          <w:lang w:val="sq-AL"/>
        </w:rPr>
        <w:t>3632</w:t>
      </w:r>
      <w:r w:rsidR="007A51D2" w:rsidRPr="00DD513C">
        <w:rPr>
          <w:color w:val="000000"/>
          <w:sz w:val="24"/>
          <w:lang w:val="sq-AL"/>
        </w:rPr>
        <w:t xml:space="preserve">/2015 </w:t>
      </w:r>
      <w:r w:rsidRPr="00DD513C">
        <w:rPr>
          <w:color w:val="000000"/>
          <w:sz w:val="24"/>
        </w:rPr>
        <w:t xml:space="preserve">rejected </w:t>
      </w:r>
      <w:r w:rsidR="009168AF" w:rsidRPr="00DD513C">
        <w:rPr>
          <w:color w:val="000000"/>
          <w:sz w:val="24"/>
        </w:rPr>
        <w:t xml:space="preserve"> </w:t>
      </w:r>
      <w:r w:rsidRPr="00DD513C">
        <w:rPr>
          <w:color w:val="000000"/>
          <w:sz w:val="24"/>
        </w:rPr>
        <w:t>the Applicant</w:t>
      </w:r>
      <w:r w:rsidR="00161DC4" w:rsidRPr="00DD513C">
        <w:rPr>
          <w:color w:val="000000"/>
          <w:sz w:val="24"/>
        </w:rPr>
        <w:t>’</w:t>
      </w:r>
      <w:r w:rsidRPr="00DD513C">
        <w:rPr>
          <w:color w:val="000000"/>
          <w:sz w:val="24"/>
        </w:rPr>
        <w:t>s appeal as un</w:t>
      </w:r>
      <w:r w:rsidR="00161DC4" w:rsidRPr="00DD513C">
        <w:rPr>
          <w:color w:val="000000"/>
          <w:sz w:val="24"/>
        </w:rPr>
        <w:t>gr</w:t>
      </w:r>
      <w:r w:rsidRPr="00DD513C">
        <w:rPr>
          <w:color w:val="000000"/>
          <w:sz w:val="24"/>
        </w:rPr>
        <w:t xml:space="preserve">ounded and </w:t>
      </w:r>
      <w:r w:rsidR="00161DC4" w:rsidRPr="00DD513C">
        <w:rPr>
          <w:color w:val="000000"/>
          <w:sz w:val="24"/>
        </w:rPr>
        <w:t>upheld</w:t>
      </w:r>
      <w:r w:rsidRPr="00DD513C">
        <w:rPr>
          <w:color w:val="000000"/>
          <w:sz w:val="24"/>
        </w:rPr>
        <w:t xml:space="preserve"> the Judgment </w:t>
      </w:r>
      <w:r w:rsidR="007A51D2" w:rsidRPr="00DD513C">
        <w:rPr>
          <w:color w:val="000000"/>
          <w:sz w:val="24"/>
        </w:rPr>
        <w:t>of the first instance court</w:t>
      </w:r>
      <w:r w:rsidRPr="00DD513C">
        <w:rPr>
          <w:color w:val="000000"/>
          <w:sz w:val="24"/>
        </w:rPr>
        <w:t xml:space="preserve">, </w:t>
      </w:r>
      <w:r w:rsidR="007A51D2" w:rsidRPr="00DD513C">
        <w:rPr>
          <w:color w:val="000000"/>
          <w:sz w:val="24"/>
        </w:rPr>
        <w:t xml:space="preserve">pointing out that the appealing allegations are ungrounded because the employee has not </w:t>
      </w:r>
      <w:r w:rsidR="00AA31F5" w:rsidRPr="00DD513C">
        <w:rPr>
          <w:color w:val="000000"/>
          <w:sz w:val="24"/>
        </w:rPr>
        <w:t xml:space="preserve">completed </w:t>
      </w:r>
      <w:r w:rsidR="007A51D2" w:rsidRPr="00DD513C">
        <w:rPr>
          <w:color w:val="000000"/>
          <w:sz w:val="24"/>
        </w:rPr>
        <w:t>10 (ten) years or more work experience with the Applicant to be considered as having an indefinite employment relationship. Therefore, the Court of Appeals considered that the assessment of the first instance court is lawful and regular</w:t>
      </w:r>
      <w:r w:rsidR="00887AB4" w:rsidRPr="00DD513C">
        <w:rPr>
          <w:rFonts w:cs="Arial"/>
          <w:color w:val="000000"/>
          <w:sz w:val="24"/>
        </w:rPr>
        <w:t>.</w:t>
      </w:r>
    </w:p>
    <w:p w:rsidR="00323169" w:rsidRPr="00DD513C" w:rsidRDefault="00323169" w:rsidP="00DD513C">
      <w:pPr>
        <w:pStyle w:val="ListParagraph"/>
        <w:spacing w:line="240" w:lineRule="auto"/>
        <w:rPr>
          <w:i/>
          <w:sz w:val="24"/>
          <w:lang w:val="en-US"/>
        </w:rPr>
      </w:pPr>
    </w:p>
    <w:p w:rsidR="002C1A8B" w:rsidRPr="00DD513C" w:rsidRDefault="002C1A8B" w:rsidP="00DD513C">
      <w:pPr>
        <w:numPr>
          <w:ilvl w:val="0"/>
          <w:numId w:val="4"/>
        </w:numPr>
        <w:tabs>
          <w:tab w:val="clear" w:pos="720"/>
          <w:tab w:val="num" w:pos="630"/>
        </w:tabs>
        <w:spacing w:line="240" w:lineRule="auto"/>
        <w:ind w:left="630" w:hanging="630"/>
        <w:rPr>
          <w:rFonts w:cs="Arial"/>
          <w:color w:val="000000"/>
          <w:sz w:val="24"/>
        </w:rPr>
      </w:pPr>
      <w:r w:rsidRPr="00DD513C">
        <w:rPr>
          <w:rFonts w:cs="Arial"/>
          <w:color w:val="000000"/>
          <w:sz w:val="24"/>
        </w:rPr>
        <w:t xml:space="preserve">On </w:t>
      </w:r>
      <w:r w:rsidR="00ED14FD" w:rsidRPr="00DD513C">
        <w:rPr>
          <w:rFonts w:cs="Arial"/>
          <w:color w:val="000000"/>
          <w:sz w:val="24"/>
        </w:rPr>
        <w:t>unspecified date</w:t>
      </w:r>
      <w:r w:rsidRPr="00DD513C">
        <w:rPr>
          <w:rFonts w:cs="Arial"/>
          <w:color w:val="000000"/>
          <w:sz w:val="24"/>
        </w:rPr>
        <w:t xml:space="preserve">, the </w:t>
      </w:r>
      <w:r w:rsidR="00ED14FD" w:rsidRPr="00DD513C">
        <w:rPr>
          <w:rFonts w:cs="Arial"/>
          <w:color w:val="000000"/>
          <w:sz w:val="24"/>
        </w:rPr>
        <w:t xml:space="preserve">employee </w:t>
      </w:r>
      <w:r w:rsidR="00AA31F5" w:rsidRPr="00DD513C">
        <w:rPr>
          <w:color w:val="000000"/>
          <w:sz w:val="24"/>
          <w:lang w:val="sq-AL"/>
        </w:rPr>
        <w:t>SH</w:t>
      </w:r>
      <w:r w:rsidR="00AA31F5" w:rsidRPr="00DD513C">
        <w:rPr>
          <w:color w:val="000000"/>
          <w:sz w:val="24"/>
          <w:lang w:val="sr-Cyrl-CS"/>
        </w:rPr>
        <w:t xml:space="preserve">. </w:t>
      </w:r>
      <w:r w:rsidR="00AA31F5" w:rsidRPr="00DD513C">
        <w:rPr>
          <w:color w:val="000000"/>
          <w:sz w:val="24"/>
          <w:lang w:val="sq-AL"/>
        </w:rPr>
        <w:t>G</w:t>
      </w:r>
      <w:r w:rsidR="00ED14FD" w:rsidRPr="00DD513C">
        <w:rPr>
          <w:color w:val="000000"/>
          <w:sz w:val="24"/>
          <w:lang w:val="sq-AL"/>
        </w:rPr>
        <w:t xml:space="preserve">. </w:t>
      </w:r>
      <w:r w:rsidRPr="00DD513C">
        <w:rPr>
          <w:rFonts w:cs="Arial"/>
          <w:color w:val="000000"/>
          <w:sz w:val="24"/>
        </w:rPr>
        <w:t xml:space="preserve">submitted a request for revision </w:t>
      </w:r>
      <w:r w:rsidR="00ED14FD" w:rsidRPr="00DD513C">
        <w:rPr>
          <w:rFonts w:cs="Arial"/>
          <w:color w:val="000000"/>
          <w:sz w:val="24"/>
        </w:rPr>
        <w:t>against the judgment of the first instance and second instance courts. The employee requested in the revision that the revision of the claimant be approved as grounded and that the judgments of the lower instance courts be modified so that the statement of claim of the claimant be approved as grounded and the respondent be obliged to compensate the costs of the proceedings</w:t>
      </w:r>
      <w:r w:rsidR="00AA31F5" w:rsidRPr="00DD513C">
        <w:rPr>
          <w:rFonts w:cs="Arial"/>
          <w:color w:val="000000"/>
          <w:sz w:val="24"/>
        </w:rPr>
        <w:t>,</w:t>
      </w:r>
      <w:r w:rsidR="00ED14FD" w:rsidRPr="00DD513C">
        <w:rPr>
          <w:rFonts w:cs="Arial"/>
          <w:color w:val="000000"/>
          <w:sz w:val="24"/>
        </w:rPr>
        <w:t xml:space="preserve"> or annul the </w:t>
      </w:r>
      <w:r w:rsidR="00ED14FD" w:rsidRPr="00DD513C">
        <w:rPr>
          <w:rFonts w:cs="Arial"/>
          <w:color w:val="000000"/>
          <w:sz w:val="24"/>
        </w:rPr>
        <w:lastRenderedPageBreak/>
        <w:t xml:space="preserve">judgments of two courts and the case be </w:t>
      </w:r>
      <w:r w:rsidR="00571D9E" w:rsidRPr="00DD513C">
        <w:rPr>
          <w:rFonts w:cs="Arial"/>
          <w:color w:val="000000"/>
          <w:sz w:val="24"/>
        </w:rPr>
        <w:t>remanded</w:t>
      </w:r>
      <w:r w:rsidR="00ED14FD" w:rsidRPr="00DD513C">
        <w:rPr>
          <w:rFonts w:cs="Arial"/>
          <w:color w:val="000000"/>
          <w:sz w:val="24"/>
        </w:rPr>
        <w:t xml:space="preserve"> for retrial to the first instance</w:t>
      </w:r>
      <w:r w:rsidR="00571D9E" w:rsidRPr="00DD513C">
        <w:rPr>
          <w:rFonts w:cs="Arial"/>
          <w:color w:val="000000"/>
          <w:sz w:val="24"/>
        </w:rPr>
        <w:t xml:space="preserve"> court</w:t>
      </w:r>
      <w:r w:rsidR="00ED14FD" w:rsidRPr="00DD513C">
        <w:rPr>
          <w:rFonts w:cs="Arial"/>
          <w:color w:val="000000"/>
          <w:sz w:val="24"/>
        </w:rPr>
        <w:t>.</w:t>
      </w:r>
    </w:p>
    <w:p w:rsidR="002C1A8B" w:rsidRPr="00DD513C" w:rsidRDefault="002C1A8B" w:rsidP="00DD513C">
      <w:pPr>
        <w:spacing w:line="240" w:lineRule="auto"/>
        <w:ind w:left="630"/>
        <w:rPr>
          <w:rFonts w:cs="Arial"/>
          <w:color w:val="000000"/>
          <w:sz w:val="24"/>
        </w:rPr>
      </w:pPr>
    </w:p>
    <w:p w:rsidR="00901D16" w:rsidRPr="00DD513C" w:rsidRDefault="002C1A8B" w:rsidP="00DD513C">
      <w:pPr>
        <w:numPr>
          <w:ilvl w:val="0"/>
          <w:numId w:val="4"/>
        </w:numPr>
        <w:tabs>
          <w:tab w:val="clear" w:pos="720"/>
          <w:tab w:val="num" w:pos="630"/>
        </w:tabs>
        <w:spacing w:line="240" w:lineRule="auto"/>
        <w:ind w:left="630" w:hanging="630"/>
        <w:rPr>
          <w:color w:val="000000"/>
          <w:sz w:val="24"/>
        </w:rPr>
      </w:pPr>
      <w:r w:rsidRPr="00DD513C">
        <w:rPr>
          <w:rFonts w:cs="Arial"/>
          <w:color w:val="000000"/>
          <w:sz w:val="24"/>
        </w:rPr>
        <w:t xml:space="preserve">On </w:t>
      </w:r>
      <w:r w:rsidR="00AA31F5" w:rsidRPr="00DD513C">
        <w:rPr>
          <w:rFonts w:cs="Arial"/>
          <w:color w:val="000000"/>
          <w:sz w:val="24"/>
        </w:rPr>
        <w:t>3 September</w:t>
      </w:r>
      <w:r w:rsidRPr="00DD513C">
        <w:rPr>
          <w:rFonts w:cs="Arial"/>
          <w:color w:val="000000"/>
          <w:sz w:val="24"/>
        </w:rPr>
        <w:t xml:space="preserve"> 201</w:t>
      </w:r>
      <w:r w:rsidR="00815BF3" w:rsidRPr="00DD513C">
        <w:rPr>
          <w:rFonts w:cs="Arial"/>
          <w:color w:val="000000"/>
          <w:sz w:val="24"/>
        </w:rPr>
        <w:t>8</w:t>
      </w:r>
      <w:r w:rsidRPr="00DD513C">
        <w:rPr>
          <w:rFonts w:cs="Arial"/>
          <w:color w:val="000000"/>
          <w:sz w:val="24"/>
        </w:rPr>
        <w:t xml:space="preserve">, the Supreme Court </w:t>
      </w:r>
      <w:r w:rsidR="00161DC4" w:rsidRPr="00DD513C">
        <w:rPr>
          <w:rFonts w:cs="Arial"/>
          <w:color w:val="000000"/>
          <w:sz w:val="24"/>
        </w:rPr>
        <w:t xml:space="preserve">by Judgment Rev. No. </w:t>
      </w:r>
      <w:r w:rsidR="00571D9E" w:rsidRPr="00DD513C">
        <w:rPr>
          <w:rFonts w:cs="Arial"/>
          <w:color w:val="000000"/>
          <w:sz w:val="24"/>
        </w:rPr>
        <w:t>2</w:t>
      </w:r>
      <w:r w:rsidR="00AA31F5" w:rsidRPr="00DD513C">
        <w:rPr>
          <w:rFonts w:cs="Arial"/>
          <w:color w:val="000000"/>
          <w:sz w:val="24"/>
        </w:rPr>
        <w:t>19</w:t>
      </w:r>
      <w:r w:rsidRPr="00DD513C">
        <w:rPr>
          <w:rFonts w:cs="Arial"/>
          <w:color w:val="000000"/>
          <w:sz w:val="24"/>
        </w:rPr>
        <w:t>/2018</w:t>
      </w:r>
      <w:r w:rsidR="00571D9E" w:rsidRPr="00DD513C">
        <w:rPr>
          <w:rFonts w:cs="Arial"/>
          <w:color w:val="000000"/>
          <w:sz w:val="24"/>
        </w:rPr>
        <w:t>, approved as grounded the revision filed by the employee and modified the judgments of the Basic Court and the Court of Appeals</w:t>
      </w:r>
      <w:r w:rsidR="00FE5E5C" w:rsidRPr="00DD513C">
        <w:rPr>
          <w:sz w:val="24"/>
        </w:rPr>
        <w:t>.</w:t>
      </w:r>
    </w:p>
    <w:p w:rsidR="00571D9E" w:rsidRPr="00DD513C" w:rsidRDefault="00571D9E" w:rsidP="00DD513C">
      <w:pPr>
        <w:pStyle w:val="ListParagraph"/>
        <w:spacing w:line="240" w:lineRule="auto"/>
        <w:rPr>
          <w:color w:val="000000"/>
          <w:sz w:val="24"/>
        </w:rPr>
      </w:pPr>
    </w:p>
    <w:p w:rsidR="00571D9E" w:rsidRPr="00DD513C" w:rsidRDefault="00571D9E" w:rsidP="00DD513C">
      <w:pPr>
        <w:numPr>
          <w:ilvl w:val="0"/>
          <w:numId w:val="4"/>
        </w:numPr>
        <w:tabs>
          <w:tab w:val="clear" w:pos="720"/>
          <w:tab w:val="num" w:pos="630"/>
        </w:tabs>
        <w:spacing w:line="240" w:lineRule="auto"/>
        <w:ind w:left="630" w:hanging="630"/>
        <w:rPr>
          <w:color w:val="000000"/>
          <w:sz w:val="24"/>
        </w:rPr>
      </w:pPr>
      <w:r w:rsidRPr="00DD513C">
        <w:rPr>
          <w:color w:val="000000"/>
          <w:sz w:val="24"/>
        </w:rPr>
        <w:t>The Supreme Court by Judgment Rev. No. 2</w:t>
      </w:r>
      <w:r w:rsidR="00AA31F5" w:rsidRPr="00DD513C">
        <w:rPr>
          <w:color w:val="000000"/>
          <w:sz w:val="24"/>
        </w:rPr>
        <w:t>19</w:t>
      </w:r>
      <w:r w:rsidRPr="00DD513C">
        <w:rPr>
          <w:color w:val="000000"/>
          <w:sz w:val="24"/>
        </w:rPr>
        <w:t xml:space="preserve">/2018 (i) approved the revision of the employee as grounded, (ii) annulled the Applicant's notification of 3 March 2014, as well as the Applicant's reply of </w:t>
      </w:r>
      <w:r w:rsidR="00AA31F5" w:rsidRPr="00DD513C">
        <w:rPr>
          <w:color w:val="000000"/>
          <w:sz w:val="24"/>
        </w:rPr>
        <w:t>20 March</w:t>
      </w:r>
      <w:r w:rsidRPr="00DD513C">
        <w:rPr>
          <w:color w:val="000000"/>
          <w:sz w:val="24"/>
        </w:rPr>
        <w:t xml:space="preserve"> 2014 on the non-extension of the employment contract, (iii) obliged the Applicant to reinstate the employee to the </w:t>
      </w:r>
      <w:r w:rsidR="00AA31F5" w:rsidRPr="00DD513C">
        <w:rPr>
          <w:color w:val="000000"/>
          <w:sz w:val="24"/>
        </w:rPr>
        <w:t>previous</w:t>
      </w:r>
      <w:r w:rsidRPr="00DD513C">
        <w:rPr>
          <w:color w:val="000000"/>
          <w:sz w:val="24"/>
        </w:rPr>
        <w:t xml:space="preserve"> working place, (iv) obliged the Applicant to pay a certain amount to the employee on behalf of the material damage, and (v) obliged the Applicant to cover the costs of the contested procedure.</w:t>
      </w:r>
    </w:p>
    <w:p w:rsidR="00571D9E" w:rsidRPr="00DD513C" w:rsidRDefault="00571D9E" w:rsidP="00DD513C">
      <w:pPr>
        <w:spacing w:line="240" w:lineRule="auto"/>
        <w:ind w:left="630"/>
        <w:rPr>
          <w:color w:val="000000"/>
          <w:sz w:val="24"/>
        </w:rPr>
      </w:pPr>
    </w:p>
    <w:p w:rsidR="00571D9E" w:rsidRPr="00DD513C" w:rsidRDefault="00571D9E" w:rsidP="00DD513C">
      <w:pPr>
        <w:numPr>
          <w:ilvl w:val="0"/>
          <w:numId w:val="4"/>
        </w:numPr>
        <w:tabs>
          <w:tab w:val="clear" w:pos="720"/>
          <w:tab w:val="num" w:pos="630"/>
        </w:tabs>
        <w:spacing w:line="240" w:lineRule="auto"/>
        <w:ind w:left="630" w:hanging="630"/>
        <w:rPr>
          <w:color w:val="000000"/>
          <w:sz w:val="24"/>
        </w:rPr>
      </w:pPr>
      <w:r w:rsidRPr="00DD513C">
        <w:rPr>
          <w:color w:val="000000"/>
          <w:sz w:val="24"/>
        </w:rPr>
        <w:t xml:space="preserve">The Supreme Court further reasoned that </w:t>
      </w:r>
      <w:r w:rsidRPr="00DD513C">
        <w:rPr>
          <w:i/>
          <w:iCs/>
          <w:color w:val="000000"/>
          <w:sz w:val="24"/>
        </w:rPr>
        <w:t xml:space="preserve">“[the Applicant] failed to prove all </w:t>
      </w:r>
      <w:r w:rsidR="00BA36BA" w:rsidRPr="00DD513C">
        <w:rPr>
          <w:i/>
          <w:iCs/>
          <w:color w:val="000000"/>
          <w:sz w:val="24"/>
        </w:rPr>
        <w:t>its</w:t>
      </w:r>
      <w:r w:rsidRPr="00DD513C">
        <w:rPr>
          <w:i/>
          <w:iCs/>
          <w:color w:val="000000"/>
          <w:sz w:val="24"/>
        </w:rPr>
        <w:t xml:space="preserve"> allegations regarding the legality of the non-extension of [the employee's] employment contract as well as the confirmation of the relevant facts if [the Applicant] has compiled a detailed operational plan in which it would be determined which services could be reduced and what involvement would have been reduced in order to establish the fact that the evidence presented constitutes a valid legal basis for non-</w:t>
      </w:r>
      <w:r w:rsidR="00BA36BA" w:rsidRPr="00DD513C">
        <w:rPr>
          <w:i/>
          <w:iCs/>
          <w:color w:val="000000"/>
          <w:sz w:val="24"/>
        </w:rPr>
        <w:t>renewal</w:t>
      </w:r>
      <w:r w:rsidRPr="00DD513C">
        <w:rPr>
          <w:i/>
          <w:iCs/>
          <w:color w:val="000000"/>
          <w:sz w:val="24"/>
        </w:rPr>
        <w:t xml:space="preserve"> of the employment contract [...],therefore,  [the Applicant]'s failure in this regard for the non-extension of the employment contract </w:t>
      </w:r>
      <w:r w:rsidR="00BA36BA" w:rsidRPr="00DD513C">
        <w:rPr>
          <w:i/>
          <w:iCs/>
          <w:color w:val="000000"/>
          <w:sz w:val="24"/>
        </w:rPr>
        <w:t>renders</w:t>
      </w:r>
      <w:r w:rsidRPr="00DD513C">
        <w:rPr>
          <w:i/>
          <w:iCs/>
          <w:color w:val="000000"/>
          <w:sz w:val="24"/>
        </w:rPr>
        <w:t xml:space="preserve"> it unlawful</w:t>
      </w:r>
      <w:r w:rsidRPr="00DD513C">
        <w:rPr>
          <w:color w:val="000000"/>
          <w:sz w:val="24"/>
        </w:rPr>
        <w:t>”.</w:t>
      </w:r>
    </w:p>
    <w:p w:rsidR="00571D9E" w:rsidRPr="00DD513C" w:rsidRDefault="00571D9E" w:rsidP="00DD513C">
      <w:pPr>
        <w:spacing w:line="240" w:lineRule="auto"/>
        <w:ind w:left="630"/>
        <w:rPr>
          <w:color w:val="000000"/>
          <w:sz w:val="24"/>
        </w:rPr>
      </w:pPr>
    </w:p>
    <w:p w:rsidR="00571D9E" w:rsidRPr="00DD513C" w:rsidRDefault="00571D9E" w:rsidP="00DD513C">
      <w:pPr>
        <w:numPr>
          <w:ilvl w:val="0"/>
          <w:numId w:val="4"/>
        </w:numPr>
        <w:tabs>
          <w:tab w:val="clear" w:pos="720"/>
          <w:tab w:val="num" w:pos="630"/>
        </w:tabs>
        <w:spacing w:line="240" w:lineRule="auto"/>
        <w:ind w:left="630" w:hanging="630"/>
        <w:rPr>
          <w:color w:val="000000"/>
          <w:sz w:val="24"/>
        </w:rPr>
      </w:pPr>
      <w:r w:rsidRPr="00DD513C">
        <w:rPr>
          <w:color w:val="000000"/>
          <w:sz w:val="24"/>
        </w:rPr>
        <w:t xml:space="preserve">Furthermore, the Supreme Court found that the subject of the </w:t>
      </w:r>
      <w:r w:rsidR="00CB249A" w:rsidRPr="00DD513C">
        <w:rPr>
          <w:color w:val="000000"/>
          <w:sz w:val="24"/>
        </w:rPr>
        <w:t xml:space="preserve">statement of </w:t>
      </w:r>
      <w:r w:rsidRPr="00DD513C">
        <w:rPr>
          <w:color w:val="000000"/>
          <w:sz w:val="24"/>
        </w:rPr>
        <w:t xml:space="preserve">claim of the employee </w:t>
      </w:r>
      <w:r w:rsidR="00CB249A" w:rsidRPr="00DD513C">
        <w:rPr>
          <w:color w:val="000000"/>
          <w:sz w:val="24"/>
        </w:rPr>
        <w:t>“</w:t>
      </w:r>
      <w:r w:rsidRPr="00DD513C">
        <w:rPr>
          <w:i/>
          <w:iCs/>
          <w:color w:val="000000"/>
          <w:sz w:val="24"/>
        </w:rPr>
        <w:t>was the assessment of legality of the notice of non-</w:t>
      </w:r>
      <w:r w:rsidR="00CB249A" w:rsidRPr="00DD513C">
        <w:rPr>
          <w:i/>
          <w:iCs/>
          <w:color w:val="000000"/>
          <w:sz w:val="24"/>
        </w:rPr>
        <w:t>extension</w:t>
      </w:r>
      <w:r w:rsidRPr="00DD513C">
        <w:rPr>
          <w:i/>
          <w:iCs/>
          <w:color w:val="000000"/>
          <w:sz w:val="24"/>
        </w:rPr>
        <w:t xml:space="preserve"> of the employment contract and not the confirmation of existence of the </w:t>
      </w:r>
      <w:r w:rsidR="00CB249A" w:rsidRPr="00DD513C">
        <w:rPr>
          <w:i/>
          <w:iCs/>
          <w:color w:val="000000"/>
          <w:sz w:val="24"/>
        </w:rPr>
        <w:t xml:space="preserve">indefinite </w:t>
      </w:r>
      <w:r w:rsidRPr="00DD513C">
        <w:rPr>
          <w:i/>
          <w:iCs/>
          <w:color w:val="000000"/>
          <w:sz w:val="24"/>
        </w:rPr>
        <w:t xml:space="preserve">employment relationship, which notice was taken in </w:t>
      </w:r>
      <w:r w:rsidR="00CB249A" w:rsidRPr="00DD513C">
        <w:rPr>
          <w:i/>
          <w:iCs/>
          <w:color w:val="000000"/>
          <w:sz w:val="24"/>
        </w:rPr>
        <w:t>contradiction</w:t>
      </w:r>
      <w:r w:rsidRPr="00DD513C">
        <w:rPr>
          <w:i/>
          <w:iCs/>
          <w:color w:val="000000"/>
          <w:sz w:val="24"/>
        </w:rPr>
        <w:t xml:space="preserve"> with the Law on Labor </w:t>
      </w:r>
      <w:r w:rsidR="00CB249A" w:rsidRPr="00DD513C">
        <w:rPr>
          <w:color w:val="000000"/>
          <w:sz w:val="24"/>
        </w:rPr>
        <w:t>“</w:t>
      </w:r>
      <w:r w:rsidRPr="00DD513C">
        <w:rPr>
          <w:color w:val="000000"/>
          <w:sz w:val="24"/>
        </w:rPr>
        <w:t xml:space="preserve">, considering that the courts of lower instances have correctly </w:t>
      </w:r>
      <w:r w:rsidR="00CB249A" w:rsidRPr="00DD513C">
        <w:rPr>
          <w:color w:val="000000"/>
          <w:sz w:val="24"/>
        </w:rPr>
        <w:t>determined</w:t>
      </w:r>
      <w:r w:rsidRPr="00DD513C">
        <w:rPr>
          <w:color w:val="000000"/>
          <w:sz w:val="24"/>
        </w:rPr>
        <w:t xml:space="preserve"> the factual situation but have erroneously applied the substantive law.</w:t>
      </w:r>
    </w:p>
    <w:p w:rsidR="004B7CF6" w:rsidRPr="00DD513C" w:rsidRDefault="004B7CF6" w:rsidP="00DD513C">
      <w:pPr>
        <w:spacing w:line="240" w:lineRule="auto"/>
        <w:rPr>
          <w:sz w:val="24"/>
        </w:rPr>
      </w:pPr>
    </w:p>
    <w:p w:rsidR="000220B2" w:rsidRPr="00DD513C" w:rsidRDefault="002C1A8B" w:rsidP="00DD513C">
      <w:pPr>
        <w:spacing w:line="240" w:lineRule="auto"/>
        <w:rPr>
          <w:b/>
          <w:sz w:val="24"/>
        </w:rPr>
      </w:pPr>
      <w:r w:rsidRPr="00DD513C">
        <w:rPr>
          <w:b/>
          <w:sz w:val="24"/>
        </w:rPr>
        <w:t>Applicant’s allegations</w:t>
      </w:r>
    </w:p>
    <w:p w:rsidR="00701960" w:rsidRPr="00DD513C" w:rsidRDefault="00701960" w:rsidP="00DD513C">
      <w:pPr>
        <w:tabs>
          <w:tab w:val="left" w:pos="540"/>
        </w:tabs>
        <w:spacing w:line="240" w:lineRule="auto"/>
        <w:ind w:left="634" w:hanging="634"/>
        <w:rPr>
          <w:b/>
          <w:sz w:val="24"/>
        </w:rPr>
      </w:pPr>
    </w:p>
    <w:p w:rsidR="00BD3C86" w:rsidRPr="00DD513C" w:rsidRDefault="00161DC4" w:rsidP="00DD513C">
      <w:pPr>
        <w:numPr>
          <w:ilvl w:val="0"/>
          <w:numId w:val="4"/>
        </w:numPr>
        <w:tabs>
          <w:tab w:val="clear" w:pos="720"/>
          <w:tab w:val="num" w:pos="630"/>
        </w:tabs>
        <w:spacing w:line="240" w:lineRule="auto"/>
        <w:ind w:left="630" w:hanging="630"/>
        <w:rPr>
          <w:color w:val="000000"/>
          <w:sz w:val="24"/>
        </w:rPr>
      </w:pPr>
      <w:r w:rsidRPr="00DD513C">
        <w:rPr>
          <w:color w:val="000000"/>
          <w:sz w:val="24"/>
        </w:rPr>
        <w:t>The Court recalls that the Applicant alleges that</w:t>
      </w:r>
      <w:r w:rsidR="00D2412F" w:rsidRPr="00DD513C">
        <w:rPr>
          <w:color w:val="000000"/>
          <w:sz w:val="24"/>
        </w:rPr>
        <w:t xml:space="preserve"> </w:t>
      </w:r>
      <w:r w:rsidR="00BD3C86" w:rsidRPr="00DD513C">
        <w:rPr>
          <w:i/>
          <w:color w:val="000000"/>
          <w:sz w:val="24"/>
        </w:rPr>
        <w:t>“</w:t>
      </w:r>
      <w:r w:rsidRPr="00DD513C">
        <w:rPr>
          <w:i/>
          <w:color w:val="000000"/>
          <w:sz w:val="24"/>
        </w:rPr>
        <w:t>The Supreme Court of Kosovo, by its Judgment Rev. No.</w:t>
      </w:r>
      <w:r w:rsidR="00517230" w:rsidRPr="00DD513C">
        <w:rPr>
          <w:i/>
          <w:color w:val="000000"/>
          <w:sz w:val="24"/>
        </w:rPr>
        <w:t xml:space="preserve"> </w:t>
      </w:r>
      <w:r w:rsidR="00CB249A" w:rsidRPr="00DD513C">
        <w:rPr>
          <w:i/>
          <w:color w:val="000000"/>
          <w:sz w:val="24"/>
        </w:rPr>
        <w:t>2</w:t>
      </w:r>
      <w:r w:rsidR="00BA36BA" w:rsidRPr="00DD513C">
        <w:rPr>
          <w:i/>
          <w:color w:val="000000"/>
          <w:sz w:val="24"/>
        </w:rPr>
        <w:t>19</w:t>
      </w:r>
      <w:r w:rsidR="00517230" w:rsidRPr="00DD513C">
        <w:rPr>
          <w:i/>
          <w:color w:val="000000"/>
          <w:sz w:val="24"/>
        </w:rPr>
        <w:t>/ 2018, […]</w:t>
      </w:r>
      <w:r w:rsidR="00D2412F" w:rsidRPr="00DD513C">
        <w:rPr>
          <w:i/>
          <w:color w:val="000000"/>
          <w:sz w:val="24"/>
        </w:rPr>
        <w:t xml:space="preserve"> </w:t>
      </w:r>
      <w:r w:rsidR="002C1A8B" w:rsidRPr="00DD513C">
        <w:rPr>
          <w:i/>
          <w:color w:val="000000"/>
          <w:sz w:val="24"/>
        </w:rPr>
        <w:t xml:space="preserve"> </w:t>
      </w:r>
      <w:r w:rsidRPr="00DD513C">
        <w:rPr>
          <w:i/>
          <w:color w:val="000000"/>
          <w:sz w:val="24"/>
        </w:rPr>
        <w:t xml:space="preserve">has violated </w:t>
      </w:r>
      <w:r w:rsidR="00BA36BA" w:rsidRPr="00DD513C">
        <w:rPr>
          <w:i/>
          <w:color w:val="000000"/>
          <w:sz w:val="24"/>
        </w:rPr>
        <w:t>its</w:t>
      </w:r>
      <w:r w:rsidRPr="00DD513C">
        <w:rPr>
          <w:i/>
          <w:color w:val="000000"/>
          <w:sz w:val="24"/>
        </w:rPr>
        <w:t xml:space="preserve"> right to fair and impartial trial, as guaranteed by Article 31 [Right to Fair and Impartial Trial], on the grounds of  unreasoned </w:t>
      </w:r>
      <w:r w:rsidR="00BA36BA" w:rsidRPr="00DD513C">
        <w:rPr>
          <w:i/>
          <w:color w:val="000000"/>
          <w:sz w:val="24"/>
        </w:rPr>
        <w:t xml:space="preserve">court </w:t>
      </w:r>
      <w:r w:rsidRPr="00DD513C">
        <w:rPr>
          <w:i/>
          <w:color w:val="000000"/>
          <w:sz w:val="24"/>
        </w:rPr>
        <w:t>decision, further claiming that “</w:t>
      </w:r>
      <w:r w:rsidR="002329FF" w:rsidRPr="00DD513C">
        <w:rPr>
          <w:i/>
          <w:color w:val="000000"/>
          <w:sz w:val="24"/>
        </w:rPr>
        <w:t>a</w:t>
      </w:r>
      <w:r w:rsidRPr="00DD513C">
        <w:rPr>
          <w:i/>
          <w:color w:val="000000"/>
          <w:sz w:val="24"/>
        </w:rPr>
        <w:t xml:space="preserve">s a result of the absence the reasoning, the challenged decision deprived the Applicant of the constitutional right to an effective legal remedy” and thereby violated </w:t>
      </w:r>
      <w:r w:rsidR="00BA36BA" w:rsidRPr="00DD513C">
        <w:rPr>
          <w:i/>
          <w:color w:val="000000"/>
          <w:sz w:val="24"/>
        </w:rPr>
        <w:t>its</w:t>
      </w:r>
      <w:r w:rsidRPr="00DD513C">
        <w:rPr>
          <w:i/>
          <w:color w:val="000000"/>
          <w:sz w:val="24"/>
        </w:rPr>
        <w:t xml:space="preserve"> constitutionally right guaranteed by Article 32</w:t>
      </w:r>
      <w:r w:rsidR="00CB249A" w:rsidRPr="00DD513C">
        <w:rPr>
          <w:i/>
          <w:color w:val="000000"/>
          <w:sz w:val="24"/>
        </w:rPr>
        <w:t>,</w:t>
      </w:r>
      <w:r w:rsidRPr="00DD513C">
        <w:rPr>
          <w:i/>
          <w:color w:val="000000"/>
          <w:sz w:val="24"/>
        </w:rPr>
        <w:t xml:space="preserve"> and as a result of these violations, the Applicant’s right of property under Article 46 [Protection of Property] of the Constitution has also been violated. The Applicant also alleges that there </w:t>
      </w:r>
      <w:r w:rsidR="00BA36BA" w:rsidRPr="00DD513C">
        <w:rPr>
          <w:i/>
          <w:color w:val="000000"/>
          <w:sz w:val="24"/>
        </w:rPr>
        <w:t>has been</w:t>
      </w:r>
      <w:r w:rsidRPr="00DD513C">
        <w:rPr>
          <w:i/>
          <w:color w:val="000000"/>
          <w:sz w:val="24"/>
        </w:rPr>
        <w:t xml:space="preserve"> a violation of Article 6 (Right to a fair trial) of the ECHR</w:t>
      </w:r>
      <w:r w:rsidR="00BD3C86" w:rsidRPr="00DD513C">
        <w:rPr>
          <w:i/>
          <w:color w:val="000000"/>
          <w:sz w:val="24"/>
        </w:rPr>
        <w:t>“</w:t>
      </w:r>
      <w:r w:rsidR="00D2412F" w:rsidRPr="00DD513C">
        <w:rPr>
          <w:i/>
          <w:color w:val="000000"/>
          <w:sz w:val="24"/>
        </w:rPr>
        <w:t xml:space="preserve">. </w:t>
      </w:r>
    </w:p>
    <w:p w:rsidR="0084322D" w:rsidRPr="00DD513C" w:rsidRDefault="0084322D" w:rsidP="00DD513C">
      <w:pPr>
        <w:tabs>
          <w:tab w:val="left" w:pos="630"/>
        </w:tabs>
        <w:spacing w:line="240" w:lineRule="auto"/>
        <w:ind w:left="634"/>
        <w:rPr>
          <w:color w:val="000000"/>
          <w:sz w:val="24"/>
        </w:rPr>
      </w:pPr>
    </w:p>
    <w:p w:rsidR="00D2412F" w:rsidRPr="00DD513C" w:rsidRDefault="002C1A8B" w:rsidP="00DD513C">
      <w:pPr>
        <w:numPr>
          <w:ilvl w:val="0"/>
          <w:numId w:val="4"/>
        </w:numPr>
        <w:tabs>
          <w:tab w:val="clear" w:pos="720"/>
          <w:tab w:val="num" w:pos="630"/>
        </w:tabs>
        <w:spacing w:line="240" w:lineRule="auto"/>
        <w:ind w:left="630" w:hanging="630"/>
        <w:rPr>
          <w:color w:val="000000"/>
          <w:sz w:val="24"/>
        </w:rPr>
      </w:pPr>
      <w:r w:rsidRPr="00DD513C">
        <w:rPr>
          <w:color w:val="000000"/>
          <w:sz w:val="24"/>
        </w:rPr>
        <w:t xml:space="preserve">The Applicant </w:t>
      </w:r>
      <w:r w:rsidR="00161DC4" w:rsidRPr="00DD513C">
        <w:rPr>
          <w:color w:val="000000"/>
          <w:sz w:val="24"/>
        </w:rPr>
        <w:t>in substance</w:t>
      </w:r>
      <w:r w:rsidRPr="00DD513C">
        <w:rPr>
          <w:color w:val="000000"/>
          <w:sz w:val="24"/>
        </w:rPr>
        <w:t xml:space="preserve"> justifies his </w:t>
      </w:r>
      <w:r w:rsidR="00161DC4" w:rsidRPr="00DD513C">
        <w:rPr>
          <w:color w:val="000000"/>
          <w:sz w:val="24"/>
        </w:rPr>
        <w:t>referral</w:t>
      </w:r>
      <w:r w:rsidRPr="00DD513C">
        <w:rPr>
          <w:color w:val="000000"/>
          <w:sz w:val="24"/>
        </w:rPr>
        <w:t xml:space="preserve"> by stating that</w:t>
      </w:r>
      <w:r w:rsidR="00D2412F" w:rsidRPr="00DD513C">
        <w:rPr>
          <w:color w:val="000000"/>
          <w:sz w:val="24"/>
        </w:rPr>
        <w:t xml:space="preserve">: </w:t>
      </w:r>
    </w:p>
    <w:p w:rsidR="00A0070F" w:rsidRPr="00DD513C" w:rsidRDefault="00A0070F" w:rsidP="00DD513C">
      <w:pPr>
        <w:tabs>
          <w:tab w:val="left" w:pos="630"/>
        </w:tabs>
        <w:spacing w:line="240" w:lineRule="auto"/>
        <w:ind w:left="634"/>
        <w:rPr>
          <w:color w:val="000000"/>
          <w:sz w:val="24"/>
        </w:rPr>
      </w:pPr>
    </w:p>
    <w:p w:rsidR="00456F25" w:rsidRPr="00DD513C" w:rsidRDefault="00445821" w:rsidP="00DD513C">
      <w:pPr>
        <w:numPr>
          <w:ilvl w:val="0"/>
          <w:numId w:val="33"/>
        </w:numPr>
        <w:tabs>
          <w:tab w:val="left" w:pos="630"/>
          <w:tab w:val="num" w:pos="810"/>
        </w:tabs>
        <w:spacing w:line="240" w:lineRule="auto"/>
        <w:rPr>
          <w:sz w:val="24"/>
        </w:rPr>
      </w:pPr>
      <w:r w:rsidRPr="00DD513C">
        <w:rPr>
          <w:sz w:val="24"/>
        </w:rPr>
        <w:t xml:space="preserve">That the Supreme Court </w:t>
      </w:r>
      <w:r w:rsidR="0002656A" w:rsidRPr="00DD513C">
        <w:rPr>
          <w:sz w:val="24"/>
        </w:rPr>
        <w:t>exceeded</w:t>
      </w:r>
      <w:r w:rsidRPr="00DD513C">
        <w:rPr>
          <w:sz w:val="24"/>
        </w:rPr>
        <w:t xml:space="preserve"> the request for revision when interpreting Article 5, paragraph 1 of the Law on Labor</w:t>
      </w:r>
      <w:r w:rsidR="002329FF" w:rsidRPr="00DD513C">
        <w:rPr>
          <w:sz w:val="24"/>
        </w:rPr>
        <w:t>.</w:t>
      </w:r>
    </w:p>
    <w:p w:rsidR="00456F25" w:rsidRPr="00DD513C" w:rsidRDefault="00445821" w:rsidP="00DD513C">
      <w:pPr>
        <w:numPr>
          <w:ilvl w:val="0"/>
          <w:numId w:val="33"/>
        </w:numPr>
        <w:tabs>
          <w:tab w:val="left" w:pos="630"/>
          <w:tab w:val="num" w:pos="810"/>
        </w:tabs>
        <w:spacing w:line="240" w:lineRule="auto"/>
        <w:rPr>
          <w:sz w:val="24"/>
        </w:rPr>
      </w:pPr>
      <w:r w:rsidRPr="00DD513C">
        <w:rPr>
          <w:sz w:val="24"/>
        </w:rPr>
        <w:lastRenderedPageBreak/>
        <w:t xml:space="preserve">That the Basic Court and the Court of Appeals have correctly applied the law </w:t>
      </w:r>
      <w:r w:rsidR="00B16F89" w:rsidRPr="00DD513C">
        <w:rPr>
          <w:sz w:val="24"/>
        </w:rPr>
        <w:t>regarding</w:t>
      </w:r>
      <w:r w:rsidRPr="00DD513C">
        <w:rPr>
          <w:sz w:val="24"/>
        </w:rPr>
        <w:t xml:space="preserve"> Article 1.1 and Article 67, paragraph 1.3, and Article 71 paragraph 2 of the Law on Labor No. 03/L-212, whereas the Supreme Court has erroneously applied the substantive law</w:t>
      </w:r>
      <w:r w:rsidR="00BA36BA" w:rsidRPr="00DD513C">
        <w:rPr>
          <w:sz w:val="24"/>
        </w:rPr>
        <w:t>,</w:t>
      </w:r>
      <w:r w:rsidRPr="00DD513C">
        <w:rPr>
          <w:sz w:val="24"/>
        </w:rPr>
        <w:t xml:space="preserve"> and the reasoning of the judgment of the Supreme Court is in contradiction with the facts</w:t>
      </w:r>
      <w:r w:rsidR="002329FF" w:rsidRPr="00DD513C">
        <w:rPr>
          <w:sz w:val="24"/>
        </w:rPr>
        <w:t>.</w:t>
      </w:r>
    </w:p>
    <w:p w:rsidR="00456F25" w:rsidRPr="00DD513C" w:rsidRDefault="00445821" w:rsidP="00DD513C">
      <w:pPr>
        <w:numPr>
          <w:ilvl w:val="0"/>
          <w:numId w:val="33"/>
        </w:numPr>
        <w:tabs>
          <w:tab w:val="left" w:pos="630"/>
          <w:tab w:val="num" w:pos="810"/>
        </w:tabs>
        <w:spacing w:line="240" w:lineRule="auto"/>
        <w:rPr>
          <w:sz w:val="24"/>
        </w:rPr>
      </w:pPr>
      <w:r w:rsidRPr="00DD513C">
        <w:rPr>
          <w:sz w:val="24"/>
        </w:rPr>
        <w:t>The Applicant further alleges that the regular courts interpreted differently the same legal norms and violated the principle of legal certainty and as evidence of various case laws</w:t>
      </w:r>
      <w:r w:rsidR="00F52BAF" w:rsidRPr="00DD513C">
        <w:rPr>
          <w:sz w:val="24"/>
        </w:rPr>
        <w:t xml:space="preserve"> regarding cases KI129/18 and KI166/</w:t>
      </w:r>
      <w:r w:rsidRPr="00DD513C">
        <w:rPr>
          <w:sz w:val="24"/>
        </w:rPr>
        <w:t xml:space="preserve">18, </w:t>
      </w:r>
      <w:r w:rsidR="0002656A" w:rsidRPr="00DD513C">
        <w:rPr>
          <w:sz w:val="24"/>
        </w:rPr>
        <w:t xml:space="preserve">attached </w:t>
      </w:r>
      <w:r w:rsidRPr="00DD513C">
        <w:rPr>
          <w:sz w:val="24"/>
        </w:rPr>
        <w:t xml:space="preserve">the </w:t>
      </w:r>
      <w:r w:rsidR="00F52BAF" w:rsidRPr="00DD513C">
        <w:rPr>
          <w:sz w:val="24"/>
        </w:rPr>
        <w:t xml:space="preserve">Judgments of the </w:t>
      </w:r>
      <w:r w:rsidRPr="00DD513C">
        <w:rPr>
          <w:sz w:val="24"/>
        </w:rPr>
        <w:t>Basic Court in Pris</w:t>
      </w:r>
      <w:r w:rsidR="00F52BAF" w:rsidRPr="00DD513C">
        <w:rPr>
          <w:sz w:val="24"/>
        </w:rPr>
        <w:t>h</w:t>
      </w:r>
      <w:r w:rsidRPr="00DD513C">
        <w:rPr>
          <w:sz w:val="24"/>
        </w:rPr>
        <w:t>tina (Judgment C. No. 238/2014 and Judgment C. No. 179/2018) and Judgment of the Court of Appeal</w:t>
      </w:r>
      <w:r w:rsidR="00F52BAF" w:rsidRPr="00DD513C">
        <w:rPr>
          <w:sz w:val="24"/>
        </w:rPr>
        <w:t>s</w:t>
      </w:r>
      <w:r w:rsidRPr="00DD513C">
        <w:rPr>
          <w:sz w:val="24"/>
        </w:rPr>
        <w:t xml:space="preserve"> (CA. No. 3633/2015).</w:t>
      </w:r>
    </w:p>
    <w:p w:rsidR="00D2412F" w:rsidRPr="00DD513C" w:rsidRDefault="00F52BAF" w:rsidP="00DD513C">
      <w:pPr>
        <w:numPr>
          <w:ilvl w:val="0"/>
          <w:numId w:val="33"/>
        </w:numPr>
        <w:tabs>
          <w:tab w:val="left" w:pos="630"/>
          <w:tab w:val="num" w:pos="810"/>
        </w:tabs>
        <w:spacing w:line="240" w:lineRule="auto"/>
        <w:rPr>
          <w:sz w:val="24"/>
        </w:rPr>
      </w:pPr>
      <w:r w:rsidRPr="00DD513C">
        <w:rPr>
          <w:sz w:val="24"/>
        </w:rPr>
        <w:t xml:space="preserve">That </w:t>
      </w:r>
      <w:r w:rsidR="00BA36BA" w:rsidRPr="00DD513C">
        <w:rPr>
          <w:sz w:val="24"/>
        </w:rPr>
        <w:t xml:space="preserve">the </w:t>
      </w:r>
      <w:r w:rsidRPr="00DD513C">
        <w:rPr>
          <w:sz w:val="24"/>
        </w:rPr>
        <w:t>v</w:t>
      </w:r>
      <w:r w:rsidR="00445821" w:rsidRPr="00DD513C">
        <w:rPr>
          <w:sz w:val="24"/>
        </w:rPr>
        <w:t xml:space="preserve">iolations of other articles </w:t>
      </w:r>
      <w:r w:rsidRPr="00DD513C">
        <w:rPr>
          <w:sz w:val="24"/>
        </w:rPr>
        <w:t xml:space="preserve">have </w:t>
      </w:r>
      <w:r w:rsidR="00445821" w:rsidRPr="00DD513C">
        <w:rPr>
          <w:sz w:val="24"/>
        </w:rPr>
        <w:t>resulted from a violation of Article 31 of the Constitution and Article 6 of the ECHR</w:t>
      </w:r>
      <w:r w:rsidR="00D2412F" w:rsidRPr="00DD513C">
        <w:rPr>
          <w:sz w:val="24"/>
        </w:rPr>
        <w:t xml:space="preserve">. </w:t>
      </w:r>
    </w:p>
    <w:p w:rsidR="00FC2A07" w:rsidRPr="00DD513C" w:rsidRDefault="00FC2A07" w:rsidP="00DD513C">
      <w:pPr>
        <w:pStyle w:val="ListParagraph"/>
        <w:spacing w:line="240" w:lineRule="auto"/>
        <w:rPr>
          <w:rFonts w:eastAsia="Batang" w:cs="Arial"/>
          <w:b/>
          <w:color w:val="000000"/>
          <w:sz w:val="24"/>
          <w:lang w:val="en-US"/>
        </w:rPr>
      </w:pPr>
    </w:p>
    <w:p w:rsidR="00456F25" w:rsidRPr="00DD513C" w:rsidRDefault="004D3F4E" w:rsidP="00DD513C">
      <w:pPr>
        <w:numPr>
          <w:ilvl w:val="0"/>
          <w:numId w:val="4"/>
        </w:numPr>
        <w:tabs>
          <w:tab w:val="clear" w:pos="720"/>
          <w:tab w:val="num" w:pos="630"/>
        </w:tabs>
        <w:spacing w:line="240" w:lineRule="auto"/>
        <w:ind w:left="630" w:hanging="630"/>
        <w:rPr>
          <w:color w:val="000000"/>
          <w:sz w:val="24"/>
        </w:rPr>
      </w:pPr>
      <w:r w:rsidRPr="00DD513C">
        <w:rPr>
          <w:color w:val="000000"/>
          <w:sz w:val="24"/>
        </w:rPr>
        <w:t xml:space="preserve">The Applicant </w:t>
      </w:r>
      <w:r w:rsidR="00F52BAF" w:rsidRPr="00DD513C">
        <w:rPr>
          <w:color w:val="000000"/>
          <w:sz w:val="24"/>
        </w:rPr>
        <w:t xml:space="preserve">in support of his allegations, </w:t>
      </w:r>
      <w:r w:rsidR="00BA36BA" w:rsidRPr="00DD513C">
        <w:rPr>
          <w:color w:val="000000"/>
          <w:sz w:val="24"/>
        </w:rPr>
        <w:t xml:space="preserve">also </w:t>
      </w:r>
      <w:r w:rsidR="00F52BAF" w:rsidRPr="00DD513C">
        <w:rPr>
          <w:color w:val="000000"/>
          <w:sz w:val="24"/>
        </w:rPr>
        <w:t xml:space="preserve">cites </w:t>
      </w:r>
      <w:r w:rsidRPr="00DD513C">
        <w:rPr>
          <w:color w:val="000000"/>
          <w:sz w:val="24"/>
        </w:rPr>
        <w:t>Judgment of the Constitutional Court KI138/15 and states that “</w:t>
      </w:r>
      <w:r w:rsidR="00F52BAF" w:rsidRPr="00DD513C">
        <w:rPr>
          <w:i/>
          <w:color w:val="000000"/>
          <w:sz w:val="24"/>
        </w:rPr>
        <w:t xml:space="preserve">[...] </w:t>
      </w:r>
      <w:r w:rsidRPr="00DD513C">
        <w:rPr>
          <w:i/>
          <w:iCs/>
          <w:color w:val="000000"/>
          <w:sz w:val="24"/>
        </w:rPr>
        <w:t>the application of the substantive law, which may have been a fact, has been a decisive factor in obtaining the judgment of that court, but the Supreme Court did not resolve this issue</w:t>
      </w:r>
      <w:r w:rsidR="00786327" w:rsidRPr="00DD513C">
        <w:rPr>
          <w:i/>
          <w:iCs/>
          <w:color w:val="000000"/>
          <w:sz w:val="24"/>
        </w:rPr>
        <w:t xml:space="preserve"> at all</w:t>
      </w:r>
      <w:r w:rsidRPr="00DD513C">
        <w:rPr>
          <w:i/>
          <w:iCs/>
          <w:color w:val="000000"/>
          <w:sz w:val="24"/>
        </w:rPr>
        <w:t xml:space="preserve">, </w:t>
      </w:r>
      <w:r w:rsidR="00F52BAF" w:rsidRPr="00DD513C">
        <w:rPr>
          <w:i/>
          <w:iCs/>
          <w:color w:val="000000"/>
          <w:sz w:val="24"/>
        </w:rPr>
        <w:t>based on a legal fact</w:t>
      </w:r>
      <w:r w:rsidR="00BD480A" w:rsidRPr="00DD513C">
        <w:rPr>
          <w:color w:val="000000"/>
          <w:sz w:val="24"/>
        </w:rPr>
        <w:t>”.</w:t>
      </w:r>
    </w:p>
    <w:p w:rsidR="00456F25" w:rsidRPr="00DD513C" w:rsidRDefault="00456F25" w:rsidP="00DD513C">
      <w:pPr>
        <w:spacing w:line="240" w:lineRule="auto"/>
        <w:ind w:left="630"/>
        <w:rPr>
          <w:color w:val="000000"/>
          <w:sz w:val="24"/>
        </w:rPr>
      </w:pPr>
    </w:p>
    <w:p w:rsidR="00456F25" w:rsidRPr="00DD513C" w:rsidRDefault="00456F25" w:rsidP="00DD513C">
      <w:pPr>
        <w:numPr>
          <w:ilvl w:val="0"/>
          <w:numId w:val="4"/>
        </w:numPr>
        <w:tabs>
          <w:tab w:val="clear" w:pos="720"/>
          <w:tab w:val="num" w:pos="630"/>
        </w:tabs>
        <w:spacing w:line="240" w:lineRule="auto"/>
        <w:ind w:left="630" w:hanging="630"/>
        <w:rPr>
          <w:i/>
          <w:iCs/>
          <w:color w:val="000000"/>
          <w:sz w:val="24"/>
        </w:rPr>
      </w:pPr>
      <w:r w:rsidRPr="00DD513C">
        <w:rPr>
          <w:color w:val="000000"/>
          <w:sz w:val="24"/>
        </w:rPr>
        <w:t xml:space="preserve">The Applicant </w:t>
      </w:r>
      <w:r w:rsidR="004D3F4E" w:rsidRPr="00DD513C">
        <w:rPr>
          <w:color w:val="000000"/>
          <w:sz w:val="24"/>
        </w:rPr>
        <w:t>alleges</w:t>
      </w:r>
      <w:r w:rsidRPr="00DD513C">
        <w:rPr>
          <w:color w:val="000000"/>
          <w:sz w:val="24"/>
        </w:rPr>
        <w:t xml:space="preserve"> that </w:t>
      </w:r>
      <w:r w:rsidR="00BD480A" w:rsidRPr="00DD513C">
        <w:rPr>
          <w:color w:val="000000"/>
          <w:sz w:val="24"/>
        </w:rPr>
        <w:t>“</w:t>
      </w:r>
      <w:r w:rsidRPr="00DD513C">
        <w:rPr>
          <w:i/>
          <w:iCs/>
          <w:color w:val="000000"/>
          <w:sz w:val="24"/>
        </w:rPr>
        <w:t>the Constitutional Court should assess whether the trial in its entirety was fair and impartial, as required by Article 31 of the Constitution (see, inter alia, mutatis</w:t>
      </w:r>
      <w:r w:rsidR="00BD480A" w:rsidRPr="00DD513C">
        <w:rPr>
          <w:i/>
          <w:iCs/>
          <w:color w:val="000000"/>
          <w:sz w:val="24"/>
        </w:rPr>
        <w:t xml:space="preserve"> </w:t>
      </w:r>
      <w:r w:rsidRPr="00DD513C">
        <w:rPr>
          <w:i/>
          <w:iCs/>
          <w:color w:val="000000"/>
          <w:sz w:val="24"/>
        </w:rPr>
        <w:t xml:space="preserve">mutandis, Edwards v. </w:t>
      </w:r>
      <w:r w:rsidR="00BD480A" w:rsidRPr="00DD513C">
        <w:rPr>
          <w:i/>
          <w:iCs/>
          <w:color w:val="000000"/>
          <w:sz w:val="24"/>
        </w:rPr>
        <w:t xml:space="preserve">United </w:t>
      </w:r>
      <w:r w:rsidRPr="00DD513C">
        <w:rPr>
          <w:i/>
          <w:iCs/>
          <w:color w:val="000000"/>
          <w:sz w:val="24"/>
        </w:rPr>
        <w:t>Kingdom, 16 December 1992, p. 34, Series A, No. 247 and B. Vidal v. Belgium, 22 April 1992, p. 33, Series A</w:t>
      </w:r>
      <w:r w:rsidR="001A0D3A" w:rsidRPr="00DD513C">
        <w:rPr>
          <w:i/>
          <w:iCs/>
          <w:color w:val="000000"/>
          <w:sz w:val="24"/>
        </w:rPr>
        <w:t>.</w:t>
      </w:r>
      <w:r w:rsidRPr="00DD513C">
        <w:rPr>
          <w:i/>
          <w:iCs/>
          <w:color w:val="000000"/>
          <w:sz w:val="24"/>
        </w:rPr>
        <w:t xml:space="preserve"> No. 235).</w:t>
      </w:r>
    </w:p>
    <w:p w:rsidR="00456F25" w:rsidRPr="00DD513C" w:rsidRDefault="00456F25" w:rsidP="00DD513C">
      <w:pPr>
        <w:spacing w:line="240" w:lineRule="auto"/>
        <w:ind w:left="630"/>
        <w:rPr>
          <w:color w:val="000000"/>
          <w:sz w:val="24"/>
        </w:rPr>
      </w:pPr>
    </w:p>
    <w:p w:rsidR="002A0F4C" w:rsidRPr="00DD513C" w:rsidRDefault="00456F25" w:rsidP="00DD513C">
      <w:pPr>
        <w:numPr>
          <w:ilvl w:val="0"/>
          <w:numId w:val="4"/>
        </w:numPr>
        <w:tabs>
          <w:tab w:val="clear" w:pos="720"/>
          <w:tab w:val="num" w:pos="630"/>
        </w:tabs>
        <w:spacing w:line="240" w:lineRule="auto"/>
        <w:ind w:left="630" w:hanging="630"/>
        <w:rPr>
          <w:color w:val="000000"/>
          <w:sz w:val="24"/>
        </w:rPr>
      </w:pPr>
      <w:r w:rsidRPr="00DD513C">
        <w:rPr>
          <w:color w:val="000000"/>
          <w:sz w:val="24"/>
        </w:rPr>
        <w:t xml:space="preserve">The Applicant requests the Court to annul the Judgment of the Supreme Court and to </w:t>
      </w:r>
      <w:r w:rsidR="00BD480A" w:rsidRPr="00DD513C">
        <w:rPr>
          <w:color w:val="000000"/>
          <w:sz w:val="24"/>
        </w:rPr>
        <w:t>remand</w:t>
      </w:r>
      <w:r w:rsidRPr="00DD513C">
        <w:rPr>
          <w:color w:val="000000"/>
          <w:sz w:val="24"/>
        </w:rPr>
        <w:t xml:space="preserve"> the case </w:t>
      </w:r>
      <w:r w:rsidR="00BD480A" w:rsidRPr="00DD513C">
        <w:rPr>
          <w:color w:val="000000"/>
          <w:sz w:val="24"/>
        </w:rPr>
        <w:t>for</w:t>
      </w:r>
      <w:r w:rsidRPr="00DD513C">
        <w:rPr>
          <w:color w:val="000000"/>
          <w:sz w:val="24"/>
        </w:rPr>
        <w:t xml:space="preserve"> retrial</w:t>
      </w:r>
      <w:r w:rsidR="002A0F4C" w:rsidRPr="00DD513C">
        <w:rPr>
          <w:color w:val="000000"/>
          <w:sz w:val="24"/>
        </w:rPr>
        <w:t xml:space="preserve">. </w:t>
      </w:r>
    </w:p>
    <w:p w:rsidR="00FC2A07" w:rsidRPr="00DD513C" w:rsidRDefault="00FC2A07" w:rsidP="00DD513C">
      <w:pPr>
        <w:spacing w:line="240" w:lineRule="auto"/>
        <w:rPr>
          <w:b/>
          <w:color w:val="000000"/>
          <w:sz w:val="24"/>
        </w:rPr>
      </w:pPr>
    </w:p>
    <w:p w:rsidR="00421C2C" w:rsidRPr="00DD513C" w:rsidRDefault="00456F25" w:rsidP="00DD513C">
      <w:pPr>
        <w:spacing w:line="240" w:lineRule="auto"/>
        <w:rPr>
          <w:b/>
          <w:sz w:val="24"/>
        </w:rPr>
      </w:pPr>
      <w:r w:rsidRPr="00DD513C">
        <w:rPr>
          <w:b/>
          <w:sz w:val="24"/>
        </w:rPr>
        <w:t xml:space="preserve">Relevant legal provisions </w:t>
      </w:r>
    </w:p>
    <w:p w:rsidR="00421C2C" w:rsidRPr="00DD513C" w:rsidRDefault="00421C2C" w:rsidP="00DD513C">
      <w:pPr>
        <w:spacing w:line="240" w:lineRule="auto"/>
        <w:rPr>
          <w:b/>
          <w:sz w:val="24"/>
        </w:rPr>
      </w:pPr>
    </w:p>
    <w:p w:rsidR="002A0F4C" w:rsidRPr="00DD513C" w:rsidRDefault="00456F25" w:rsidP="00DD513C">
      <w:pPr>
        <w:spacing w:line="240" w:lineRule="auto"/>
        <w:ind w:left="709"/>
        <w:rPr>
          <w:b/>
          <w:bCs/>
          <w:i/>
          <w:iCs/>
          <w:sz w:val="24"/>
        </w:rPr>
      </w:pPr>
      <w:r w:rsidRPr="00DD513C">
        <w:rPr>
          <w:b/>
          <w:bCs/>
          <w:i/>
          <w:iCs/>
          <w:sz w:val="24"/>
        </w:rPr>
        <w:t xml:space="preserve">Law </w:t>
      </w:r>
      <w:r w:rsidR="000C046C" w:rsidRPr="00DD513C">
        <w:rPr>
          <w:b/>
          <w:bCs/>
          <w:i/>
          <w:iCs/>
          <w:sz w:val="24"/>
        </w:rPr>
        <w:t xml:space="preserve">No. 03/L-212 </w:t>
      </w:r>
      <w:r w:rsidRPr="00DD513C">
        <w:rPr>
          <w:b/>
          <w:bCs/>
          <w:i/>
          <w:iCs/>
          <w:sz w:val="24"/>
        </w:rPr>
        <w:t xml:space="preserve">on Labor </w:t>
      </w:r>
    </w:p>
    <w:p w:rsidR="0030205B" w:rsidRPr="00DD513C" w:rsidRDefault="0030205B" w:rsidP="00DD513C">
      <w:pPr>
        <w:spacing w:line="240" w:lineRule="auto"/>
        <w:ind w:left="720"/>
        <w:jc w:val="center"/>
        <w:rPr>
          <w:b/>
          <w:i/>
          <w:iCs/>
          <w:sz w:val="24"/>
        </w:rPr>
      </w:pPr>
    </w:p>
    <w:p w:rsidR="00CB249A" w:rsidRPr="00DD513C" w:rsidRDefault="00CB249A" w:rsidP="00DD513C">
      <w:pPr>
        <w:spacing w:line="240" w:lineRule="auto"/>
        <w:ind w:left="993"/>
        <w:jc w:val="center"/>
        <w:rPr>
          <w:i/>
          <w:iCs/>
          <w:sz w:val="24"/>
        </w:rPr>
      </w:pPr>
      <w:r w:rsidRPr="00DD513C">
        <w:rPr>
          <w:i/>
          <w:iCs/>
          <w:sz w:val="24"/>
        </w:rPr>
        <w:t xml:space="preserve">Article 5 </w:t>
      </w:r>
    </w:p>
    <w:p w:rsidR="00CB249A" w:rsidRPr="00DD513C" w:rsidRDefault="00CB249A" w:rsidP="00DD513C">
      <w:pPr>
        <w:spacing w:line="240" w:lineRule="auto"/>
        <w:ind w:left="993"/>
        <w:jc w:val="center"/>
        <w:rPr>
          <w:i/>
          <w:iCs/>
          <w:color w:val="000000"/>
          <w:sz w:val="24"/>
        </w:rPr>
      </w:pPr>
      <w:r w:rsidRPr="00DD513C">
        <w:rPr>
          <w:i/>
          <w:iCs/>
          <w:sz w:val="24"/>
        </w:rPr>
        <w:t>Prohibition of all Forms of Discrimination</w:t>
      </w:r>
      <w:r w:rsidRPr="00DD513C">
        <w:rPr>
          <w:i/>
          <w:iCs/>
          <w:color w:val="000000"/>
          <w:sz w:val="24"/>
        </w:rPr>
        <w:t xml:space="preserve"> </w:t>
      </w:r>
    </w:p>
    <w:p w:rsidR="00CB249A" w:rsidRPr="00DD513C" w:rsidRDefault="00CB249A" w:rsidP="00DD513C">
      <w:pPr>
        <w:spacing w:line="240" w:lineRule="auto"/>
        <w:ind w:left="993"/>
        <w:jc w:val="center"/>
        <w:rPr>
          <w:i/>
          <w:iCs/>
          <w:color w:val="000000"/>
          <w:sz w:val="24"/>
        </w:rPr>
      </w:pPr>
    </w:p>
    <w:p w:rsidR="00CB249A" w:rsidRPr="00DD513C" w:rsidRDefault="00CB249A" w:rsidP="00DD513C">
      <w:pPr>
        <w:spacing w:line="240" w:lineRule="auto"/>
        <w:ind w:left="993"/>
        <w:rPr>
          <w:i/>
          <w:iCs/>
          <w:color w:val="000000"/>
          <w:sz w:val="24"/>
        </w:rPr>
      </w:pPr>
      <w:r w:rsidRPr="00DD513C">
        <w:rPr>
          <w:i/>
          <w:iCs/>
          <w:color w:val="000000"/>
          <w:sz w:val="24"/>
        </w:rPr>
        <w:t xml:space="preserve">5.  </w:t>
      </w:r>
      <w:r w:rsidRPr="00DD513C">
        <w:rPr>
          <w:i/>
          <w:iCs/>
          <w:sz w:val="24"/>
        </w:rPr>
        <w:t>Discrimination is prohibited in employment and occupation in respect of recruitment, training, promotion of employment, terms and conditions of employment, disciplinary measures, cancellation of the contract of employment or other matters arising out of the employment relationship and regulated by Law and other Laws into force</w:t>
      </w:r>
      <w:r w:rsidRPr="00DD513C">
        <w:rPr>
          <w:i/>
          <w:iCs/>
          <w:color w:val="000000"/>
          <w:sz w:val="24"/>
        </w:rPr>
        <w:t xml:space="preserve">. </w:t>
      </w:r>
    </w:p>
    <w:p w:rsidR="00CB249A" w:rsidRPr="00DD513C" w:rsidRDefault="00CB249A" w:rsidP="00DD513C">
      <w:pPr>
        <w:spacing w:line="240" w:lineRule="auto"/>
        <w:ind w:left="993"/>
        <w:jc w:val="center"/>
        <w:rPr>
          <w:i/>
          <w:iCs/>
          <w:color w:val="000000"/>
          <w:sz w:val="24"/>
        </w:rPr>
      </w:pPr>
      <w:r w:rsidRPr="00DD513C">
        <w:rPr>
          <w:i/>
          <w:iCs/>
          <w:color w:val="000000"/>
          <w:sz w:val="24"/>
        </w:rPr>
        <w:t>[...]</w:t>
      </w:r>
    </w:p>
    <w:p w:rsidR="00CB249A" w:rsidRPr="00DD513C" w:rsidRDefault="00CB249A" w:rsidP="00DD513C">
      <w:pPr>
        <w:spacing w:line="240" w:lineRule="auto"/>
        <w:ind w:left="993"/>
        <w:jc w:val="center"/>
        <w:rPr>
          <w:i/>
          <w:iCs/>
          <w:sz w:val="24"/>
        </w:rPr>
      </w:pPr>
    </w:p>
    <w:p w:rsidR="00456F25" w:rsidRPr="00DD513C" w:rsidRDefault="00DD513C" w:rsidP="00DD513C">
      <w:pPr>
        <w:spacing w:line="240" w:lineRule="auto"/>
        <w:ind w:left="993"/>
        <w:jc w:val="center"/>
        <w:rPr>
          <w:i/>
          <w:iCs/>
          <w:sz w:val="24"/>
        </w:rPr>
      </w:pPr>
      <w:r>
        <w:rPr>
          <w:i/>
          <w:iCs/>
          <w:sz w:val="24"/>
        </w:rPr>
        <w:br w:type="page"/>
      </w:r>
      <w:r w:rsidR="00456F25" w:rsidRPr="00DD513C">
        <w:rPr>
          <w:i/>
          <w:iCs/>
          <w:sz w:val="24"/>
        </w:rPr>
        <w:lastRenderedPageBreak/>
        <w:t xml:space="preserve">Article 10 </w:t>
      </w:r>
    </w:p>
    <w:p w:rsidR="0030205B" w:rsidRPr="00DD513C" w:rsidRDefault="00456F25" w:rsidP="00DD513C">
      <w:pPr>
        <w:spacing w:line="240" w:lineRule="auto"/>
        <w:ind w:left="993"/>
        <w:jc w:val="center"/>
        <w:rPr>
          <w:i/>
          <w:iCs/>
          <w:color w:val="000000"/>
          <w:sz w:val="24"/>
        </w:rPr>
      </w:pPr>
      <w:r w:rsidRPr="00DD513C">
        <w:rPr>
          <w:i/>
          <w:iCs/>
          <w:sz w:val="24"/>
        </w:rPr>
        <w:t>Employment Contract</w:t>
      </w:r>
    </w:p>
    <w:p w:rsidR="0030205B" w:rsidRPr="00DD513C" w:rsidRDefault="0030205B" w:rsidP="00DD513C">
      <w:pPr>
        <w:spacing w:line="240" w:lineRule="auto"/>
        <w:ind w:left="993"/>
        <w:rPr>
          <w:i/>
          <w:iCs/>
          <w:color w:val="000000"/>
          <w:sz w:val="24"/>
        </w:rPr>
      </w:pPr>
      <w:r w:rsidRPr="00DD513C">
        <w:rPr>
          <w:i/>
          <w:iCs/>
          <w:color w:val="000000"/>
          <w:sz w:val="24"/>
        </w:rPr>
        <w:t>[...]</w:t>
      </w:r>
    </w:p>
    <w:p w:rsidR="0030205B" w:rsidRPr="00DD513C" w:rsidRDefault="0030205B" w:rsidP="00DD513C">
      <w:pPr>
        <w:spacing w:line="240" w:lineRule="auto"/>
        <w:ind w:left="993"/>
        <w:rPr>
          <w:i/>
          <w:iCs/>
          <w:color w:val="000000"/>
          <w:sz w:val="24"/>
        </w:rPr>
      </w:pPr>
      <w:r w:rsidRPr="00DD513C">
        <w:rPr>
          <w:i/>
          <w:iCs/>
          <w:color w:val="000000"/>
          <w:sz w:val="24"/>
        </w:rPr>
        <w:t xml:space="preserve">5.  </w:t>
      </w:r>
      <w:r w:rsidR="00456F25" w:rsidRPr="00DD513C">
        <w:rPr>
          <w:i/>
          <w:iCs/>
          <w:sz w:val="24"/>
        </w:rPr>
        <w:t>A contract for a fixed period of time that is expressly or tacitly renewed for a continued period of employment of more than ten (10) years shall be deemed to be a contract for an indefinite period of time</w:t>
      </w:r>
      <w:r w:rsidRPr="00DD513C">
        <w:rPr>
          <w:i/>
          <w:iCs/>
          <w:color w:val="000000"/>
          <w:sz w:val="24"/>
        </w:rPr>
        <w:t>.</w:t>
      </w:r>
    </w:p>
    <w:p w:rsidR="0030205B" w:rsidRPr="00DD513C" w:rsidRDefault="0030205B" w:rsidP="00DD513C">
      <w:pPr>
        <w:spacing w:line="240" w:lineRule="auto"/>
        <w:ind w:left="993"/>
        <w:jc w:val="center"/>
        <w:rPr>
          <w:b/>
          <w:sz w:val="24"/>
        </w:rPr>
      </w:pPr>
    </w:p>
    <w:p w:rsidR="002A0F4C" w:rsidRPr="00DD513C" w:rsidRDefault="00456F25" w:rsidP="00DD513C">
      <w:pPr>
        <w:spacing w:line="240" w:lineRule="auto"/>
        <w:ind w:left="993"/>
        <w:jc w:val="center"/>
        <w:rPr>
          <w:i/>
          <w:sz w:val="24"/>
        </w:rPr>
      </w:pPr>
      <w:r w:rsidRPr="00DD513C">
        <w:rPr>
          <w:i/>
          <w:sz w:val="24"/>
        </w:rPr>
        <w:t>Article</w:t>
      </w:r>
      <w:r w:rsidR="002A0F4C" w:rsidRPr="00DD513C">
        <w:rPr>
          <w:i/>
          <w:sz w:val="24"/>
        </w:rPr>
        <w:t xml:space="preserve"> 67</w:t>
      </w:r>
    </w:p>
    <w:p w:rsidR="002A0F4C" w:rsidRDefault="002A0F4C" w:rsidP="00DD513C">
      <w:pPr>
        <w:spacing w:line="240" w:lineRule="auto"/>
        <w:ind w:left="993"/>
        <w:jc w:val="center"/>
        <w:rPr>
          <w:i/>
          <w:sz w:val="24"/>
        </w:rPr>
      </w:pPr>
      <w:r w:rsidRPr="00DD513C">
        <w:rPr>
          <w:i/>
          <w:sz w:val="24"/>
        </w:rPr>
        <w:t>[</w:t>
      </w:r>
      <w:r w:rsidR="00456F25" w:rsidRPr="00DD513C">
        <w:rPr>
          <w:i/>
          <w:sz w:val="24"/>
        </w:rPr>
        <w:t>Termination of Employment Contract on Legal Basis</w:t>
      </w:r>
      <w:r w:rsidRPr="00DD513C">
        <w:rPr>
          <w:i/>
          <w:sz w:val="24"/>
        </w:rPr>
        <w:t>]</w:t>
      </w:r>
    </w:p>
    <w:p w:rsidR="00DD513C" w:rsidRPr="00DD513C" w:rsidRDefault="00DD513C" w:rsidP="00DD513C">
      <w:pPr>
        <w:spacing w:line="240" w:lineRule="auto"/>
        <w:ind w:left="993"/>
        <w:jc w:val="center"/>
        <w:rPr>
          <w:i/>
          <w:sz w:val="24"/>
        </w:rPr>
      </w:pPr>
    </w:p>
    <w:p w:rsidR="002A0F4C" w:rsidRPr="00DD513C" w:rsidRDefault="002A0F4C" w:rsidP="00DD513C">
      <w:pPr>
        <w:spacing w:line="240" w:lineRule="auto"/>
        <w:ind w:left="993"/>
        <w:rPr>
          <w:i/>
          <w:sz w:val="24"/>
        </w:rPr>
      </w:pPr>
      <w:r w:rsidRPr="00DD513C">
        <w:rPr>
          <w:i/>
          <w:sz w:val="24"/>
        </w:rPr>
        <w:t xml:space="preserve">1. </w:t>
      </w:r>
      <w:r w:rsidR="00456F25" w:rsidRPr="00DD513C">
        <w:rPr>
          <w:i/>
          <w:sz w:val="24"/>
        </w:rPr>
        <w:t>Employment contract, on legal basis, may be terminated, as follows</w:t>
      </w:r>
      <w:r w:rsidRPr="00DD513C">
        <w:rPr>
          <w:i/>
          <w:sz w:val="24"/>
        </w:rPr>
        <w:t>:</w:t>
      </w:r>
    </w:p>
    <w:p w:rsidR="002A0F4C" w:rsidRPr="00DD513C" w:rsidRDefault="0038395E" w:rsidP="00DD513C">
      <w:pPr>
        <w:spacing w:line="240" w:lineRule="auto"/>
        <w:ind w:left="993"/>
        <w:rPr>
          <w:i/>
          <w:sz w:val="24"/>
        </w:rPr>
      </w:pPr>
      <w:r>
        <w:rPr>
          <w:i/>
          <w:sz w:val="24"/>
        </w:rPr>
        <w:t xml:space="preserve">  </w:t>
      </w:r>
      <w:r w:rsidR="002A0F4C" w:rsidRPr="00DD513C">
        <w:rPr>
          <w:i/>
          <w:sz w:val="24"/>
        </w:rPr>
        <w:t>[...]</w:t>
      </w:r>
    </w:p>
    <w:p w:rsidR="002A0F4C" w:rsidRPr="00DD513C" w:rsidRDefault="0038395E" w:rsidP="00DD513C">
      <w:pPr>
        <w:spacing w:line="240" w:lineRule="auto"/>
        <w:ind w:left="993"/>
        <w:rPr>
          <w:i/>
          <w:sz w:val="24"/>
        </w:rPr>
      </w:pPr>
      <w:r>
        <w:rPr>
          <w:i/>
          <w:sz w:val="24"/>
        </w:rPr>
        <w:t xml:space="preserve">  </w:t>
      </w:r>
      <w:r w:rsidR="002A0F4C" w:rsidRPr="00DD513C">
        <w:rPr>
          <w:i/>
          <w:sz w:val="24"/>
        </w:rPr>
        <w:t xml:space="preserve">1.3. </w:t>
      </w:r>
      <w:r w:rsidR="00456F25" w:rsidRPr="00DD513C">
        <w:rPr>
          <w:i/>
          <w:sz w:val="24"/>
        </w:rPr>
        <w:t>With the expiry of duration of contract</w:t>
      </w:r>
      <w:r w:rsidR="002A0F4C" w:rsidRPr="00DD513C">
        <w:rPr>
          <w:i/>
          <w:sz w:val="24"/>
        </w:rPr>
        <w:t>.</w:t>
      </w:r>
    </w:p>
    <w:p w:rsidR="002A0F4C" w:rsidRPr="00DD513C" w:rsidRDefault="002A0F4C" w:rsidP="00DD513C">
      <w:pPr>
        <w:spacing w:line="240" w:lineRule="auto"/>
        <w:ind w:left="993"/>
        <w:jc w:val="center"/>
        <w:rPr>
          <w:i/>
          <w:sz w:val="24"/>
        </w:rPr>
      </w:pPr>
    </w:p>
    <w:p w:rsidR="002A0F4C" w:rsidRPr="00DD513C" w:rsidRDefault="00456F25" w:rsidP="00DD513C">
      <w:pPr>
        <w:spacing w:line="240" w:lineRule="auto"/>
        <w:ind w:left="993"/>
        <w:jc w:val="center"/>
        <w:rPr>
          <w:i/>
          <w:iCs/>
          <w:sz w:val="24"/>
        </w:rPr>
      </w:pPr>
      <w:r w:rsidRPr="00DD513C">
        <w:rPr>
          <w:i/>
          <w:iCs/>
          <w:sz w:val="24"/>
        </w:rPr>
        <w:t xml:space="preserve">Article </w:t>
      </w:r>
      <w:r w:rsidR="002A0F4C" w:rsidRPr="00DD513C">
        <w:rPr>
          <w:i/>
          <w:iCs/>
          <w:sz w:val="24"/>
        </w:rPr>
        <w:t>70</w:t>
      </w:r>
    </w:p>
    <w:p w:rsidR="002A0F4C" w:rsidRPr="00DD513C" w:rsidRDefault="002A0F4C" w:rsidP="00DD513C">
      <w:pPr>
        <w:spacing w:line="240" w:lineRule="auto"/>
        <w:ind w:left="993"/>
        <w:jc w:val="center"/>
        <w:rPr>
          <w:i/>
          <w:iCs/>
          <w:sz w:val="24"/>
        </w:rPr>
      </w:pPr>
      <w:r w:rsidRPr="00DD513C">
        <w:rPr>
          <w:i/>
          <w:iCs/>
          <w:sz w:val="24"/>
        </w:rPr>
        <w:t>[</w:t>
      </w:r>
      <w:r w:rsidR="00456F25" w:rsidRPr="00DD513C">
        <w:rPr>
          <w:i/>
          <w:iCs/>
          <w:sz w:val="24"/>
        </w:rPr>
        <w:t>Termination of Employment Contract by the Employer</w:t>
      </w:r>
      <w:r w:rsidRPr="00DD513C">
        <w:rPr>
          <w:i/>
          <w:iCs/>
          <w:sz w:val="24"/>
        </w:rPr>
        <w:t>]</w:t>
      </w:r>
    </w:p>
    <w:p w:rsidR="002A0F4C" w:rsidRPr="00DD513C" w:rsidRDefault="002A0F4C" w:rsidP="00DD513C">
      <w:pPr>
        <w:spacing w:line="240" w:lineRule="auto"/>
        <w:ind w:left="993"/>
        <w:jc w:val="center"/>
        <w:rPr>
          <w:i/>
          <w:iCs/>
          <w:sz w:val="24"/>
        </w:rPr>
      </w:pPr>
    </w:p>
    <w:p w:rsidR="002A0F4C" w:rsidRPr="00DD513C" w:rsidRDefault="002A0F4C" w:rsidP="00DD513C">
      <w:pPr>
        <w:spacing w:line="240" w:lineRule="auto"/>
        <w:ind w:left="993"/>
        <w:rPr>
          <w:i/>
          <w:iCs/>
          <w:sz w:val="24"/>
        </w:rPr>
      </w:pPr>
      <w:r w:rsidRPr="00DD513C">
        <w:rPr>
          <w:i/>
          <w:iCs/>
          <w:sz w:val="24"/>
        </w:rPr>
        <w:t xml:space="preserve">1. </w:t>
      </w:r>
      <w:r w:rsidR="00456F25" w:rsidRPr="00DD513C">
        <w:rPr>
          <w:i/>
          <w:iCs/>
          <w:sz w:val="24"/>
        </w:rPr>
        <w:t>An employer may terminate the employment contract of an employee with the prescribed period of notice of cancellation, when</w:t>
      </w:r>
      <w:r w:rsidRPr="00DD513C">
        <w:rPr>
          <w:i/>
          <w:iCs/>
          <w:sz w:val="24"/>
        </w:rPr>
        <w:t>:</w:t>
      </w:r>
    </w:p>
    <w:p w:rsidR="002A0F4C" w:rsidRPr="00DD513C" w:rsidRDefault="002A0F4C" w:rsidP="00DD513C">
      <w:pPr>
        <w:spacing w:line="240" w:lineRule="auto"/>
        <w:ind w:left="993"/>
        <w:rPr>
          <w:i/>
          <w:iCs/>
          <w:sz w:val="24"/>
        </w:rPr>
      </w:pPr>
      <w:r w:rsidRPr="00DD513C">
        <w:rPr>
          <w:i/>
          <w:iCs/>
          <w:sz w:val="24"/>
        </w:rPr>
        <w:t xml:space="preserve">1.1. </w:t>
      </w:r>
      <w:r w:rsidR="00456F25" w:rsidRPr="00DD513C">
        <w:rPr>
          <w:i/>
          <w:iCs/>
          <w:sz w:val="24"/>
        </w:rPr>
        <w:t>Such termination is justified for economic, technical or organizational reasons</w:t>
      </w:r>
      <w:r w:rsidRPr="00DD513C">
        <w:rPr>
          <w:i/>
          <w:iCs/>
          <w:sz w:val="24"/>
        </w:rPr>
        <w:t>;</w:t>
      </w:r>
    </w:p>
    <w:p w:rsidR="002A0F4C" w:rsidRPr="00DD513C" w:rsidRDefault="002A0F4C" w:rsidP="00DD513C">
      <w:pPr>
        <w:spacing w:line="240" w:lineRule="auto"/>
        <w:ind w:left="993"/>
        <w:rPr>
          <w:i/>
          <w:iCs/>
          <w:sz w:val="24"/>
        </w:rPr>
      </w:pPr>
      <w:r w:rsidRPr="00DD513C">
        <w:rPr>
          <w:i/>
          <w:iCs/>
          <w:sz w:val="24"/>
        </w:rPr>
        <w:t xml:space="preserve">1.2. </w:t>
      </w:r>
      <w:r w:rsidR="00456F25" w:rsidRPr="00DD513C">
        <w:rPr>
          <w:i/>
          <w:iCs/>
          <w:sz w:val="24"/>
        </w:rPr>
        <w:t>The employee is no longer able to perform the job</w:t>
      </w:r>
      <w:r w:rsidRPr="00DD513C">
        <w:rPr>
          <w:i/>
          <w:iCs/>
          <w:sz w:val="24"/>
        </w:rPr>
        <w:t>;</w:t>
      </w:r>
    </w:p>
    <w:p w:rsidR="002A0F4C" w:rsidRPr="00DD513C" w:rsidRDefault="002A0F4C" w:rsidP="00DD513C">
      <w:pPr>
        <w:spacing w:line="240" w:lineRule="auto"/>
        <w:ind w:left="993"/>
        <w:rPr>
          <w:i/>
          <w:iCs/>
          <w:sz w:val="24"/>
        </w:rPr>
      </w:pPr>
      <w:r w:rsidRPr="00DD513C">
        <w:rPr>
          <w:i/>
          <w:iCs/>
          <w:sz w:val="24"/>
        </w:rPr>
        <w:t xml:space="preserve">1.3. </w:t>
      </w:r>
      <w:r w:rsidR="00CF6D46" w:rsidRPr="00DD513C">
        <w:rPr>
          <w:i/>
          <w:iCs/>
          <w:sz w:val="24"/>
        </w:rPr>
        <w:t>The employer may terminate the employment contract in the circumstances specified in sub-paragraph 1.1 and 1.2 of this paragraph, if, it is impracticable for the employer to transfer the employee to other employment or to train or qualify the employee to perform the job or other jobs</w:t>
      </w:r>
      <w:r w:rsidRPr="00DD513C">
        <w:rPr>
          <w:i/>
          <w:iCs/>
          <w:sz w:val="24"/>
        </w:rPr>
        <w:t xml:space="preserve">; </w:t>
      </w:r>
    </w:p>
    <w:p w:rsidR="002A0F4C" w:rsidRPr="00DD513C" w:rsidRDefault="002A0F4C" w:rsidP="00DD513C">
      <w:pPr>
        <w:spacing w:line="240" w:lineRule="auto"/>
        <w:ind w:left="993"/>
        <w:rPr>
          <w:i/>
          <w:iCs/>
          <w:sz w:val="24"/>
        </w:rPr>
      </w:pPr>
      <w:r w:rsidRPr="00DD513C">
        <w:rPr>
          <w:i/>
          <w:iCs/>
          <w:sz w:val="24"/>
        </w:rPr>
        <w:t xml:space="preserve">1.4. </w:t>
      </w:r>
      <w:r w:rsidR="00CF6D46" w:rsidRPr="00DD513C">
        <w:rPr>
          <w:i/>
          <w:iCs/>
          <w:sz w:val="24"/>
        </w:rPr>
        <w:t>An employer may terminate the employment contract of an employee with providing the period of notice of termination required, in</w:t>
      </w:r>
      <w:r w:rsidRPr="00DD513C">
        <w:rPr>
          <w:i/>
          <w:iCs/>
          <w:sz w:val="24"/>
        </w:rPr>
        <w:t xml:space="preserve">: </w:t>
      </w:r>
    </w:p>
    <w:p w:rsidR="002A0F4C" w:rsidRPr="00DD513C" w:rsidRDefault="002A0F4C" w:rsidP="00DD513C">
      <w:pPr>
        <w:spacing w:line="240" w:lineRule="auto"/>
        <w:ind w:left="993"/>
        <w:rPr>
          <w:i/>
          <w:iCs/>
          <w:sz w:val="24"/>
        </w:rPr>
      </w:pPr>
      <w:r w:rsidRPr="00DD513C">
        <w:rPr>
          <w:i/>
          <w:iCs/>
          <w:sz w:val="24"/>
        </w:rPr>
        <w:t xml:space="preserve">1.4.1. </w:t>
      </w:r>
      <w:r w:rsidR="00CF6D46" w:rsidRPr="00DD513C">
        <w:rPr>
          <w:i/>
          <w:iCs/>
          <w:sz w:val="24"/>
        </w:rPr>
        <w:t>serious cases of misconduct of the employee; and</w:t>
      </w:r>
    </w:p>
    <w:p w:rsidR="002A0F4C" w:rsidRPr="00DD513C" w:rsidRDefault="002A0F4C" w:rsidP="00DD513C">
      <w:pPr>
        <w:spacing w:line="240" w:lineRule="auto"/>
        <w:ind w:left="993"/>
        <w:rPr>
          <w:i/>
          <w:iCs/>
          <w:sz w:val="24"/>
        </w:rPr>
      </w:pPr>
      <w:r w:rsidRPr="00DD513C">
        <w:rPr>
          <w:sz w:val="24"/>
        </w:rPr>
        <w:t xml:space="preserve">1.4.2. </w:t>
      </w:r>
      <w:r w:rsidR="00CF6D46" w:rsidRPr="00DD513C">
        <w:rPr>
          <w:i/>
          <w:iCs/>
          <w:sz w:val="24"/>
        </w:rPr>
        <w:t>because of dissatisfactory performance of of work duties</w:t>
      </w:r>
      <w:r w:rsidRPr="00DD513C">
        <w:rPr>
          <w:i/>
          <w:iCs/>
          <w:sz w:val="24"/>
        </w:rPr>
        <w:t>;</w:t>
      </w:r>
    </w:p>
    <w:p w:rsidR="00BD480A" w:rsidRPr="00DD513C" w:rsidRDefault="002A0F4C" w:rsidP="00DD513C">
      <w:pPr>
        <w:spacing w:line="240" w:lineRule="auto"/>
        <w:ind w:left="993"/>
        <w:rPr>
          <w:i/>
          <w:iCs/>
          <w:sz w:val="24"/>
        </w:rPr>
      </w:pPr>
      <w:r w:rsidRPr="00DD513C">
        <w:rPr>
          <w:i/>
          <w:iCs/>
          <w:sz w:val="24"/>
        </w:rPr>
        <w:t xml:space="preserve">1.5. </w:t>
      </w:r>
      <w:r w:rsidR="00CF6D46" w:rsidRPr="00DD513C">
        <w:rPr>
          <w:i/>
          <w:iCs/>
          <w:sz w:val="24"/>
        </w:rPr>
        <w:t xml:space="preserve">An employer shall notify the employee about his/her dismissal immediately after the event which leads to this decision or as soon as the employer has become aware of it. </w:t>
      </w:r>
    </w:p>
    <w:p w:rsidR="002A0F4C" w:rsidRPr="00DD513C" w:rsidRDefault="00CF6D46" w:rsidP="00DD513C">
      <w:pPr>
        <w:spacing w:line="240" w:lineRule="auto"/>
        <w:ind w:left="993"/>
        <w:rPr>
          <w:i/>
          <w:iCs/>
          <w:sz w:val="24"/>
        </w:rPr>
      </w:pPr>
      <w:r w:rsidRPr="00DD513C">
        <w:rPr>
          <w:i/>
          <w:iCs/>
          <w:sz w:val="24"/>
        </w:rPr>
        <w:t>1.6. An employer may terminate the employment contract of an employee without providing the period of notice of termination required, in the case when</w:t>
      </w:r>
      <w:r w:rsidR="002A0F4C" w:rsidRPr="00DD513C">
        <w:rPr>
          <w:i/>
          <w:iCs/>
          <w:sz w:val="24"/>
        </w:rPr>
        <w:t>:</w:t>
      </w:r>
    </w:p>
    <w:p w:rsidR="002A0F4C" w:rsidRPr="00DD513C" w:rsidRDefault="002A0F4C" w:rsidP="00DD513C">
      <w:pPr>
        <w:spacing w:line="240" w:lineRule="auto"/>
        <w:ind w:left="993"/>
        <w:rPr>
          <w:i/>
          <w:iCs/>
          <w:sz w:val="24"/>
        </w:rPr>
      </w:pPr>
      <w:r w:rsidRPr="00DD513C">
        <w:rPr>
          <w:i/>
          <w:iCs/>
          <w:sz w:val="24"/>
        </w:rPr>
        <w:t xml:space="preserve">1.6.1. </w:t>
      </w:r>
      <w:r w:rsidR="00CF6D46" w:rsidRPr="00DD513C">
        <w:rPr>
          <w:i/>
          <w:iCs/>
          <w:sz w:val="24"/>
        </w:rPr>
        <w:t>the employee is guilty of repeating a less serious misconduct or breach of obligations</w:t>
      </w:r>
      <w:r w:rsidRPr="00DD513C">
        <w:rPr>
          <w:i/>
          <w:iCs/>
          <w:sz w:val="24"/>
        </w:rPr>
        <w:t xml:space="preserve">; </w:t>
      </w:r>
    </w:p>
    <w:p w:rsidR="002A0F4C" w:rsidRPr="00DD513C" w:rsidRDefault="002A0F4C" w:rsidP="00DD513C">
      <w:pPr>
        <w:spacing w:line="240" w:lineRule="auto"/>
        <w:ind w:left="993"/>
        <w:rPr>
          <w:i/>
          <w:iCs/>
          <w:sz w:val="24"/>
        </w:rPr>
      </w:pPr>
      <w:r w:rsidRPr="00DD513C">
        <w:rPr>
          <w:i/>
          <w:iCs/>
          <w:sz w:val="24"/>
        </w:rPr>
        <w:t xml:space="preserve">1.6.2. </w:t>
      </w:r>
      <w:r w:rsidR="00CF6D46" w:rsidRPr="00DD513C">
        <w:rPr>
          <w:i/>
          <w:iCs/>
          <w:sz w:val="24"/>
        </w:rPr>
        <w:t>the employee’s performance remains dissatisfactory in spite of the written warning</w:t>
      </w:r>
      <w:r w:rsidRPr="00DD513C">
        <w:rPr>
          <w:i/>
          <w:iCs/>
          <w:sz w:val="24"/>
        </w:rPr>
        <w:t>.</w:t>
      </w:r>
    </w:p>
    <w:p w:rsidR="002A0F4C" w:rsidRPr="00DD513C" w:rsidRDefault="002A0F4C" w:rsidP="00DD513C">
      <w:pPr>
        <w:spacing w:line="240" w:lineRule="auto"/>
        <w:ind w:left="993"/>
        <w:rPr>
          <w:i/>
          <w:iCs/>
          <w:sz w:val="24"/>
        </w:rPr>
      </w:pPr>
      <w:r w:rsidRPr="00DD513C">
        <w:rPr>
          <w:i/>
          <w:iCs/>
          <w:sz w:val="24"/>
        </w:rPr>
        <w:t xml:space="preserve">2. </w:t>
      </w:r>
      <w:r w:rsidR="00CF6D46" w:rsidRPr="00DD513C">
        <w:rPr>
          <w:i/>
          <w:iCs/>
          <w:sz w:val="24"/>
        </w:rPr>
        <w:t>The employer may terminate the employment contract of an employee under subparagraphs 1.6 of paragraph 1 of this Article only when after the employee has been issued previ</w:t>
      </w:r>
      <w:r w:rsidR="00BA36BA" w:rsidRPr="00DD513C">
        <w:rPr>
          <w:i/>
          <w:iCs/>
          <w:sz w:val="24"/>
        </w:rPr>
        <w:t>o</w:t>
      </w:r>
      <w:r w:rsidR="00CF6D46" w:rsidRPr="00DD513C">
        <w:rPr>
          <w:i/>
          <w:iCs/>
          <w:sz w:val="24"/>
        </w:rPr>
        <w:t>us written description of unsatisfactory performance with a specified period of time within which they must improve on their performance as well as a statement that failure to improve the performance shall result with dismissal from work without any other written notice</w:t>
      </w:r>
      <w:r w:rsidRPr="00DD513C">
        <w:rPr>
          <w:i/>
          <w:iCs/>
          <w:sz w:val="24"/>
        </w:rPr>
        <w:t>.</w:t>
      </w:r>
    </w:p>
    <w:p w:rsidR="002A0F4C" w:rsidRPr="00DD513C" w:rsidRDefault="002A0F4C" w:rsidP="00DD513C">
      <w:pPr>
        <w:spacing w:line="240" w:lineRule="auto"/>
        <w:ind w:left="993"/>
        <w:rPr>
          <w:i/>
          <w:sz w:val="24"/>
        </w:rPr>
      </w:pPr>
    </w:p>
    <w:p w:rsidR="002A0F4C" w:rsidRPr="00DD513C" w:rsidRDefault="00DD513C" w:rsidP="00DD513C">
      <w:pPr>
        <w:spacing w:line="240" w:lineRule="auto"/>
        <w:ind w:left="993"/>
        <w:jc w:val="center"/>
        <w:rPr>
          <w:i/>
          <w:iCs/>
          <w:sz w:val="24"/>
        </w:rPr>
      </w:pPr>
      <w:r>
        <w:rPr>
          <w:i/>
          <w:iCs/>
          <w:sz w:val="24"/>
        </w:rPr>
        <w:br w:type="page"/>
      </w:r>
      <w:r w:rsidR="00CF6D46" w:rsidRPr="00DD513C">
        <w:rPr>
          <w:i/>
          <w:iCs/>
          <w:sz w:val="24"/>
        </w:rPr>
        <w:lastRenderedPageBreak/>
        <w:t xml:space="preserve">Article </w:t>
      </w:r>
      <w:r w:rsidR="002A0F4C" w:rsidRPr="00DD513C">
        <w:rPr>
          <w:i/>
          <w:iCs/>
          <w:sz w:val="24"/>
        </w:rPr>
        <w:t>71</w:t>
      </w:r>
    </w:p>
    <w:p w:rsidR="002A0F4C" w:rsidRPr="00DD513C" w:rsidRDefault="002A0F4C" w:rsidP="00DD513C">
      <w:pPr>
        <w:spacing w:line="240" w:lineRule="auto"/>
        <w:ind w:left="993"/>
        <w:jc w:val="center"/>
        <w:rPr>
          <w:i/>
          <w:iCs/>
          <w:sz w:val="24"/>
        </w:rPr>
      </w:pPr>
      <w:r w:rsidRPr="00DD513C">
        <w:rPr>
          <w:i/>
          <w:iCs/>
          <w:sz w:val="24"/>
        </w:rPr>
        <w:t>[</w:t>
      </w:r>
      <w:r w:rsidR="00CF6D46" w:rsidRPr="00DD513C">
        <w:rPr>
          <w:i/>
          <w:iCs/>
          <w:sz w:val="24"/>
        </w:rPr>
        <w:t>Notification period for termination of employment contract</w:t>
      </w:r>
      <w:r w:rsidRPr="00DD513C">
        <w:rPr>
          <w:i/>
          <w:iCs/>
          <w:sz w:val="24"/>
        </w:rPr>
        <w:t>]</w:t>
      </w:r>
    </w:p>
    <w:p w:rsidR="002A0F4C" w:rsidRPr="00DD513C" w:rsidRDefault="002A0F4C" w:rsidP="00DD513C">
      <w:pPr>
        <w:spacing w:line="240" w:lineRule="auto"/>
        <w:ind w:left="993"/>
        <w:jc w:val="center"/>
        <w:rPr>
          <w:i/>
          <w:iCs/>
          <w:sz w:val="24"/>
        </w:rPr>
      </w:pPr>
    </w:p>
    <w:p w:rsidR="002A0F4C" w:rsidRPr="00DD513C" w:rsidRDefault="002A0F4C" w:rsidP="00DD513C">
      <w:pPr>
        <w:spacing w:line="240" w:lineRule="auto"/>
        <w:ind w:left="993"/>
        <w:rPr>
          <w:i/>
          <w:iCs/>
          <w:sz w:val="24"/>
        </w:rPr>
      </w:pPr>
      <w:r w:rsidRPr="00DD513C">
        <w:rPr>
          <w:i/>
          <w:iCs/>
          <w:sz w:val="24"/>
        </w:rPr>
        <w:t xml:space="preserve">1. </w:t>
      </w:r>
      <w:r w:rsidR="00CF6D46" w:rsidRPr="00DD513C">
        <w:rPr>
          <w:i/>
          <w:iCs/>
          <w:sz w:val="24"/>
        </w:rPr>
        <w:t>The employer may terminate an employment contract for an indefinite period according to Article 70 of this Law with the following periods of notification</w:t>
      </w:r>
      <w:r w:rsidRPr="00DD513C">
        <w:rPr>
          <w:i/>
          <w:iCs/>
          <w:sz w:val="24"/>
        </w:rPr>
        <w:t>:</w:t>
      </w:r>
    </w:p>
    <w:p w:rsidR="002A0F4C" w:rsidRPr="00DD513C" w:rsidRDefault="002A0F4C" w:rsidP="00DD513C">
      <w:pPr>
        <w:spacing w:line="240" w:lineRule="auto"/>
        <w:ind w:left="993"/>
        <w:rPr>
          <w:i/>
          <w:iCs/>
          <w:sz w:val="24"/>
        </w:rPr>
      </w:pPr>
      <w:r w:rsidRPr="00DD513C">
        <w:rPr>
          <w:i/>
          <w:iCs/>
          <w:sz w:val="24"/>
        </w:rPr>
        <w:t xml:space="preserve">1.1. </w:t>
      </w:r>
      <w:r w:rsidR="00CF6D46" w:rsidRPr="00DD513C">
        <w:rPr>
          <w:i/>
          <w:iCs/>
          <w:sz w:val="24"/>
        </w:rPr>
        <w:t>from six (6) months - 2 years of employment, thirty (30) calendar days</w:t>
      </w:r>
      <w:r w:rsidRPr="00DD513C">
        <w:rPr>
          <w:i/>
          <w:iCs/>
          <w:sz w:val="24"/>
        </w:rPr>
        <w:t>;</w:t>
      </w:r>
    </w:p>
    <w:p w:rsidR="002A0F4C" w:rsidRPr="00DD513C" w:rsidRDefault="002A0F4C" w:rsidP="00DD513C">
      <w:pPr>
        <w:spacing w:line="240" w:lineRule="auto"/>
        <w:ind w:left="993"/>
        <w:rPr>
          <w:i/>
          <w:iCs/>
          <w:sz w:val="24"/>
        </w:rPr>
      </w:pPr>
      <w:r w:rsidRPr="00DD513C">
        <w:rPr>
          <w:i/>
          <w:iCs/>
          <w:sz w:val="24"/>
        </w:rPr>
        <w:t xml:space="preserve">1.2. </w:t>
      </w:r>
      <w:r w:rsidR="00CF6D46" w:rsidRPr="00DD513C">
        <w:rPr>
          <w:i/>
          <w:iCs/>
          <w:sz w:val="24"/>
        </w:rPr>
        <w:t>from two (2)- ten (10) years of employment: fourty-five (45) calendar days</w:t>
      </w:r>
      <w:r w:rsidRPr="00DD513C">
        <w:rPr>
          <w:i/>
          <w:iCs/>
          <w:sz w:val="24"/>
        </w:rPr>
        <w:t>;</w:t>
      </w:r>
    </w:p>
    <w:p w:rsidR="00CF6D46" w:rsidRPr="00DD513C" w:rsidRDefault="002A0F4C" w:rsidP="00DD513C">
      <w:pPr>
        <w:spacing w:line="240" w:lineRule="auto"/>
        <w:ind w:left="993"/>
        <w:rPr>
          <w:i/>
          <w:iCs/>
          <w:sz w:val="24"/>
        </w:rPr>
      </w:pPr>
      <w:r w:rsidRPr="00DD513C">
        <w:rPr>
          <w:i/>
          <w:iCs/>
          <w:sz w:val="24"/>
        </w:rPr>
        <w:t xml:space="preserve">1.3. </w:t>
      </w:r>
      <w:r w:rsidR="00CF6D46" w:rsidRPr="00DD513C">
        <w:rPr>
          <w:i/>
          <w:iCs/>
          <w:sz w:val="24"/>
        </w:rPr>
        <w:t>above ten (10) years of employment: sixty (60) calendar days</w:t>
      </w:r>
    </w:p>
    <w:p w:rsidR="00CF6D46" w:rsidRPr="00DD513C" w:rsidRDefault="00CF6D46" w:rsidP="00DD513C">
      <w:pPr>
        <w:spacing w:line="240" w:lineRule="auto"/>
        <w:ind w:left="993"/>
        <w:rPr>
          <w:i/>
          <w:iCs/>
          <w:sz w:val="24"/>
        </w:rPr>
      </w:pPr>
    </w:p>
    <w:p w:rsidR="002A0F4C" w:rsidRPr="00DD513C" w:rsidRDefault="002A0F4C" w:rsidP="00DD513C">
      <w:pPr>
        <w:spacing w:line="240" w:lineRule="auto"/>
        <w:ind w:left="993"/>
        <w:rPr>
          <w:i/>
          <w:sz w:val="24"/>
        </w:rPr>
      </w:pPr>
      <w:r w:rsidRPr="00DD513C">
        <w:rPr>
          <w:i/>
          <w:iCs/>
          <w:sz w:val="24"/>
        </w:rPr>
        <w:t xml:space="preserve">2. </w:t>
      </w:r>
      <w:r w:rsidR="00CF6D46" w:rsidRPr="00DD513C">
        <w:rPr>
          <w:i/>
          <w:iCs/>
          <w:sz w:val="24"/>
        </w:rPr>
        <w:t>The employer may terminate an employment contract for a fixed term with thirty (30) calendar days notice. The employer who does not intend to renew a fixed term contract must inform the employee at least thirty (30) days before the expiry of the contract. Failure to do so entitles the employee to an extension of employment with full pay for thirty (30) calendar days</w:t>
      </w:r>
      <w:r w:rsidR="00CB249A" w:rsidRPr="00DD513C">
        <w:rPr>
          <w:i/>
          <w:iCs/>
          <w:sz w:val="24"/>
        </w:rPr>
        <w:t>”</w:t>
      </w:r>
      <w:r w:rsidRPr="00DD513C">
        <w:rPr>
          <w:i/>
          <w:sz w:val="24"/>
        </w:rPr>
        <w:t>.</w:t>
      </w:r>
    </w:p>
    <w:p w:rsidR="002A0F4C" w:rsidRPr="00DD513C" w:rsidRDefault="002A0F4C" w:rsidP="00DD513C">
      <w:pPr>
        <w:spacing w:line="240" w:lineRule="auto"/>
        <w:jc w:val="center"/>
        <w:rPr>
          <w:b/>
          <w:sz w:val="24"/>
        </w:rPr>
      </w:pPr>
    </w:p>
    <w:p w:rsidR="002A0F4C" w:rsidRPr="00DD513C" w:rsidRDefault="00CF6D46" w:rsidP="00DD513C">
      <w:pPr>
        <w:spacing w:line="240" w:lineRule="auto"/>
        <w:ind w:left="709"/>
        <w:rPr>
          <w:b/>
          <w:sz w:val="24"/>
        </w:rPr>
      </w:pPr>
      <w:r w:rsidRPr="00DD513C">
        <w:rPr>
          <w:b/>
          <w:sz w:val="24"/>
        </w:rPr>
        <w:t>Public-Private Partnership Agreement for the Operation and Expansion of Prishtina International Airport</w:t>
      </w:r>
    </w:p>
    <w:p w:rsidR="00CF6D46" w:rsidRPr="00DD513C" w:rsidRDefault="00CF6D46" w:rsidP="00DD513C">
      <w:pPr>
        <w:spacing w:line="240" w:lineRule="auto"/>
        <w:jc w:val="center"/>
        <w:rPr>
          <w:b/>
          <w:i/>
          <w:iCs/>
          <w:sz w:val="24"/>
        </w:rPr>
      </w:pPr>
    </w:p>
    <w:p w:rsidR="002A0F4C" w:rsidRPr="00DD513C" w:rsidRDefault="002A0F4C" w:rsidP="00DD513C">
      <w:pPr>
        <w:spacing w:line="240" w:lineRule="auto"/>
        <w:ind w:left="993"/>
        <w:jc w:val="center"/>
        <w:rPr>
          <w:b/>
          <w:sz w:val="24"/>
        </w:rPr>
      </w:pPr>
      <w:r w:rsidRPr="00DD513C">
        <w:rPr>
          <w:b/>
          <w:sz w:val="24"/>
        </w:rPr>
        <w:t>9.18 [</w:t>
      </w:r>
      <w:r w:rsidR="00CF6D46" w:rsidRPr="00DD513C">
        <w:rPr>
          <w:b/>
          <w:sz w:val="24"/>
        </w:rPr>
        <w:t>Termination of Personnel</w:t>
      </w:r>
      <w:r w:rsidRPr="00DD513C">
        <w:rPr>
          <w:b/>
          <w:sz w:val="24"/>
        </w:rPr>
        <w:t>]</w:t>
      </w:r>
    </w:p>
    <w:p w:rsidR="002A0F4C" w:rsidRPr="00DD513C" w:rsidRDefault="002A0F4C" w:rsidP="00DD513C">
      <w:pPr>
        <w:spacing w:line="240" w:lineRule="auto"/>
        <w:ind w:left="993"/>
        <w:jc w:val="center"/>
        <w:rPr>
          <w:b/>
          <w:sz w:val="24"/>
        </w:rPr>
      </w:pPr>
    </w:p>
    <w:p w:rsidR="0002227A" w:rsidRPr="00DD513C" w:rsidRDefault="002A0F4C" w:rsidP="00DD513C">
      <w:pPr>
        <w:spacing w:line="240" w:lineRule="auto"/>
        <w:ind w:left="993"/>
        <w:rPr>
          <w:sz w:val="24"/>
        </w:rPr>
      </w:pPr>
      <w:r w:rsidRPr="00DD513C">
        <w:rPr>
          <w:sz w:val="24"/>
        </w:rPr>
        <w:t>„</w:t>
      </w:r>
      <w:r w:rsidR="00CF6D46" w:rsidRPr="00DD513C">
        <w:rPr>
          <w:i/>
          <w:sz w:val="24"/>
        </w:rPr>
        <w:t xml:space="preserve">The Private Partner may terminate the employment or </w:t>
      </w:r>
      <w:r w:rsidR="00204267" w:rsidRPr="00DD513C">
        <w:rPr>
          <w:i/>
          <w:sz w:val="24"/>
        </w:rPr>
        <w:t>other</w:t>
      </w:r>
      <w:r w:rsidR="00CF6D46" w:rsidRPr="00DD513C">
        <w:rPr>
          <w:i/>
          <w:sz w:val="24"/>
        </w:rPr>
        <w:t xml:space="preserve"> engagement of any </w:t>
      </w:r>
      <w:r w:rsidR="00204267" w:rsidRPr="00DD513C">
        <w:rPr>
          <w:i/>
          <w:sz w:val="24"/>
        </w:rPr>
        <w:t>PIA</w:t>
      </w:r>
      <w:r w:rsidR="00CF6D46" w:rsidRPr="00DD513C">
        <w:rPr>
          <w:i/>
          <w:sz w:val="24"/>
        </w:rPr>
        <w:t xml:space="preserve"> </w:t>
      </w:r>
      <w:r w:rsidR="00204267" w:rsidRPr="00DD513C">
        <w:rPr>
          <w:i/>
          <w:sz w:val="24"/>
        </w:rPr>
        <w:t>E</w:t>
      </w:r>
      <w:r w:rsidR="00CF6D46" w:rsidRPr="00DD513C">
        <w:rPr>
          <w:i/>
          <w:sz w:val="24"/>
        </w:rPr>
        <w:t xml:space="preserve">mployee (i) at any time for </w:t>
      </w:r>
      <w:r w:rsidR="00204267" w:rsidRPr="00DD513C">
        <w:rPr>
          <w:i/>
          <w:sz w:val="24"/>
        </w:rPr>
        <w:t>cause</w:t>
      </w:r>
      <w:r w:rsidR="00CF6D46" w:rsidRPr="00DD513C">
        <w:rPr>
          <w:i/>
          <w:sz w:val="24"/>
        </w:rPr>
        <w:t xml:space="preserve"> </w:t>
      </w:r>
      <w:r w:rsidR="00204267" w:rsidRPr="00DD513C">
        <w:rPr>
          <w:i/>
          <w:sz w:val="24"/>
        </w:rPr>
        <w:t>in accordance with applicable</w:t>
      </w:r>
      <w:r w:rsidR="00CF6D46" w:rsidRPr="00DD513C">
        <w:rPr>
          <w:i/>
          <w:sz w:val="24"/>
        </w:rPr>
        <w:t xml:space="preserve"> laws, </w:t>
      </w:r>
      <w:r w:rsidR="00204267" w:rsidRPr="00DD513C">
        <w:rPr>
          <w:i/>
          <w:sz w:val="24"/>
        </w:rPr>
        <w:t xml:space="preserve">rules, </w:t>
      </w:r>
      <w:r w:rsidR="00BD480A" w:rsidRPr="00DD513C">
        <w:rPr>
          <w:i/>
          <w:sz w:val="24"/>
        </w:rPr>
        <w:t xml:space="preserve">administrative </w:t>
      </w:r>
      <w:r w:rsidR="00CF6D46" w:rsidRPr="00DD513C">
        <w:rPr>
          <w:i/>
          <w:sz w:val="24"/>
        </w:rPr>
        <w:t xml:space="preserve">regulations and </w:t>
      </w:r>
      <w:r w:rsidR="00204267" w:rsidRPr="00DD513C">
        <w:rPr>
          <w:i/>
          <w:sz w:val="24"/>
        </w:rPr>
        <w:t>decrees</w:t>
      </w:r>
      <w:r w:rsidR="00CF6D46" w:rsidRPr="00DD513C">
        <w:rPr>
          <w:i/>
          <w:sz w:val="24"/>
        </w:rPr>
        <w:t xml:space="preserve">, (ii) </w:t>
      </w:r>
      <w:r w:rsidR="00204267" w:rsidRPr="00DD513C">
        <w:rPr>
          <w:i/>
          <w:sz w:val="24"/>
        </w:rPr>
        <w:t>upon mutual</w:t>
      </w:r>
      <w:r w:rsidR="00CF6D46" w:rsidRPr="00DD513C">
        <w:rPr>
          <w:i/>
          <w:sz w:val="24"/>
        </w:rPr>
        <w:t xml:space="preserve"> agreement and (iii) </w:t>
      </w:r>
      <w:r w:rsidR="00204267" w:rsidRPr="00DD513C">
        <w:rPr>
          <w:i/>
          <w:sz w:val="24"/>
        </w:rPr>
        <w:t>without limitation</w:t>
      </w:r>
      <w:r w:rsidR="00CF6D46" w:rsidRPr="00DD513C">
        <w:rPr>
          <w:i/>
          <w:sz w:val="24"/>
        </w:rPr>
        <w:t xml:space="preserve">, after the third </w:t>
      </w:r>
      <w:r w:rsidR="00204267" w:rsidRPr="00DD513C">
        <w:rPr>
          <w:i/>
          <w:sz w:val="24"/>
        </w:rPr>
        <w:t xml:space="preserve">(3rd) </w:t>
      </w:r>
      <w:r w:rsidR="00CF6D46" w:rsidRPr="00DD513C">
        <w:rPr>
          <w:i/>
          <w:sz w:val="24"/>
        </w:rPr>
        <w:t xml:space="preserve">anniversary of </w:t>
      </w:r>
      <w:r w:rsidR="00204267" w:rsidRPr="00DD513C">
        <w:rPr>
          <w:i/>
          <w:sz w:val="24"/>
        </w:rPr>
        <w:t>the Effective Date</w:t>
      </w:r>
      <w:r w:rsidRPr="00DD513C">
        <w:rPr>
          <w:i/>
          <w:sz w:val="24"/>
        </w:rPr>
        <w:t>“.</w:t>
      </w:r>
    </w:p>
    <w:p w:rsidR="002A0F4C" w:rsidRPr="00DD513C" w:rsidRDefault="002A0F4C" w:rsidP="00DD513C">
      <w:pPr>
        <w:spacing w:line="240" w:lineRule="auto"/>
        <w:rPr>
          <w:sz w:val="24"/>
        </w:rPr>
      </w:pPr>
    </w:p>
    <w:p w:rsidR="00204267" w:rsidRPr="00DD513C" w:rsidRDefault="00204267" w:rsidP="00DD513C">
      <w:pPr>
        <w:spacing w:line="240" w:lineRule="auto"/>
        <w:rPr>
          <w:rFonts w:cs="Arial"/>
          <w:b/>
          <w:sz w:val="24"/>
        </w:rPr>
      </w:pPr>
      <w:r w:rsidRPr="00DD513C">
        <w:rPr>
          <w:b/>
          <w:bCs/>
          <w:sz w:val="24"/>
        </w:rPr>
        <w:t>Admissibility of the Referral</w:t>
      </w:r>
    </w:p>
    <w:p w:rsidR="00FC2A07" w:rsidRPr="00DD513C" w:rsidRDefault="00FC2A07" w:rsidP="00DD513C">
      <w:pPr>
        <w:pStyle w:val="ListParagraph"/>
        <w:spacing w:line="240" w:lineRule="auto"/>
        <w:rPr>
          <w:rFonts w:eastAsia="Batang" w:cs="Arial"/>
          <w:b/>
          <w:color w:val="000000"/>
          <w:sz w:val="24"/>
          <w:lang w:val="en-US"/>
        </w:rPr>
      </w:pPr>
    </w:p>
    <w:p w:rsidR="00FC2A07" w:rsidRPr="00DD513C" w:rsidRDefault="00204267" w:rsidP="00DD513C">
      <w:pPr>
        <w:numPr>
          <w:ilvl w:val="0"/>
          <w:numId w:val="4"/>
        </w:numPr>
        <w:tabs>
          <w:tab w:val="clear" w:pos="720"/>
          <w:tab w:val="num" w:pos="630"/>
        </w:tabs>
        <w:spacing w:line="240" w:lineRule="auto"/>
        <w:ind w:left="630" w:hanging="630"/>
        <w:rPr>
          <w:sz w:val="24"/>
        </w:rPr>
      </w:pPr>
      <w:r w:rsidRPr="00DD513C">
        <w:rPr>
          <w:sz w:val="24"/>
        </w:rPr>
        <w:t xml:space="preserve">The Court </w:t>
      </w:r>
      <w:r w:rsidRPr="00DD513C">
        <w:rPr>
          <w:bCs/>
          <w:iCs/>
          <w:sz w:val="24"/>
        </w:rPr>
        <w:t>first</w:t>
      </w:r>
      <w:r w:rsidRPr="00DD513C">
        <w:rPr>
          <w:sz w:val="24"/>
        </w:rPr>
        <w:t xml:space="preserve"> examines whether the Referral has fulfilled the admissibility requirements established in the Constitution, </w:t>
      </w:r>
      <w:r w:rsidR="00D863AE" w:rsidRPr="00DD513C">
        <w:rPr>
          <w:sz w:val="24"/>
        </w:rPr>
        <w:t xml:space="preserve">and further specified </w:t>
      </w:r>
      <w:r w:rsidRPr="00DD513C">
        <w:rPr>
          <w:sz w:val="24"/>
        </w:rPr>
        <w:t xml:space="preserve">in the Law </w:t>
      </w:r>
      <w:r w:rsidR="00D863AE" w:rsidRPr="00DD513C">
        <w:rPr>
          <w:sz w:val="24"/>
        </w:rPr>
        <w:t>and</w:t>
      </w:r>
      <w:r w:rsidRPr="00DD513C">
        <w:rPr>
          <w:sz w:val="24"/>
        </w:rPr>
        <w:t xml:space="preserve"> </w:t>
      </w:r>
      <w:r w:rsidR="001A0D3A" w:rsidRPr="00DD513C">
        <w:rPr>
          <w:sz w:val="24"/>
        </w:rPr>
        <w:t xml:space="preserve">foreseen in </w:t>
      </w:r>
      <w:r w:rsidRPr="00DD513C">
        <w:rPr>
          <w:sz w:val="24"/>
        </w:rPr>
        <w:t>the Rules of Procedure</w:t>
      </w:r>
      <w:r w:rsidR="002A0F4C" w:rsidRPr="00DD513C">
        <w:rPr>
          <w:sz w:val="24"/>
        </w:rPr>
        <w:t xml:space="preserve">. </w:t>
      </w:r>
    </w:p>
    <w:p w:rsidR="00FC2A07" w:rsidRPr="00DD513C" w:rsidRDefault="00FC2A07" w:rsidP="00DD513C">
      <w:pPr>
        <w:spacing w:line="240" w:lineRule="auto"/>
        <w:ind w:left="634"/>
        <w:rPr>
          <w:rFonts w:eastAsia="Batang" w:cs="Arial"/>
          <w:b/>
          <w:color w:val="000000"/>
          <w:sz w:val="24"/>
        </w:rPr>
      </w:pPr>
    </w:p>
    <w:p w:rsidR="002A0F4C" w:rsidRPr="00DD513C" w:rsidRDefault="00204267" w:rsidP="00DD513C">
      <w:pPr>
        <w:numPr>
          <w:ilvl w:val="0"/>
          <w:numId w:val="4"/>
        </w:numPr>
        <w:tabs>
          <w:tab w:val="clear" w:pos="720"/>
          <w:tab w:val="num" w:pos="630"/>
        </w:tabs>
        <w:spacing w:line="240" w:lineRule="auto"/>
        <w:ind w:left="630" w:hanging="630"/>
        <w:rPr>
          <w:rFonts w:eastAsia="Batang"/>
          <w:sz w:val="24"/>
        </w:rPr>
      </w:pPr>
      <w:r w:rsidRPr="00DD513C">
        <w:rPr>
          <w:color w:val="000000"/>
          <w:sz w:val="24"/>
        </w:rPr>
        <w:t>In this respect, the Court refers to paragraphs 1 and 7 of Article 113 [</w:t>
      </w:r>
      <w:r w:rsidRPr="00DD513C">
        <w:rPr>
          <w:bCs/>
          <w:sz w:val="24"/>
        </w:rPr>
        <w:t>Jurisdiction and Authorized Parties</w:t>
      </w:r>
      <w:r w:rsidRPr="00DD513C">
        <w:rPr>
          <w:color w:val="000000"/>
          <w:sz w:val="24"/>
        </w:rPr>
        <w:t>] of the Constitution which establish</w:t>
      </w:r>
      <w:r w:rsidR="002A0F4C" w:rsidRPr="00DD513C">
        <w:rPr>
          <w:sz w:val="24"/>
        </w:rPr>
        <w:t xml:space="preserve">: </w:t>
      </w:r>
    </w:p>
    <w:p w:rsidR="002A0F4C" w:rsidRPr="00DD513C" w:rsidRDefault="002A0F4C" w:rsidP="00DD513C">
      <w:pPr>
        <w:spacing w:line="240" w:lineRule="auto"/>
        <w:ind w:left="634" w:hanging="634"/>
        <w:rPr>
          <w:rFonts w:eastAsia="Batang"/>
          <w:i/>
          <w:sz w:val="24"/>
        </w:rPr>
      </w:pPr>
    </w:p>
    <w:p w:rsidR="00204267" w:rsidRPr="00DD513C" w:rsidRDefault="002A0F4C" w:rsidP="00DD513C">
      <w:pPr>
        <w:spacing w:line="240" w:lineRule="auto"/>
        <w:ind w:left="990"/>
        <w:rPr>
          <w:i/>
          <w:iCs/>
          <w:color w:val="000000"/>
          <w:sz w:val="24"/>
        </w:rPr>
      </w:pPr>
      <w:r w:rsidRPr="00DD513C">
        <w:rPr>
          <w:rFonts w:eastAsia="Batang"/>
          <w:i/>
          <w:sz w:val="24"/>
        </w:rPr>
        <w:t xml:space="preserve">“1. </w:t>
      </w:r>
      <w:r w:rsidR="00204267" w:rsidRPr="00DD513C">
        <w:rPr>
          <w:i/>
          <w:sz w:val="24"/>
        </w:rPr>
        <w:t>The Constitutional Court decides only on matters referred to the court in a legal manner by authorized parties</w:t>
      </w:r>
      <w:r w:rsidR="00204267" w:rsidRPr="00DD513C">
        <w:rPr>
          <w:i/>
          <w:color w:val="000000"/>
          <w:sz w:val="24"/>
        </w:rPr>
        <w:t>.</w:t>
      </w:r>
    </w:p>
    <w:p w:rsidR="00204267" w:rsidRPr="00DD513C" w:rsidRDefault="00204267" w:rsidP="00DD513C">
      <w:pPr>
        <w:spacing w:line="240" w:lineRule="auto"/>
        <w:ind w:left="990"/>
        <w:rPr>
          <w:i/>
          <w:iCs/>
          <w:color w:val="000000"/>
          <w:sz w:val="24"/>
        </w:rPr>
      </w:pPr>
      <w:r w:rsidRPr="00DD513C">
        <w:rPr>
          <w:i/>
          <w:iCs/>
          <w:color w:val="000000"/>
          <w:sz w:val="24"/>
        </w:rPr>
        <w:t xml:space="preserve">[…] </w:t>
      </w:r>
    </w:p>
    <w:p w:rsidR="002A0F4C" w:rsidRPr="00DD513C" w:rsidRDefault="00204267" w:rsidP="00DD513C">
      <w:pPr>
        <w:spacing w:line="240" w:lineRule="auto"/>
        <w:ind w:left="990"/>
        <w:rPr>
          <w:rFonts w:eastAsia="Batang"/>
          <w:i/>
          <w:sz w:val="24"/>
        </w:rPr>
      </w:pPr>
      <w:r w:rsidRPr="00DD513C">
        <w:rPr>
          <w:i/>
          <w:iCs/>
          <w:color w:val="000000"/>
          <w:sz w:val="24"/>
        </w:rPr>
        <w:t xml:space="preserve">7. </w:t>
      </w:r>
      <w:r w:rsidRPr="00DD513C">
        <w:rPr>
          <w:i/>
          <w:color w:val="000000"/>
          <w:sz w:val="24"/>
        </w:rPr>
        <w:t xml:space="preserve">Individuals are authorized to refer violations by public authorities of their individual rights </w:t>
      </w:r>
      <w:r w:rsidRPr="00DD513C">
        <w:rPr>
          <w:i/>
          <w:sz w:val="24"/>
        </w:rPr>
        <w:t>and</w:t>
      </w:r>
      <w:r w:rsidRPr="00DD513C">
        <w:rPr>
          <w:i/>
          <w:color w:val="000000"/>
          <w:sz w:val="24"/>
        </w:rPr>
        <w:t xml:space="preserve"> freedoms guaranteed by the Constitution, but only after exhaustion of all legal remedies provided by law</w:t>
      </w:r>
      <w:r w:rsidR="002A0F4C" w:rsidRPr="00DD513C">
        <w:rPr>
          <w:rFonts w:eastAsia="Batang"/>
          <w:i/>
          <w:sz w:val="24"/>
        </w:rPr>
        <w:t xml:space="preserve">”. </w:t>
      </w:r>
    </w:p>
    <w:p w:rsidR="008A71BC" w:rsidRPr="00DD513C" w:rsidRDefault="008A71BC" w:rsidP="00DD513C">
      <w:pPr>
        <w:spacing w:line="240" w:lineRule="auto"/>
        <w:ind w:left="634"/>
        <w:rPr>
          <w:rFonts w:eastAsia="Batang" w:cs="Arial"/>
          <w:b/>
          <w:color w:val="000000"/>
          <w:sz w:val="24"/>
        </w:rPr>
      </w:pPr>
    </w:p>
    <w:p w:rsidR="002A0F4C" w:rsidRPr="00DD513C" w:rsidRDefault="00204267" w:rsidP="00DD513C">
      <w:pPr>
        <w:numPr>
          <w:ilvl w:val="0"/>
          <w:numId w:val="4"/>
        </w:numPr>
        <w:tabs>
          <w:tab w:val="clear" w:pos="720"/>
          <w:tab w:val="num" w:pos="630"/>
        </w:tabs>
        <w:spacing w:line="240" w:lineRule="auto"/>
        <w:ind w:left="630" w:hanging="630"/>
        <w:rPr>
          <w:color w:val="000000"/>
          <w:sz w:val="24"/>
        </w:rPr>
      </w:pPr>
      <w:r w:rsidRPr="00DD513C">
        <w:rPr>
          <w:sz w:val="24"/>
        </w:rPr>
        <w:t>The Court also refer</w:t>
      </w:r>
      <w:r w:rsidR="0002656A" w:rsidRPr="00DD513C">
        <w:rPr>
          <w:sz w:val="24"/>
        </w:rPr>
        <w:t>s</w:t>
      </w:r>
      <w:r w:rsidRPr="00DD513C">
        <w:rPr>
          <w:sz w:val="24"/>
        </w:rPr>
        <w:t xml:space="preserve"> to paragraph 4 of Article 21 [General Principles] of the Constitution, which establishes</w:t>
      </w:r>
      <w:r w:rsidR="002A0F4C" w:rsidRPr="00DD513C">
        <w:rPr>
          <w:color w:val="000000"/>
          <w:sz w:val="24"/>
        </w:rPr>
        <w:t xml:space="preserve">:  </w:t>
      </w:r>
      <w:r w:rsidR="002A0F4C" w:rsidRPr="00DD513C">
        <w:rPr>
          <w:i/>
          <w:color w:val="000000"/>
          <w:sz w:val="24"/>
        </w:rPr>
        <w:t>“</w:t>
      </w:r>
      <w:r w:rsidRPr="00DD513C">
        <w:rPr>
          <w:i/>
          <w:iCs/>
          <w:sz w:val="24"/>
        </w:rPr>
        <w:t>Fundamental rights and freedoms set forth in the Constitution are also valid for legal persons to the extent applicable</w:t>
      </w:r>
      <w:r w:rsidR="002A0F4C" w:rsidRPr="00DD513C">
        <w:rPr>
          <w:i/>
          <w:color w:val="000000"/>
          <w:sz w:val="24"/>
        </w:rPr>
        <w:t xml:space="preserve">”. </w:t>
      </w:r>
    </w:p>
    <w:p w:rsidR="008A71BC" w:rsidRPr="00DD513C" w:rsidRDefault="008A71BC" w:rsidP="00DD513C">
      <w:pPr>
        <w:spacing w:line="240" w:lineRule="auto"/>
        <w:ind w:left="634"/>
        <w:rPr>
          <w:rFonts w:eastAsia="Batang" w:cs="Arial"/>
          <w:b/>
          <w:color w:val="000000"/>
          <w:sz w:val="24"/>
        </w:rPr>
      </w:pPr>
    </w:p>
    <w:p w:rsidR="008A71BC" w:rsidRPr="00DD513C" w:rsidRDefault="009877E8" w:rsidP="00DD513C">
      <w:pPr>
        <w:numPr>
          <w:ilvl w:val="0"/>
          <w:numId w:val="4"/>
        </w:numPr>
        <w:tabs>
          <w:tab w:val="clear" w:pos="720"/>
          <w:tab w:val="num" w:pos="630"/>
        </w:tabs>
        <w:spacing w:line="240" w:lineRule="auto"/>
        <w:ind w:left="630" w:hanging="630"/>
        <w:rPr>
          <w:color w:val="000000"/>
          <w:sz w:val="24"/>
        </w:rPr>
      </w:pPr>
      <w:r w:rsidRPr="00DD513C">
        <w:rPr>
          <w:sz w:val="24"/>
        </w:rPr>
        <w:t>In this regard, the Court notes that the Applicant has the right to file a constitutional complaint, referring to alleged violations of its fundamental rights and freedoms applicable both to individuals and to legal persons (</w:t>
      </w:r>
      <w:r w:rsidR="00BA36BA" w:rsidRPr="00DD513C">
        <w:rPr>
          <w:sz w:val="24"/>
        </w:rPr>
        <w:t xml:space="preserve">see: </w:t>
      </w:r>
      <w:r w:rsidRPr="00DD513C">
        <w:rPr>
          <w:sz w:val="24"/>
        </w:rPr>
        <w:t xml:space="preserve">case of </w:t>
      </w:r>
      <w:r w:rsidRPr="00DD513C">
        <w:rPr>
          <w:sz w:val="24"/>
        </w:rPr>
        <w:lastRenderedPageBreak/>
        <w:t xml:space="preserve">the Constitutional Court No. KI41/09, Applicant: </w:t>
      </w:r>
      <w:r w:rsidRPr="00DD513C">
        <w:rPr>
          <w:i/>
          <w:iCs/>
          <w:sz w:val="24"/>
        </w:rPr>
        <w:t>AAB-RIINVEST University L</w:t>
      </w:r>
      <w:r w:rsidR="00BA36BA" w:rsidRPr="00DD513C">
        <w:rPr>
          <w:i/>
          <w:iCs/>
          <w:sz w:val="24"/>
        </w:rPr>
        <w:t>.</w:t>
      </w:r>
      <w:r w:rsidRPr="00DD513C">
        <w:rPr>
          <w:i/>
          <w:iCs/>
          <w:sz w:val="24"/>
        </w:rPr>
        <w:t>L</w:t>
      </w:r>
      <w:r w:rsidR="00BA36BA" w:rsidRPr="00DD513C">
        <w:rPr>
          <w:i/>
          <w:iCs/>
          <w:sz w:val="24"/>
        </w:rPr>
        <w:t>.</w:t>
      </w:r>
      <w:r w:rsidRPr="00DD513C">
        <w:rPr>
          <w:i/>
          <w:iCs/>
          <w:sz w:val="24"/>
        </w:rPr>
        <w:t>C</w:t>
      </w:r>
      <w:r w:rsidRPr="00DD513C">
        <w:rPr>
          <w:sz w:val="24"/>
        </w:rPr>
        <w:t xml:space="preserve">, Resolution on Inadmissibility of 3 February 2010, paragraph </w:t>
      </w:r>
      <w:r w:rsidR="002A0F4C" w:rsidRPr="00DD513C">
        <w:rPr>
          <w:color w:val="000000"/>
          <w:sz w:val="24"/>
        </w:rPr>
        <w:t>14).</w:t>
      </w:r>
    </w:p>
    <w:p w:rsidR="008A71BC" w:rsidRPr="00DD513C" w:rsidRDefault="008A71BC" w:rsidP="00DD513C">
      <w:pPr>
        <w:spacing w:line="240" w:lineRule="auto"/>
        <w:rPr>
          <w:rFonts w:eastAsia="Batang" w:cs="Arial"/>
          <w:b/>
          <w:color w:val="000000"/>
          <w:sz w:val="24"/>
        </w:rPr>
      </w:pPr>
    </w:p>
    <w:p w:rsidR="0030205B" w:rsidRPr="00DD513C" w:rsidRDefault="00D863AE" w:rsidP="00DD513C">
      <w:pPr>
        <w:numPr>
          <w:ilvl w:val="0"/>
          <w:numId w:val="4"/>
        </w:numPr>
        <w:tabs>
          <w:tab w:val="clear" w:pos="720"/>
          <w:tab w:val="num" w:pos="630"/>
        </w:tabs>
        <w:spacing w:line="240" w:lineRule="auto"/>
        <w:ind w:left="630" w:hanging="630"/>
        <w:rPr>
          <w:rFonts w:eastAsia="Batang" w:cs="Arial"/>
          <w:b/>
          <w:sz w:val="24"/>
        </w:rPr>
      </w:pPr>
      <w:r w:rsidRPr="00DD513C">
        <w:rPr>
          <w:sz w:val="24"/>
        </w:rPr>
        <w:t>The</w:t>
      </w:r>
      <w:r w:rsidR="009877E8" w:rsidRPr="00DD513C">
        <w:rPr>
          <w:sz w:val="24"/>
        </w:rPr>
        <w:t xml:space="preserve"> Court </w:t>
      </w:r>
      <w:r w:rsidRPr="00DD513C">
        <w:rPr>
          <w:sz w:val="24"/>
        </w:rPr>
        <w:t xml:space="preserve">further examines whether the </w:t>
      </w:r>
      <w:r w:rsidR="00417FD4" w:rsidRPr="00DD513C">
        <w:rPr>
          <w:sz w:val="24"/>
        </w:rPr>
        <w:t>Applicant</w:t>
      </w:r>
      <w:r w:rsidRPr="00DD513C">
        <w:rPr>
          <w:sz w:val="24"/>
        </w:rPr>
        <w:t xml:space="preserve"> has fulfilled</w:t>
      </w:r>
      <w:r w:rsidR="009877E8" w:rsidRPr="00DD513C">
        <w:rPr>
          <w:sz w:val="24"/>
        </w:rPr>
        <w:t xml:space="preserve"> the admissibility requirements as prescribed by the Law. In this regard, the Court refers to Article</w:t>
      </w:r>
      <w:r w:rsidRPr="00DD513C">
        <w:rPr>
          <w:sz w:val="24"/>
        </w:rPr>
        <w:t>s</w:t>
      </w:r>
      <w:r w:rsidR="009877E8" w:rsidRPr="00DD513C">
        <w:rPr>
          <w:sz w:val="24"/>
        </w:rPr>
        <w:t xml:space="preserve"> 47 [Individual Requests], 48 [Accuracy of the Referral] and 49 [Deadlines] of the Law, which establish</w:t>
      </w:r>
      <w:r w:rsidR="002A0F4C" w:rsidRPr="00DD513C">
        <w:rPr>
          <w:sz w:val="24"/>
        </w:rPr>
        <w:t xml:space="preserve">: </w:t>
      </w:r>
    </w:p>
    <w:p w:rsidR="00DD513C" w:rsidRDefault="00DD513C" w:rsidP="00DD513C">
      <w:pPr>
        <w:spacing w:line="240" w:lineRule="auto"/>
        <w:jc w:val="center"/>
        <w:rPr>
          <w:rStyle w:val="hps"/>
          <w:color w:val="000000"/>
          <w:sz w:val="24"/>
        </w:rPr>
      </w:pPr>
    </w:p>
    <w:p w:rsidR="009877E8" w:rsidRPr="00DD513C" w:rsidRDefault="009877E8" w:rsidP="00DD513C">
      <w:pPr>
        <w:spacing w:line="240" w:lineRule="auto"/>
        <w:ind w:left="993"/>
        <w:jc w:val="center"/>
        <w:rPr>
          <w:rStyle w:val="hps"/>
          <w:color w:val="000000"/>
          <w:sz w:val="24"/>
        </w:rPr>
      </w:pPr>
      <w:r w:rsidRPr="00DD513C">
        <w:rPr>
          <w:rStyle w:val="hps"/>
          <w:color w:val="000000"/>
          <w:sz w:val="24"/>
        </w:rPr>
        <w:t xml:space="preserve">Article 47 </w:t>
      </w:r>
    </w:p>
    <w:p w:rsidR="009877E8" w:rsidRPr="00DD513C" w:rsidRDefault="009877E8" w:rsidP="00DD513C">
      <w:pPr>
        <w:spacing w:line="240" w:lineRule="auto"/>
        <w:ind w:left="993"/>
        <w:jc w:val="center"/>
        <w:rPr>
          <w:rStyle w:val="hps"/>
          <w:color w:val="000000"/>
          <w:sz w:val="24"/>
        </w:rPr>
      </w:pPr>
      <w:r w:rsidRPr="00DD513C">
        <w:rPr>
          <w:rStyle w:val="hps"/>
          <w:color w:val="000000"/>
          <w:sz w:val="24"/>
        </w:rPr>
        <w:t>[</w:t>
      </w:r>
      <w:r w:rsidRPr="00DD513C">
        <w:rPr>
          <w:rFonts w:eastAsia="Calibri"/>
          <w:bCs/>
          <w:color w:val="000000"/>
          <w:sz w:val="24"/>
        </w:rPr>
        <w:t>Individual Requests</w:t>
      </w:r>
      <w:r w:rsidRPr="00DD513C">
        <w:rPr>
          <w:rStyle w:val="hps"/>
          <w:color w:val="000000"/>
          <w:sz w:val="24"/>
        </w:rPr>
        <w:t>]</w:t>
      </w:r>
    </w:p>
    <w:p w:rsidR="0030205B" w:rsidRPr="00DD513C" w:rsidRDefault="0030205B" w:rsidP="00DD513C">
      <w:pPr>
        <w:spacing w:line="240" w:lineRule="auto"/>
        <w:ind w:left="993"/>
        <w:jc w:val="center"/>
        <w:rPr>
          <w:i/>
          <w:sz w:val="24"/>
        </w:rPr>
      </w:pPr>
    </w:p>
    <w:p w:rsidR="0030205B" w:rsidRPr="00DD513C" w:rsidRDefault="009877E8" w:rsidP="00DD513C">
      <w:pPr>
        <w:numPr>
          <w:ilvl w:val="0"/>
          <w:numId w:val="36"/>
        </w:numPr>
        <w:spacing w:line="240" w:lineRule="auto"/>
        <w:ind w:left="993"/>
        <w:rPr>
          <w:i/>
          <w:sz w:val="24"/>
        </w:rPr>
      </w:pPr>
      <w:r w:rsidRPr="00DD513C">
        <w:rPr>
          <w:rFonts w:eastAsia="Calibri"/>
          <w:i/>
          <w:iCs/>
          <w:sz w:val="24"/>
        </w:rPr>
        <w:t>Every individual is entitled to request from the Constitutional Court legal protection when he considers that his/her individual rights and freedoms guaranteed by the Constitution are violated by a public authority</w:t>
      </w:r>
      <w:r w:rsidR="0030205B" w:rsidRPr="00DD513C">
        <w:rPr>
          <w:i/>
          <w:sz w:val="24"/>
        </w:rPr>
        <w:t>.</w:t>
      </w:r>
    </w:p>
    <w:p w:rsidR="00421C2C" w:rsidRPr="00DD513C" w:rsidRDefault="00421C2C" w:rsidP="00DD513C">
      <w:pPr>
        <w:spacing w:line="240" w:lineRule="auto"/>
        <w:ind w:left="993"/>
        <w:rPr>
          <w:i/>
          <w:sz w:val="24"/>
        </w:rPr>
      </w:pPr>
    </w:p>
    <w:p w:rsidR="0030205B" w:rsidRPr="00DD513C" w:rsidRDefault="009877E8" w:rsidP="00DD513C">
      <w:pPr>
        <w:numPr>
          <w:ilvl w:val="0"/>
          <w:numId w:val="36"/>
        </w:numPr>
        <w:spacing w:line="240" w:lineRule="auto"/>
        <w:ind w:left="993"/>
        <w:rPr>
          <w:i/>
          <w:sz w:val="24"/>
        </w:rPr>
      </w:pPr>
      <w:r w:rsidRPr="00DD513C">
        <w:rPr>
          <w:rFonts w:eastAsia="Calibri"/>
          <w:i/>
          <w:iCs/>
          <w:sz w:val="24"/>
        </w:rPr>
        <w:t>The individual may submit the referral in question only after he/she has exhausted all the legal remedies provided by the law</w:t>
      </w:r>
      <w:r w:rsidR="0030205B" w:rsidRPr="00DD513C">
        <w:rPr>
          <w:i/>
          <w:sz w:val="24"/>
        </w:rPr>
        <w:t>.</w:t>
      </w:r>
    </w:p>
    <w:p w:rsidR="002A0F4C" w:rsidRPr="00DD513C" w:rsidRDefault="002A0F4C" w:rsidP="00DD513C">
      <w:pPr>
        <w:spacing w:line="240" w:lineRule="auto"/>
        <w:ind w:left="993"/>
        <w:rPr>
          <w:rFonts w:eastAsia="Batang" w:cs="Arial"/>
          <w:b/>
          <w:sz w:val="24"/>
        </w:rPr>
      </w:pPr>
    </w:p>
    <w:p w:rsidR="009877E8" w:rsidRPr="00DD513C" w:rsidRDefault="009877E8" w:rsidP="00DD513C">
      <w:pPr>
        <w:spacing w:line="240" w:lineRule="auto"/>
        <w:ind w:left="993"/>
        <w:jc w:val="center"/>
        <w:rPr>
          <w:sz w:val="24"/>
        </w:rPr>
      </w:pPr>
      <w:r w:rsidRPr="00DD513C">
        <w:rPr>
          <w:sz w:val="24"/>
        </w:rPr>
        <w:t>Article 48</w:t>
      </w:r>
    </w:p>
    <w:p w:rsidR="009877E8" w:rsidRPr="00DD513C" w:rsidRDefault="009877E8" w:rsidP="00DD513C">
      <w:pPr>
        <w:spacing w:line="240" w:lineRule="auto"/>
        <w:ind w:left="993"/>
        <w:jc w:val="center"/>
        <w:rPr>
          <w:sz w:val="24"/>
        </w:rPr>
      </w:pPr>
      <w:r w:rsidRPr="00DD513C">
        <w:rPr>
          <w:sz w:val="24"/>
        </w:rPr>
        <w:t>[Accuracy of the Referral]</w:t>
      </w:r>
    </w:p>
    <w:p w:rsidR="009877E8" w:rsidRPr="00DD513C" w:rsidRDefault="009877E8" w:rsidP="00DD513C">
      <w:pPr>
        <w:spacing w:line="240" w:lineRule="auto"/>
        <w:ind w:left="993"/>
        <w:rPr>
          <w:color w:val="000000"/>
          <w:sz w:val="24"/>
        </w:rPr>
      </w:pPr>
    </w:p>
    <w:p w:rsidR="009877E8" w:rsidRPr="00DD513C" w:rsidRDefault="009877E8" w:rsidP="00DD513C">
      <w:pPr>
        <w:spacing w:line="240" w:lineRule="auto"/>
        <w:ind w:left="993"/>
        <w:rPr>
          <w:i/>
          <w:iCs/>
          <w:color w:val="000000"/>
          <w:sz w:val="24"/>
        </w:rPr>
      </w:pPr>
      <w:r w:rsidRPr="00DD513C">
        <w:rPr>
          <w:i/>
          <w:iCs/>
          <w:color w:val="000000"/>
          <w:sz w:val="24"/>
        </w:rPr>
        <w:t>“</w:t>
      </w:r>
      <w:r w:rsidRPr="00DD513C">
        <w:rPr>
          <w:i/>
          <w:sz w:val="24"/>
        </w:rPr>
        <w:t>In his/her referral, the claimant should accurately clarify what rights and freedoms he/she claims to have been violated and what concrete act of public authority is subject to challenge</w:t>
      </w:r>
      <w:r w:rsidRPr="00DD513C">
        <w:rPr>
          <w:i/>
          <w:iCs/>
          <w:color w:val="000000"/>
          <w:sz w:val="24"/>
        </w:rPr>
        <w:t xml:space="preserve">”. </w:t>
      </w:r>
    </w:p>
    <w:p w:rsidR="009877E8" w:rsidRPr="00DD513C" w:rsidRDefault="009877E8" w:rsidP="00DD513C">
      <w:pPr>
        <w:spacing w:line="240" w:lineRule="auto"/>
        <w:ind w:left="993"/>
        <w:rPr>
          <w:color w:val="000000"/>
          <w:sz w:val="24"/>
        </w:rPr>
      </w:pPr>
    </w:p>
    <w:p w:rsidR="009877E8" w:rsidRPr="00DD513C" w:rsidRDefault="009877E8" w:rsidP="00DD513C">
      <w:pPr>
        <w:spacing w:line="240" w:lineRule="auto"/>
        <w:ind w:left="993"/>
        <w:jc w:val="center"/>
        <w:rPr>
          <w:sz w:val="24"/>
        </w:rPr>
      </w:pPr>
      <w:r w:rsidRPr="00DD513C">
        <w:rPr>
          <w:sz w:val="24"/>
        </w:rPr>
        <w:t>Article 49</w:t>
      </w:r>
    </w:p>
    <w:p w:rsidR="009877E8" w:rsidRPr="00DD513C" w:rsidRDefault="009877E8" w:rsidP="00DD513C">
      <w:pPr>
        <w:spacing w:line="240" w:lineRule="auto"/>
        <w:ind w:left="993"/>
        <w:jc w:val="center"/>
        <w:rPr>
          <w:sz w:val="24"/>
        </w:rPr>
      </w:pPr>
      <w:r w:rsidRPr="00DD513C">
        <w:rPr>
          <w:sz w:val="24"/>
        </w:rPr>
        <w:t>[Deadlines]</w:t>
      </w:r>
    </w:p>
    <w:p w:rsidR="009877E8" w:rsidRPr="00DD513C" w:rsidRDefault="009877E8" w:rsidP="00DD513C">
      <w:pPr>
        <w:spacing w:line="240" w:lineRule="auto"/>
        <w:ind w:left="993"/>
        <w:rPr>
          <w:color w:val="000000"/>
          <w:sz w:val="24"/>
        </w:rPr>
      </w:pPr>
    </w:p>
    <w:p w:rsidR="002A0F4C" w:rsidRPr="00DD513C" w:rsidRDefault="009877E8" w:rsidP="00DD513C">
      <w:pPr>
        <w:spacing w:line="240" w:lineRule="auto"/>
        <w:ind w:left="993"/>
        <w:rPr>
          <w:rFonts w:cs="Arial"/>
          <w:i/>
          <w:sz w:val="24"/>
        </w:rPr>
      </w:pPr>
      <w:r w:rsidRPr="00DD513C">
        <w:rPr>
          <w:i/>
          <w:color w:val="000000"/>
          <w:sz w:val="24"/>
        </w:rPr>
        <w:t>“</w:t>
      </w:r>
      <w:r w:rsidRPr="00DD513C">
        <w:rPr>
          <w:i/>
          <w:sz w:val="24"/>
        </w:rPr>
        <w:t>The referral should be submitted within a period of four (4) months. The deadline shall be counted from the day upon which the claimant has been served with a court decision</w:t>
      </w:r>
      <w:r w:rsidRPr="00DD513C">
        <w:rPr>
          <w:rFonts w:cs="Arial"/>
          <w:i/>
          <w:sz w:val="24"/>
        </w:rPr>
        <w:t xml:space="preserve"> </w:t>
      </w:r>
      <w:r w:rsidR="002A0F4C" w:rsidRPr="00DD513C">
        <w:rPr>
          <w:rFonts w:cs="Arial"/>
          <w:i/>
          <w:sz w:val="24"/>
        </w:rPr>
        <w:t xml:space="preserve">[...]”. </w:t>
      </w:r>
    </w:p>
    <w:p w:rsidR="008A71BC" w:rsidRPr="00DD513C" w:rsidRDefault="008A71BC" w:rsidP="00DD513C">
      <w:pPr>
        <w:spacing w:line="240" w:lineRule="auto"/>
        <w:ind w:left="990"/>
        <w:rPr>
          <w:rFonts w:eastAsia="Batang" w:cs="Arial"/>
          <w:b/>
          <w:color w:val="000000"/>
          <w:sz w:val="24"/>
        </w:rPr>
      </w:pPr>
    </w:p>
    <w:p w:rsidR="002A0F4C" w:rsidRPr="00DD513C" w:rsidRDefault="009877E8" w:rsidP="00DD513C">
      <w:pPr>
        <w:numPr>
          <w:ilvl w:val="0"/>
          <w:numId w:val="4"/>
        </w:numPr>
        <w:tabs>
          <w:tab w:val="clear" w:pos="720"/>
          <w:tab w:val="num" w:pos="630"/>
        </w:tabs>
        <w:spacing w:line="240" w:lineRule="auto"/>
        <w:ind w:left="630" w:hanging="630"/>
        <w:rPr>
          <w:rFonts w:eastAsia="Batang" w:cs="Arial"/>
          <w:b/>
          <w:sz w:val="24"/>
        </w:rPr>
      </w:pPr>
      <w:r w:rsidRPr="00DD513C">
        <w:rPr>
          <w:iCs/>
          <w:sz w:val="24"/>
        </w:rPr>
        <w:t xml:space="preserve">Regarding the fulfillment of these requirements, the Court </w:t>
      </w:r>
      <w:r w:rsidR="00D863AE" w:rsidRPr="00DD513C">
        <w:rPr>
          <w:iCs/>
          <w:sz w:val="24"/>
        </w:rPr>
        <w:t>considers</w:t>
      </w:r>
      <w:r w:rsidRPr="00DD513C">
        <w:rPr>
          <w:iCs/>
          <w:sz w:val="24"/>
        </w:rPr>
        <w:t xml:space="preserve"> that the Applicant is an authorized party, challenging an act of a public authority, after exhaustion of all legal remedies. The Applicant also clarified the rights and freedoms he claims to have been violated in accordance with the requirements of Article 48 of the Law, and submitted the Referral in accordance with the deadlines </w:t>
      </w:r>
      <w:r w:rsidR="00D863AE" w:rsidRPr="00DD513C">
        <w:rPr>
          <w:iCs/>
          <w:sz w:val="24"/>
        </w:rPr>
        <w:t>established in</w:t>
      </w:r>
      <w:r w:rsidRPr="00DD513C">
        <w:rPr>
          <w:iCs/>
          <w:sz w:val="24"/>
        </w:rPr>
        <w:t xml:space="preserve"> Article 49 of the Law</w:t>
      </w:r>
      <w:r w:rsidR="002A0F4C" w:rsidRPr="00DD513C">
        <w:rPr>
          <w:sz w:val="24"/>
        </w:rPr>
        <w:t xml:space="preserve">.  </w:t>
      </w:r>
    </w:p>
    <w:p w:rsidR="008A71BC" w:rsidRPr="00DD513C" w:rsidRDefault="008A71BC" w:rsidP="00DD513C">
      <w:pPr>
        <w:spacing w:line="240" w:lineRule="auto"/>
        <w:ind w:left="634"/>
        <w:rPr>
          <w:rFonts w:eastAsia="Batang" w:cs="Arial"/>
          <w:b/>
          <w:color w:val="000000"/>
          <w:sz w:val="24"/>
        </w:rPr>
      </w:pPr>
    </w:p>
    <w:p w:rsidR="002A0F4C" w:rsidRPr="00DD513C" w:rsidRDefault="009877E8" w:rsidP="00DD513C">
      <w:pPr>
        <w:numPr>
          <w:ilvl w:val="0"/>
          <w:numId w:val="4"/>
        </w:numPr>
        <w:tabs>
          <w:tab w:val="clear" w:pos="720"/>
          <w:tab w:val="num" w:pos="630"/>
        </w:tabs>
        <w:spacing w:line="240" w:lineRule="auto"/>
        <w:ind w:left="630" w:hanging="630"/>
        <w:rPr>
          <w:i/>
          <w:iCs/>
          <w:sz w:val="24"/>
        </w:rPr>
      </w:pPr>
      <w:r w:rsidRPr="00DD513C">
        <w:rPr>
          <w:sz w:val="24"/>
        </w:rPr>
        <w:t xml:space="preserve">However, the Court </w:t>
      </w:r>
      <w:r w:rsidR="00421C2C" w:rsidRPr="00DD513C">
        <w:rPr>
          <w:sz w:val="24"/>
        </w:rPr>
        <w:t>refers to paragraph (2) of</w:t>
      </w:r>
      <w:r w:rsidRPr="00DD513C">
        <w:rPr>
          <w:sz w:val="24"/>
        </w:rPr>
        <w:t xml:space="preserve"> Rule 39 [</w:t>
      </w:r>
      <w:r w:rsidR="00D863AE" w:rsidRPr="00DD513C">
        <w:rPr>
          <w:sz w:val="24"/>
        </w:rPr>
        <w:t>Admissibility</w:t>
      </w:r>
      <w:r w:rsidRPr="00DD513C">
        <w:rPr>
          <w:sz w:val="24"/>
        </w:rPr>
        <w:t xml:space="preserve"> Crit</w:t>
      </w:r>
      <w:r w:rsidR="00421C2C" w:rsidRPr="00DD513C">
        <w:rPr>
          <w:sz w:val="24"/>
        </w:rPr>
        <w:t xml:space="preserve">eria] of the Rules of Procedure, which </w:t>
      </w:r>
      <w:r w:rsidRPr="00DD513C">
        <w:rPr>
          <w:sz w:val="24"/>
        </w:rPr>
        <w:t>provides that</w:t>
      </w:r>
      <w:r w:rsidR="002A0F4C" w:rsidRPr="00DD513C">
        <w:rPr>
          <w:sz w:val="24"/>
        </w:rPr>
        <w:t xml:space="preserve">: </w:t>
      </w:r>
    </w:p>
    <w:p w:rsidR="002A0F4C" w:rsidRPr="00DD513C" w:rsidRDefault="002A0F4C" w:rsidP="00DD513C">
      <w:pPr>
        <w:tabs>
          <w:tab w:val="left" w:pos="630"/>
        </w:tabs>
        <w:spacing w:line="240" w:lineRule="auto"/>
        <w:ind w:left="634"/>
        <w:rPr>
          <w:i/>
          <w:iCs/>
          <w:sz w:val="24"/>
        </w:rPr>
      </w:pPr>
    </w:p>
    <w:p w:rsidR="002A0F4C" w:rsidRPr="00DD513C" w:rsidRDefault="002A0F4C" w:rsidP="00DD513C">
      <w:pPr>
        <w:spacing w:line="240" w:lineRule="auto"/>
        <w:ind w:left="990"/>
        <w:rPr>
          <w:rFonts w:eastAsia="Batang" w:cs="Arial"/>
          <w:b/>
          <w:sz w:val="24"/>
        </w:rPr>
      </w:pPr>
      <w:r w:rsidRPr="00DD513C">
        <w:rPr>
          <w:i/>
          <w:iCs/>
          <w:sz w:val="24"/>
        </w:rPr>
        <w:t xml:space="preserve">“(2) </w:t>
      </w:r>
      <w:r w:rsidR="009877E8" w:rsidRPr="00DD513C">
        <w:rPr>
          <w:i/>
          <w:iCs/>
          <w:sz w:val="24"/>
        </w:rPr>
        <w:t>The Court may consider a referral as inadmissible if the referral is manifestly ill founded because the Applicant has not sufficiently proved and substantiated the claim</w:t>
      </w:r>
      <w:r w:rsidRPr="00DD513C">
        <w:rPr>
          <w:i/>
          <w:iCs/>
          <w:sz w:val="24"/>
        </w:rPr>
        <w:t>”.</w:t>
      </w:r>
    </w:p>
    <w:p w:rsidR="008A71BC" w:rsidRPr="00DD513C" w:rsidRDefault="008A71BC" w:rsidP="00DD513C">
      <w:pPr>
        <w:pStyle w:val="ListParagraph"/>
        <w:spacing w:line="240" w:lineRule="auto"/>
        <w:rPr>
          <w:rFonts w:eastAsia="Batang" w:cs="Arial"/>
          <w:b/>
          <w:color w:val="000000"/>
          <w:sz w:val="24"/>
          <w:lang w:val="en-US"/>
        </w:rPr>
      </w:pPr>
    </w:p>
    <w:p w:rsidR="009877E8" w:rsidRPr="00DD513C" w:rsidRDefault="00D863AE" w:rsidP="00DD513C">
      <w:pPr>
        <w:numPr>
          <w:ilvl w:val="0"/>
          <w:numId w:val="4"/>
        </w:numPr>
        <w:tabs>
          <w:tab w:val="clear" w:pos="720"/>
          <w:tab w:val="num" w:pos="630"/>
        </w:tabs>
        <w:spacing w:line="240" w:lineRule="auto"/>
        <w:ind w:left="630" w:hanging="630"/>
        <w:rPr>
          <w:sz w:val="24"/>
        </w:rPr>
      </w:pPr>
      <w:r w:rsidRPr="00DD513C">
        <w:rPr>
          <w:sz w:val="24"/>
        </w:rPr>
        <w:t>Initially, t</w:t>
      </w:r>
      <w:r w:rsidR="009877E8" w:rsidRPr="00DD513C">
        <w:rPr>
          <w:sz w:val="24"/>
        </w:rPr>
        <w:t>he Court notes that the Applic</w:t>
      </w:r>
      <w:r w:rsidRPr="00DD513C">
        <w:rPr>
          <w:sz w:val="24"/>
        </w:rPr>
        <w:t xml:space="preserve">ant alleges that his right to </w:t>
      </w:r>
      <w:r w:rsidR="009877E8" w:rsidRPr="00DD513C">
        <w:rPr>
          <w:sz w:val="24"/>
        </w:rPr>
        <w:t>fair and impartial trial guaranteed by Article 31 of the Constitution and Article 6 of the ECHR has been violated</w:t>
      </w:r>
      <w:r w:rsidRPr="00DD513C">
        <w:rPr>
          <w:sz w:val="24"/>
        </w:rPr>
        <w:t>,</w:t>
      </w:r>
      <w:r w:rsidR="009877E8" w:rsidRPr="00DD513C">
        <w:rPr>
          <w:sz w:val="24"/>
        </w:rPr>
        <w:t xml:space="preserve"> because the decisions of the regular courts </w:t>
      </w:r>
      <w:r w:rsidRPr="00DD513C">
        <w:rPr>
          <w:sz w:val="24"/>
        </w:rPr>
        <w:t>were not</w:t>
      </w:r>
      <w:r w:rsidR="009877E8" w:rsidRPr="00DD513C">
        <w:rPr>
          <w:sz w:val="24"/>
        </w:rPr>
        <w:t xml:space="preserve"> sufficiently reasoned, </w:t>
      </w:r>
      <w:r w:rsidRPr="00DD513C">
        <w:rPr>
          <w:sz w:val="24"/>
        </w:rPr>
        <w:t>while the</w:t>
      </w:r>
      <w:r w:rsidR="009877E8" w:rsidRPr="00DD513C">
        <w:rPr>
          <w:sz w:val="24"/>
        </w:rPr>
        <w:t xml:space="preserve"> violations of other rights guaranteed by the </w:t>
      </w:r>
      <w:r w:rsidR="009877E8" w:rsidRPr="00DD513C">
        <w:rPr>
          <w:sz w:val="24"/>
        </w:rPr>
        <w:lastRenderedPageBreak/>
        <w:t xml:space="preserve">Constitution and the ECHR are </w:t>
      </w:r>
      <w:r w:rsidRPr="00DD513C">
        <w:rPr>
          <w:sz w:val="24"/>
        </w:rPr>
        <w:t>presented</w:t>
      </w:r>
      <w:r w:rsidR="009877E8" w:rsidRPr="00DD513C">
        <w:rPr>
          <w:sz w:val="24"/>
        </w:rPr>
        <w:t xml:space="preserve"> by the Applicant as a result of </w:t>
      </w:r>
      <w:r w:rsidRPr="00DD513C">
        <w:rPr>
          <w:sz w:val="24"/>
        </w:rPr>
        <w:t xml:space="preserve">the violation of the right to </w:t>
      </w:r>
      <w:r w:rsidR="009877E8" w:rsidRPr="00DD513C">
        <w:rPr>
          <w:sz w:val="24"/>
        </w:rPr>
        <w:t>fair and impartial trial.</w:t>
      </w:r>
    </w:p>
    <w:p w:rsidR="009877E8" w:rsidRPr="00DD513C" w:rsidRDefault="009877E8" w:rsidP="00DD513C">
      <w:pPr>
        <w:spacing w:line="240" w:lineRule="auto"/>
        <w:ind w:left="630"/>
        <w:rPr>
          <w:sz w:val="24"/>
        </w:rPr>
      </w:pPr>
    </w:p>
    <w:p w:rsidR="002A0F4C" w:rsidRPr="00DD513C" w:rsidRDefault="00421C2C" w:rsidP="00DD513C">
      <w:pPr>
        <w:numPr>
          <w:ilvl w:val="0"/>
          <w:numId w:val="4"/>
        </w:numPr>
        <w:tabs>
          <w:tab w:val="clear" w:pos="720"/>
          <w:tab w:val="num" w:pos="630"/>
        </w:tabs>
        <w:spacing w:line="240" w:lineRule="auto"/>
        <w:ind w:left="630" w:hanging="630"/>
        <w:rPr>
          <w:sz w:val="24"/>
        </w:rPr>
      </w:pPr>
      <w:r w:rsidRPr="00DD513C">
        <w:rPr>
          <w:sz w:val="24"/>
        </w:rPr>
        <w:t>In</w:t>
      </w:r>
      <w:r w:rsidR="009877E8" w:rsidRPr="00DD513C">
        <w:rPr>
          <w:sz w:val="24"/>
        </w:rPr>
        <w:t xml:space="preserve"> essence</w:t>
      </w:r>
      <w:r w:rsidRPr="00DD513C">
        <w:rPr>
          <w:sz w:val="24"/>
        </w:rPr>
        <w:t>, the Applicant</w:t>
      </w:r>
      <w:r w:rsidR="009877E8" w:rsidRPr="00DD513C">
        <w:rPr>
          <w:sz w:val="24"/>
        </w:rPr>
        <w:t xml:space="preserve"> justifies his Referral </w:t>
      </w:r>
      <w:r w:rsidRPr="00DD513C">
        <w:rPr>
          <w:sz w:val="24"/>
        </w:rPr>
        <w:t>regarding</w:t>
      </w:r>
      <w:r w:rsidR="009877E8" w:rsidRPr="00DD513C">
        <w:rPr>
          <w:sz w:val="24"/>
        </w:rPr>
        <w:t xml:space="preserve"> erroneous application of </w:t>
      </w:r>
      <w:r w:rsidR="00D863AE" w:rsidRPr="00DD513C">
        <w:rPr>
          <w:sz w:val="24"/>
        </w:rPr>
        <w:t>the procedural and substantive law</w:t>
      </w:r>
      <w:r w:rsidR="009877E8" w:rsidRPr="00DD513C">
        <w:rPr>
          <w:sz w:val="24"/>
        </w:rPr>
        <w:t xml:space="preserve">, pointing out that the decisions of the regular courts did not sufficiently </w:t>
      </w:r>
      <w:r w:rsidR="00D863AE" w:rsidRPr="00DD513C">
        <w:rPr>
          <w:sz w:val="24"/>
        </w:rPr>
        <w:t>reason</w:t>
      </w:r>
      <w:r w:rsidR="009877E8" w:rsidRPr="00DD513C">
        <w:rPr>
          <w:sz w:val="24"/>
        </w:rPr>
        <w:t xml:space="preserve"> the following issues</w:t>
      </w:r>
      <w:r w:rsidR="002A0F4C" w:rsidRPr="00DD513C">
        <w:rPr>
          <w:sz w:val="24"/>
        </w:rPr>
        <w:t xml:space="preserve">:  </w:t>
      </w:r>
    </w:p>
    <w:p w:rsidR="002A0F4C" w:rsidRPr="00DD513C" w:rsidRDefault="002A0F4C" w:rsidP="00DD513C">
      <w:pPr>
        <w:spacing w:line="240" w:lineRule="auto"/>
        <w:rPr>
          <w:sz w:val="24"/>
        </w:rPr>
      </w:pPr>
    </w:p>
    <w:p w:rsidR="00A85A2B" w:rsidRPr="00DD513C" w:rsidRDefault="00A85A2B" w:rsidP="00DD513C">
      <w:pPr>
        <w:numPr>
          <w:ilvl w:val="0"/>
          <w:numId w:val="33"/>
        </w:numPr>
        <w:tabs>
          <w:tab w:val="left" w:pos="630"/>
          <w:tab w:val="num" w:pos="810"/>
        </w:tabs>
        <w:spacing w:line="240" w:lineRule="auto"/>
        <w:rPr>
          <w:sz w:val="24"/>
        </w:rPr>
      </w:pPr>
      <w:r w:rsidRPr="00DD513C">
        <w:rPr>
          <w:sz w:val="24"/>
        </w:rPr>
        <w:t>That the Supreme Court exceeded the request for revision when interpreting Article 5, paragraph 1 of the Law on Labor.</w:t>
      </w:r>
    </w:p>
    <w:p w:rsidR="00A85A2B" w:rsidRPr="00DD513C" w:rsidRDefault="00A85A2B" w:rsidP="00DD513C">
      <w:pPr>
        <w:numPr>
          <w:ilvl w:val="0"/>
          <w:numId w:val="33"/>
        </w:numPr>
        <w:tabs>
          <w:tab w:val="left" w:pos="630"/>
          <w:tab w:val="num" w:pos="810"/>
        </w:tabs>
        <w:spacing w:line="240" w:lineRule="auto"/>
        <w:rPr>
          <w:sz w:val="24"/>
        </w:rPr>
      </w:pPr>
      <w:r w:rsidRPr="00DD513C">
        <w:rPr>
          <w:sz w:val="24"/>
        </w:rPr>
        <w:t>That the Basic Court and the Court of Appeals have correctly applied the law regarding Article 1.1 and Article 67, paragraph 1.3, and Article 71 paragraph 2 of the Law on Labor No. 03/L-212, whereas the Supreme Court has erroneously applied the substantive law, and the reasoning of the judgment of the Supreme Court is in contradiction with the facts.</w:t>
      </w:r>
    </w:p>
    <w:p w:rsidR="00A85A2B" w:rsidRPr="00DD513C" w:rsidRDefault="00A85A2B" w:rsidP="00DD513C">
      <w:pPr>
        <w:numPr>
          <w:ilvl w:val="0"/>
          <w:numId w:val="33"/>
        </w:numPr>
        <w:tabs>
          <w:tab w:val="left" w:pos="630"/>
          <w:tab w:val="num" w:pos="810"/>
        </w:tabs>
        <w:spacing w:line="240" w:lineRule="auto"/>
        <w:rPr>
          <w:sz w:val="24"/>
        </w:rPr>
      </w:pPr>
      <w:r w:rsidRPr="00DD513C">
        <w:rPr>
          <w:sz w:val="24"/>
        </w:rPr>
        <w:t>The Applicant further alleges that the regular courts interpreted differently the same legal norms and violated the principle of legal certainty and as evidence of various case laws regarding cases KI129/18 and KI166/18, attached the Judgments of the Basic Court in Prishtina (Judgment C. No. 238/2014 and Judgment C. No. 179/2018) and Judgment of the Court of Appeals (CA. No. 3633/2015).</w:t>
      </w:r>
    </w:p>
    <w:p w:rsidR="00421C2C" w:rsidRPr="00DD513C" w:rsidRDefault="00A85A2B" w:rsidP="00DD513C">
      <w:pPr>
        <w:numPr>
          <w:ilvl w:val="0"/>
          <w:numId w:val="43"/>
        </w:numPr>
        <w:tabs>
          <w:tab w:val="left" w:pos="630"/>
        </w:tabs>
        <w:spacing w:line="240" w:lineRule="auto"/>
        <w:rPr>
          <w:sz w:val="24"/>
        </w:rPr>
      </w:pPr>
      <w:r w:rsidRPr="00DD513C">
        <w:rPr>
          <w:sz w:val="24"/>
        </w:rPr>
        <w:t>That the violations of other articles have resulted from a violation of Article 31 of the Constitution and Article 6 of the ECHR</w:t>
      </w:r>
      <w:r w:rsidR="00421C2C" w:rsidRPr="00DD513C">
        <w:rPr>
          <w:sz w:val="24"/>
        </w:rPr>
        <w:t xml:space="preserve">. </w:t>
      </w:r>
    </w:p>
    <w:p w:rsidR="00470960" w:rsidRPr="00DD513C" w:rsidRDefault="00470960" w:rsidP="00DD513C">
      <w:pPr>
        <w:tabs>
          <w:tab w:val="left" w:pos="630"/>
        </w:tabs>
        <w:spacing w:line="240" w:lineRule="auto"/>
        <w:ind w:left="634"/>
        <w:rPr>
          <w:color w:val="000000"/>
          <w:sz w:val="24"/>
        </w:rPr>
      </w:pPr>
    </w:p>
    <w:p w:rsidR="009877E8" w:rsidRPr="00DD513C" w:rsidRDefault="00A90D3B" w:rsidP="00DD513C">
      <w:pPr>
        <w:numPr>
          <w:ilvl w:val="0"/>
          <w:numId w:val="4"/>
        </w:numPr>
        <w:tabs>
          <w:tab w:val="clear" w:pos="720"/>
          <w:tab w:val="num" w:pos="630"/>
        </w:tabs>
        <w:spacing w:line="240" w:lineRule="auto"/>
        <w:ind w:left="630" w:hanging="630"/>
        <w:rPr>
          <w:sz w:val="24"/>
        </w:rPr>
      </w:pPr>
      <w:r w:rsidRPr="00DD513C">
        <w:rPr>
          <w:sz w:val="24"/>
        </w:rPr>
        <w:t>Referring to the Applicant's allegations, the Court refers to the case law of the European Court of Human Rights (hereinafter: the ECHR), which obliges the Court, that in accordance with Article 53 [Interpretation of Human Rights Provisions ] of the Constitution, to interpret human rights and fundamental freedoms guaranteed by the Constitution in harmony with ECtHR court decisions.</w:t>
      </w:r>
    </w:p>
    <w:p w:rsidR="00A90D3B" w:rsidRPr="00DD513C" w:rsidRDefault="00A90D3B" w:rsidP="00DD513C">
      <w:pPr>
        <w:spacing w:line="240" w:lineRule="auto"/>
        <w:ind w:left="630"/>
        <w:rPr>
          <w:sz w:val="24"/>
        </w:rPr>
      </w:pPr>
    </w:p>
    <w:p w:rsidR="009877E8" w:rsidRPr="00DD513C" w:rsidRDefault="00A90D3B" w:rsidP="00DD513C">
      <w:pPr>
        <w:tabs>
          <w:tab w:val="left" w:pos="630"/>
        </w:tabs>
        <w:spacing w:line="240" w:lineRule="auto"/>
        <w:ind w:left="567" w:hanging="567"/>
        <w:rPr>
          <w:b/>
          <w:bCs/>
          <w:i/>
          <w:iCs/>
          <w:sz w:val="24"/>
        </w:rPr>
      </w:pPr>
      <w:r w:rsidRPr="00DD513C">
        <w:rPr>
          <w:b/>
          <w:bCs/>
          <w:i/>
          <w:iCs/>
          <w:sz w:val="24"/>
        </w:rPr>
        <w:t xml:space="preserve">(i) </w:t>
      </w:r>
      <w:r w:rsidRPr="00DD513C">
        <w:rPr>
          <w:b/>
          <w:bCs/>
          <w:i/>
          <w:iCs/>
          <w:sz w:val="24"/>
        </w:rPr>
        <w:tab/>
        <w:t>Regarding allegations of violation of the Applicant’s right to</w:t>
      </w:r>
      <w:r w:rsidRPr="00DD513C">
        <w:rPr>
          <w:b/>
          <w:bCs/>
          <w:i/>
          <w:iCs/>
          <w:sz w:val="24"/>
        </w:rPr>
        <w:tab/>
        <w:t>fair and impartial trial in relation to exceeding the competencies of the Supreme Court</w:t>
      </w:r>
    </w:p>
    <w:p w:rsidR="0002656A" w:rsidRPr="00DD513C" w:rsidRDefault="0002656A" w:rsidP="00DD513C">
      <w:pPr>
        <w:tabs>
          <w:tab w:val="left" w:pos="630"/>
        </w:tabs>
        <w:spacing w:line="240" w:lineRule="auto"/>
        <w:rPr>
          <w:b/>
          <w:bCs/>
          <w:i/>
          <w:iCs/>
          <w:sz w:val="24"/>
        </w:rPr>
      </w:pPr>
    </w:p>
    <w:p w:rsidR="009877E8" w:rsidRPr="00DD513C" w:rsidRDefault="00A90D3B" w:rsidP="00DD513C">
      <w:pPr>
        <w:numPr>
          <w:ilvl w:val="0"/>
          <w:numId w:val="4"/>
        </w:numPr>
        <w:tabs>
          <w:tab w:val="clear" w:pos="720"/>
          <w:tab w:val="num" w:pos="630"/>
        </w:tabs>
        <w:spacing w:line="240" w:lineRule="auto"/>
        <w:ind w:left="630" w:hanging="630"/>
        <w:rPr>
          <w:sz w:val="24"/>
        </w:rPr>
      </w:pPr>
      <w:r w:rsidRPr="00DD513C">
        <w:rPr>
          <w:sz w:val="24"/>
        </w:rPr>
        <w:t xml:space="preserve">The Court recalls that the Applicant alleges that the Supreme Court </w:t>
      </w:r>
      <w:r w:rsidR="0002656A" w:rsidRPr="00DD513C">
        <w:rPr>
          <w:sz w:val="24"/>
        </w:rPr>
        <w:t>exceeded</w:t>
      </w:r>
      <w:r w:rsidRPr="00DD513C">
        <w:rPr>
          <w:sz w:val="24"/>
        </w:rPr>
        <w:t xml:space="preserve"> the request for revision when interpreting Article 5 of the Law on Labor</w:t>
      </w:r>
      <w:r w:rsidR="009877E8" w:rsidRPr="00DD513C">
        <w:rPr>
          <w:sz w:val="24"/>
        </w:rPr>
        <w:t>.</w:t>
      </w:r>
    </w:p>
    <w:p w:rsidR="009877E8" w:rsidRPr="00DD513C" w:rsidRDefault="009877E8" w:rsidP="00DD513C">
      <w:pPr>
        <w:tabs>
          <w:tab w:val="num" w:pos="630"/>
        </w:tabs>
        <w:spacing w:line="240" w:lineRule="auto"/>
        <w:ind w:left="630" w:hanging="630"/>
        <w:rPr>
          <w:sz w:val="24"/>
        </w:rPr>
      </w:pPr>
    </w:p>
    <w:p w:rsidR="00A90D3B" w:rsidRPr="00DD513C" w:rsidRDefault="00A90D3B" w:rsidP="00DD513C">
      <w:pPr>
        <w:numPr>
          <w:ilvl w:val="0"/>
          <w:numId w:val="4"/>
        </w:numPr>
        <w:tabs>
          <w:tab w:val="clear" w:pos="720"/>
          <w:tab w:val="num" w:pos="630"/>
        </w:tabs>
        <w:spacing w:line="240" w:lineRule="auto"/>
        <w:ind w:left="630" w:hanging="630"/>
        <w:rPr>
          <w:sz w:val="24"/>
        </w:rPr>
      </w:pPr>
      <w:r w:rsidRPr="00DD513C">
        <w:rPr>
          <w:sz w:val="24"/>
        </w:rPr>
        <w:t xml:space="preserve">Based on the foregoing, regarding the Applicant's specific allegations of exceeding competencies by the Supreme Court, the Court recalls that the specific jurisdiction of each regular court is determined by the relevant legislation. </w:t>
      </w:r>
      <w:r w:rsidR="00A85A2B" w:rsidRPr="00DD513C">
        <w:rPr>
          <w:sz w:val="24"/>
        </w:rPr>
        <w:t>R</w:t>
      </w:r>
      <w:r w:rsidRPr="00DD513C">
        <w:rPr>
          <w:sz w:val="24"/>
        </w:rPr>
        <w:t>egarding the present case, paragraph 2.2 of Article 2 of the Law on Contested Procedure states that “</w:t>
      </w:r>
      <w:r w:rsidRPr="00DD513C">
        <w:rPr>
          <w:i/>
          <w:iCs/>
          <w:sz w:val="24"/>
        </w:rPr>
        <w:t>T</w:t>
      </w:r>
      <w:r w:rsidRPr="00DD513C">
        <w:rPr>
          <w:rFonts w:cs="Arial"/>
          <w:i/>
          <w:iCs/>
          <w:sz w:val="24"/>
          <w:shd w:val="clear" w:color="auto" w:fill="FFFFFF"/>
        </w:rPr>
        <w:t>he court applies the rules set by the substantive law as it deems appropriate and is not obliged to claims of litigants concerning the substantive law</w:t>
      </w:r>
      <w:r w:rsidRPr="00DD513C">
        <w:rPr>
          <w:sz w:val="24"/>
        </w:rPr>
        <w:t>”.</w:t>
      </w:r>
    </w:p>
    <w:p w:rsidR="00A90D3B" w:rsidRPr="00DD513C" w:rsidRDefault="00A90D3B" w:rsidP="00DD513C">
      <w:pPr>
        <w:pStyle w:val="ListParagraph"/>
        <w:tabs>
          <w:tab w:val="num" w:pos="630"/>
        </w:tabs>
        <w:spacing w:line="240" w:lineRule="auto"/>
        <w:rPr>
          <w:sz w:val="24"/>
        </w:rPr>
      </w:pPr>
    </w:p>
    <w:p w:rsidR="009877E8" w:rsidRPr="00DD513C" w:rsidRDefault="009877E8" w:rsidP="00DD513C">
      <w:pPr>
        <w:numPr>
          <w:ilvl w:val="0"/>
          <w:numId w:val="4"/>
        </w:numPr>
        <w:tabs>
          <w:tab w:val="clear" w:pos="720"/>
          <w:tab w:val="num" w:pos="630"/>
        </w:tabs>
        <w:spacing w:line="240" w:lineRule="auto"/>
        <w:ind w:left="630" w:hanging="630"/>
        <w:rPr>
          <w:sz w:val="24"/>
        </w:rPr>
      </w:pPr>
      <w:r w:rsidRPr="00DD513C">
        <w:rPr>
          <w:sz w:val="24"/>
        </w:rPr>
        <w:t xml:space="preserve">With regard to these </w:t>
      </w:r>
      <w:r w:rsidR="00497DDB" w:rsidRPr="00DD513C">
        <w:rPr>
          <w:sz w:val="24"/>
        </w:rPr>
        <w:t>allegations</w:t>
      </w:r>
      <w:r w:rsidRPr="00DD513C">
        <w:rPr>
          <w:sz w:val="24"/>
        </w:rPr>
        <w:t xml:space="preserve"> of the Applicant, the Court notes that the </w:t>
      </w:r>
      <w:r w:rsidR="00350E54" w:rsidRPr="00DD513C">
        <w:rPr>
          <w:sz w:val="24"/>
        </w:rPr>
        <w:t xml:space="preserve">Supreme </w:t>
      </w:r>
      <w:r w:rsidRPr="00DD513C">
        <w:rPr>
          <w:sz w:val="24"/>
        </w:rPr>
        <w:t xml:space="preserve"> Court reasoned that </w:t>
      </w:r>
      <w:r w:rsidR="00497DDB" w:rsidRPr="00DD513C">
        <w:rPr>
          <w:sz w:val="24"/>
        </w:rPr>
        <w:t>“</w:t>
      </w:r>
      <w:r w:rsidR="00350E54" w:rsidRPr="00DD513C">
        <w:rPr>
          <w:i/>
          <w:iCs/>
          <w:sz w:val="24"/>
        </w:rPr>
        <w:t>the claimant with the respondent's predecessor was employed</w:t>
      </w:r>
      <w:r w:rsidR="00A85A2B" w:rsidRPr="00DD513C">
        <w:rPr>
          <w:i/>
          <w:iCs/>
          <w:sz w:val="24"/>
        </w:rPr>
        <w:t xml:space="preserve"> for a fix period of time </w:t>
      </w:r>
      <w:r w:rsidR="00350E54" w:rsidRPr="00DD513C">
        <w:rPr>
          <w:i/>
          <w:iCs/>
          <w:sz w:val="24"/>
        </w:rPr>
        <w:t xml:space="preserve"> from </w:t>
      </w:r>
      <w:r w:rsidR="00A85A2B" w:rsidRPr="00DD513C">
        <w:rPr>
          <w:i/>
          <w:iCs/>
          <w:sz w:val="24"/>
          <w:lang w:val="sq-AL"/>
        </w:rPr>
        <w:t xml:space="preserve">14.02.2005 </w:t>
      </w:r>
      <w:r w:rsidR="00350E54" w:rsidRPr="00DD513C">
        <w:rPr>
          <w:i/>
          <w:iCs/>
          <w:sz w:val="24"/>
        </w:rPr>
        <w:t>until 3.04.201</w:t>
      </w:r>
      <w:r w:rsidR="00A85A2B" w:rsidRPr="00DD513C">
        <w:rPr>
          <w:i/>
          <w:iCs/>
          <w:sz w:val="24"/>
        </w:rPr>
        <w:t>1</w:t>
      </w:r>
      <w:r w:rsidR="00350E54" w:rsidRPr="00DD513C">
        <w:rPr>
          <w:i/>
          <w:iCs/>
          <w:sz w:val="24"/>
        </w:rPr>
        <w:t xml:space="preserve">, </w:t>
      </w:r>
      <w:r w:rsidR="00A85A2B" w:rsidRPr="00DD513C">
        <w:rPr>
          <w:i/>
          <w:iCs/>
          <w:sz w:val="24"/>
        </w:rPr>
        <w:t xml:space="preserve">when the PIA </w:t>
      </w:r>
      <w:r w:rsidR="00A85A2B" w:rsidRPr="00DD513C">
        <w:rPr>
          <w:i/>
          <w:iCs/>
          <w:sz w:val="24"/>
          <w:lang w:val="sq-AL"/>
        </w:rPr>
        <w:t xml:space="preserve">"Adem Jashari" was griven in </w:t>
      </w:r>
      <w:r w:rsidR="00A85A2B" w:rsidRPr="00DD513C">
        <w:rPr>
          <w:i/>
          <w:iCs/>
          <w:sz w:val="24"/>
        </w:rPr>
        <w:t xml:space="preserve">concession, and further when by the last contract, the employment relationship was extended until 03.04 2014,  </w:t>
      </w:r>
      <w:r w:rsidR="00350E54" w:rsidRPr="00DD513C">
        <w:rPr>
          <w:i/>
          <w:iCs/>
          <w:sz w:val="24"/>
        </w:rPr>
        <w:t xml:space="preserve">although the working place was of a permanent employment nature. Such </w:t>
      </w:r>
      <w:r w:rsidR="00350E54" w:rsidRPr="00DD513C">
        <w:rPr>
          <w:i/>
          <w:iCs/>
          <w:sz w:val="24"/>
        </w:rPr>
        <w:lastRenderedPageBreak/>
        <w:t xml:space="preserve">contracts, according to the assessment of this Court, are contrary to the principle of </w:t>
      </w:r>
      <w:r w:rsidR="00350E54" w:rsidRPr="00DD513C">
        <w:rPr>
          <w:rFonts w:cs="Arial"/>
          <w:i/>
          <w:iCs/>
          <w:color w:val="000000"/>
          <w:sz w:val="24"/>
        </w:rPr>
        <w:t xml:space="preserve">conscientiousness </w:t>
      </w:r>
      <w:r w:rsidR="00350E54" w:rsidRPr="00DD513C">
        <w:rPr>
          <w:i/>
          <w:iCs/>
          <w:sz w:val="24"/>
        </w:rPr>
        <w:t xml:space="preserve">and honesty, where for </w:t>
      </w:r>
      <w:r w:rsidR="00A85A2B" w:rsidRPr="00DD513C">
        <w:rPr>
          <w:i/>
          <w:iCs/>
          <w:sz w:val="24"/>
        </w:rPr>
        <w:t>9</w:t>
      </w:r>
      <w:r w:rsidR="00350E54" w:rsidRPr="00DD513C">
        <w:rPr>
          <w:i/>
          <w:iCs/>
          <w:sz w:val="24"/>
        </w:rPr>
        <w:t xml:space="preserve"> years and </w:t>
      </w:r>
      <w:r w:rsidR="00A85A2B" w:rsidRPr="00DD513C">
        <w:rPr>
          <w:i/>
          <w:iCs/>
          <w:sz w:val="24"/>
        </w:rPr>
        <w:t>2</w:t>
      </w:r>
      <w:r w:rsidR="00350E54" w:rsidRPr="00DD513C">
        <w:rPr>
          <w:i/>
          <w:iCs/>
          <w:sz w:val="24"/>
        </w:rPr>
        <w:t xml:space="preserve"> months the claimant is kept in uncertain legal situation of the employment relationship, with the extension of the employment relationship for a certain time and finally notice the termination of the employment contract which has n</w:t>
      </w:r>
      <w:r w:rsidR="000F55CF" w:rsidRPr="00DD513C">
        <w:rPr>
          <w:i/>
          <w:iCs/>
          <w:sz w:val="24"/>
        </w:rPr>
        <w:t>o legal basis. The employer can</w:t>
      </w:r>
      <w:r w:rsidR="00350E54" w:rsidRPr="00DD513C">
        <w:rPr>
          <w:i/>
          <w:iCs/>
          <w:sz w:val="24"/>
        </w:rPr>
        <w:t xml:space="preserve">not waive the rights of employees deriving from the </w:t>
      </w:r>
      <w:r w:rsidR="00A85A2B" w:rsidRPr="00DD513C">
        <w:rPr>
          <w:i/>
          <w:iCs/>
          <w:sz w:val="24"/>
        </w:rPr>
        <w:t>respective</w:t>
      </w:r>
      <w:r w:rsidR="00350E54" w:rsidRPr="00DD513C">
        <w:rPr>
          <w:i/>
          <w:iCs/>
          <w:sz w:val="24"/>
        </w:rPr>
        <w:t xml:space="preserve"> provisions of Article 5 par. 1 of the </w:t>
      </w:r>
      <w:r w:rsidR="000F55CF" w:rsidRPr="00DD513C">
        <w:rPr>
          <w:i/>
          <w:iCs/>
          <w:sz w:val="24"/>
        </w:rPr>
        <w:t xml:space="preserve">Law on </w:t>
      </w:r>
      <w:r w:rsidR="00350E54" w:rsidRPr="00DD513C">
        <w:rPr>
          <w:i/>
          <w:iCs/>
          <w:sz w:val="24"/>
        </w:rPr>
        <w:t xml:space="preserve">Labor, which provides that any discrimination </w:t>
      </w:r>
      <w:r w:rsidR="000F55CF" w:rsidRPr="00DD513C">
        <w:rPr>
          <w:i/>
          <w:iCs/>
          <w:sz w:val="24"/>
        </w:rPr>
        <w:t>is prohibited in employment and occupation in respect of recruitment, training, promotion of employment, terms and conditions of employment, disciplinary measures, cancellation of the contract of employment or other matters arising out of the employment relationship and regulated by Law and other Laws into force</w:t>
      </w:r>
      <w:r w:rsidR="00350E54" w:rsidRPr="00DD513C">
        <w:rPr>
          <w:i/>
          <w:iCs/>
          <w:sz w:val="24"/>
        </w:rPr>
        <w:t xml:space="preserve">. The respondent failed to </w:t>
      </w:r>
      <w:r w:rsidR="000F55CF" w:rsidRPr="00DD513C">
        <w:rPr>
          <w:i/>
          <w:iCs/>
          <w:sz w:val="24"/>
        </w:rPr>
        <w:t>substantiate</w:t>
      </w:r>
      <w:r w:rsidR="00350E54" w:rsidRPr="00DD513C">
        <w:rPr>
          <w:i/>
          <w:iCs/>
          <w:sz w:val="24"/>
        </w:rPr>
        <w:t xml:space="preserve"> </w:t>
      </w:r>
      <w:r w:rsidR="000F55CF" w:rsidRPr="00DD513C">
        <w:rPr>
          <w:i/>
          <w:iCs/>
          <w:sz w:val="24"/>
        </w:rPr>
        <w:t xml:space="preserve">the fact </w:t>
      </w:r>
      <w:r w:rsidR="00350E54" w:rsidRPr="00DD513C">
        <w:rPr>
          <w:i/>
          <w:iCs/>
          <w:sz w:val="24"/>
        </w:rPr>
        <w:t xml:space="preserve">that during the implementation of the PPP Agreement between the respondent and the Republic of Kosovo, </w:t>
      </w:r>
      <w:r w:rsidR="000F55CF" w:rsidRPr="00DD513C">
        <w:rPr>
          <w:i/>
          <w:iCs/>
          <w:sz w:val="24"/>
        </w:rPr>
        <w:t>it has</w:t>
      </w:r>
      <w:r w:rsidR="00350E54" w:rsidRPr="00DD513C">
        <w:rPr>
          <w:i/>
          <w:iCs/>
          <w:sz w:val="24"/>
        </w:rPr>
        <w:t xml:space="preserve"> correctly applied the provision of Article 5.1 of the </w:t>
      </w:r>
      <w:r w:rsidR="000F55CF" w:rsidRPr="00DD513C">
        <w:rPr>
          <w:i/>
          <w:iCs/>
          <w:sz w:val="24"/>
        </w:rPr>
        <w:t xml:space="preserve">Law on </w:t>
      </w:r>
      <w:r w:rsidR="00350E54" w:rsidRPr="00DD513C">
        <w:rPr>
          <w:i/>
          <w:iCs/>
          <w:sz w:val="24"/>
        </w:rPr>
        <w:t>Labor</w:t>
      </w:r>
      <w:r w:rsidR="00497DDB" w:rsidRPr="00DD513C">
        <w:rPr>
          <w:sz w:val="24"/>
        </w:rPr>
        <w:t>”</w:t>
      </w:r>
      <w:r w:rsidRPr="00DD513C">
        <w:rPr>
          <w:sz w:val="24"/>
        </w:rPr>
        <w:t>.</w:t>
      </w:r>
    </w:p>
    <w:p w:rsidR="009877E8" w:rsidRPr="00DD513C" w:rsidRDefault="009877E8" w:rsidP="00DD513C">
      <w:pPr>
        <w:tabs>
          <w:tab w:val="num" w:pos="630"/>
        </w:tabs>
        <w:spacing w:line="240" w:lineRule="auto"/>
        <w:ind w:left="630" w:hanging="630"/>
        <w:rPr>
          <w:sz w:val="24"/>
        </w:rPr>
      </w:pPr>
    </w:p>
    <w:p w:rsidR="009877E8" w:rsidRPr="00DD513C" w:rsidRDefault="000F55CF" w:rsidP="00DD513C">
      <w:pPr>
        <w:numPr>
          <w:ilvl w:val="0"/>
          <w:numId w:val="4"/>
        </w:numPr>
        <w:tabs>
          <w:tab w:val="clear" w:pos="720"/>
          <w:tab w:val="num" w:pos="630"/>
        </w:tabs>
        <w:spacing w:line="240" w:lineRule="auto"/>
        <w:ind w:left="630" w:hanging="630"/>
        <w:rPr>
          <w:sz w:val="24"/>
        </w:rPr>
      </w:pPr>
      <w:r w:rsidRPr="00DD513C">
        <w:rPr>
          <w:sz w:val="24"/>
        </w:rPr>
        <w:t>Therefore, the Court finds that the Applicant's allegations of violation of the right to fair trial regarding the exceeding of the competencies of the Supreme Court are ungrounded on constitutional basis</w:t>
      </w:r>
      <w:r w:rsidR="009877E8" w:rsidRPr="00DD513C">
        <w:rPr>
          <w:sz w:val="24"/>
        </w:rPr>
        <w:t>.</w:t>
      </w:r>
    </w:p>
    <w:p w:rsidR="000F55CF" w:rsidRPr="00DD513C" w:rsidRDefault="000F55CF" w:rsidP="00DD513C">
      <w:pPr>
        <w:pStyle w:val="ListParagraph"/>
        <w:tabs>
          <w:tab w:val="num" w:pos="630"/>
        </w:tabs>
        <w:spacing w:line="240" w:lineRule="auto"/>
        <w:rPr>
          <w:sz w:val="24"/>
        </w:rPr>
      </w:pPr>
    </w:p>
    <w:p w:rsidR="000F55CF" w:rsidRPr="00DD513C" w:rsidRDefault="000F55CF" w:rsidP="00DD513C">
      <w:pPr>
        <w:tabs>
          <w:tab w:val="num" w:pos="630"/>
        </w:tabs>
        <w:spacing w:line="240" w:lineRule="auto"/>
        <w:ind w:left="630" w:hanging="630"/>
        <w:rPr>
          <w:b/>
          <w:bCs/>
          <w:i/>
          <w:iCs/>
          <w:sz w:val="24"/>
        </w:rPr>
      </w:pPr>
      <w:r w:rsidRPr="00DD513C">
        <w:rPr>
          <w:b/>
          <w:bCs/>
          <w:i/>
          <w:iCs/>
          <w:sz w:val="24"/>
        </w:rPr>
        <w:t xml:space="preserve">(ii) </w:t>
      </w:r>
      <w:r w:rsidRPr="00DD513C">
        <w:rPr>
          <w:b/>
          <w:bCs/>
          <w:i/>
          <w:iCs/>
          <w:sz w:val="24"/>
        </w:rPr>
        <w:tab/>
        <w:t xml:space="preserve">Regarding the allegations of violation of the </w:t>
      </w:r>
      <w:r w:rsidR="00010218" w:rsidRPr="00DD513C">
        <w:rPr>
          <w:b/>
          <w:bCs/>
          <w:i/>
          <w:iCs/>
          <w:sz w:val="24"/>
        </w:rPr>
        <w:t xml:space="preserve">Applicant’s </w:t>
      </w:r>
      <w:r w:rsidRPr="00DD513C">
        <w:rPr>
          <w:b/>
          <w:bCs/>
          <w:i/>
          <w:iCs/>
          <w:sz w:val="24"/>
        </w:rPr>
        <w:t>right to fair and impartial trial in relation to unreasoned decision</w:t>
      </w:r>
    </w:p>
    <w:p w:rsidR="009877E8" w:rsidRPr="00DD513C" w:rsidRDefault="009877E8" w:rsidP="00DD513C">
      <w:pPr>
        <w:tabs>
          <w:tab w:val="num" w:pos="630"/>
        </w:tabs>
        <w:spacing w:line="240" w:lineRule="auto"/>
        <w:ind w:left="630" w:hanging="630"/>
        <w:rPr>
          <w:sz w:val="24"/>
        </w:rPr>
      </w:pPr>
    </w:p>
    <w:p w:rsidR="003312CB" w:rsidRPr="00DD513C" w:rsidRDefault="003312CB" w:rsidP="00DD513C">
      <w:pPr>
        <w:numPr>
          <w:ilvl w:val="0"/>
          <w:numId w:val="4"/>
        </w:numPr>
        <w:tabs>
          <w:tab w:val="clear" w:pos="720"/>
          <w:tab w:val="num" w:pos="630"/>
        </w:tabs>
        <w:spacing w:line="240" w:lineRule="auto"/>
        <w:ind w:left="630" w:hanging="630"/>
        <w:rPr>
          <w:sz w:val="24"/>
        </w:rPr>
      </w:pPr>
      <w:r w:rsidRPr="00DD513C">
        <w:rPr>
          <w:sz w:val="24"/>
        </w:rPr>
        <w:t xml:space="preserve">In this respect, the Court first notes that a basic function of a reasoned decision is to demonstrate to the parties that they have been heard. In addition, a reasoned decision affords a party the possibility to appeal against it, as well as the possibility of having the decision reviewed by an appellate body. It is only by giving a reasoned decision that there can be public scrutiny of the administration of justice. (See </w:t>
      </w:r>
      <w:r w:rsidRPr="00DD513C">
        <w:rPr>
          <w:i/>
          <w:iCs/>
          <w:sz w:val="24"/>
          <w:lang w:val="sq-AL"/>
        </w:rPr>
        <w:t xml:space="preserve">mutatis mutandis, </w:t>
      </w:r>
      <w:r w:rsidRPr="00DD513C">
        <w:rPr>
          <w:sz w:val="24"/>
        </w:rPr>
        <w:t xml:space="preserve"> ECtHR cases,  </w:t>
      </w:r>
      <w:r w:rsidRPr="00DD513C">
        <w:rPr>
          <w:i/>
          <w:sz w:val="24"/>
        </w:rPr>
        <w:t>Hirvisaari v. Finland</w:t>
      </w:r>
      <w:r w:rsidRPr="00DD513C">
        <w:rPr>
          <w:sz w:val="24"/>
        </w:rPr>
        <w:t xml:space="preserve">, no. 49684/99, Judgment of 27 September 2001, paragraph 30; </w:t>
      </w:r>
      <w:r w:rsidRPr="00DD513C">
        <w:rPr>
          <w:i/>
          <w:sz w:val="24"/>
        </w:rPr>
        <w:t>see also</w:t>
      </w:r>
      <w:r w:rsidRPr="00DD513C">
        <w:rPr>
          <w:sz w:val="24"/>
        </w:rPr>
        <w:t xml:space="preserve"> </w:t>
      </w:r>
      <w:r w:rsidRPr="00DD513C">
        <w:rPr>
          <w:i/>
          <w:iCs/>
          <w:sz w:val="24"/>
        </w:rPr>
        <w:t>Suominen v. Finland</w:t>
      </w:r>
      <w:r w:rsidRPr="00DD513C">
        <w:rPr>
          <w:sz w:val="24"/>
        </w:rPr>
        <w:t xml:space="preserve">, application no. 37801/97, Judgment of 1 July 2003, paragraph 37; see also the cases of the Constitutional Court, </w:t>
      </w:r>
      <w:r w:rsidRPr="00DD513C">
        <w:rPr>
          <w:i/>
          <w:iCs/>
          <w:sz w:val="24"/>
        </w:rPr>
        <w:t>IKK Classic</w:t>
      </w:r>
      <w:r w:rsidRPr="00DD513C">
        <w:rPr>
          <w:sz w:val="24"/>
        </w:rPr>
        <w:t xml:space="preserve"> Judgment of  December 2017, paragraph 46).</w:t>
      </w:r>
    </w:p>
    <w:p w:rsidR="009877E8" w:rsidRPr="00DD513C" w:rsidRDefault="009877E8" w:rsidP="00DD513C">
      <w:pPr>
        <w:tabs>
          <w:tab w:val="num" w:pos="630"/>
        </w:tabs>
        <w:spacing w:line="240" w:lineRule="auto"/>
        <w:ind w:left="630" w:hanging="630"/>
        <w:rPr>
          <w:sz w:val="24"/>
        </w:rPr>
      </w:pPr>
    </w:p>
    <w:p w:rsidR="00CD41A3" w:rsidRPr="00DD513C" w:rsidRDefault="00D73B03" w:rsidP="00DD513C">
      <w:pPr>
        <w:numPr>
          <w:ilvl w:val="0"/>
          <w:numId w:val="4"/>
        </w:numPr>
        <w:tabs>
          <w:tab w:val="clear" w:pos="720"/>
          <w:tab w:val="num" w:pos="630"/>
        </w:tabs>
        <w:spacing w:line="240" w:lineRule="auto"/>
        <w:ind w:left="630" w:hanging="630"/>
        <w:rPr>
          <w:i/>
          <w:color w:val="000000"/>
          <w:sz w:val="24"/>
        </w:rPr>
      </w:pPr>
      <w:r w:rsidRPr="00DD513C">
        <w:rPr>
          <w:sz w:val="24"/>
        </w:rPr>
        <w:t xml:space="preserve">The Court notes that, while it is not necessary for the Court to deal with any point raised in the argument (see also the case of the ECtHR, </w:t>
      </w:r>
      <w:r w:rsidRPr="00DD513C">
        <w:rPr>
          <w:i/>
          <w:iCs/>
          <w:sz w:val="24"/>
        </w:rPr>
        <w:t>Van de Hurk v. the Netherlands</w:t>
      </w:r>
      <w:r w:rsidRPr="00DD513C">
        <w:rPr>
          <w:sz w:val="24"/>
        </w:rPr>
        <w:t xml:space="preserve">, Judgment of 19 April 1994, paragraph 61), the main arguments of the Applicants should be addressed (See ECtHR cases, </w:t>
      </w:r>
      <w:r w:rsidRPr="00DD513C">
        <w:rPr>
          <w:i/>
          <w:iCs/>
          <w:sz w:val="24"/>
        </w:rPr>
        <w:t>Buzescu v. Romania</w:t>
      </w:r>
      <w:r w:rsidRPr="00DD513C">
        <w:rPr>
          <w:sz w:val="24"/>
        </w:rPr>
        <w:t xml:space="preserve">, No. 61302/00, Judgment of 24 May 2005 and </w:t>
      </w:r>
      <w:r w:rsidRPr="00DD513C">
        <w:rPr>
          <w:i/>
          <w:iCs/>
          <w:sz w:val="24"/>
        </w:rPr>
        <w:t>Pronina v. Ukraine</w:t>
      </w:r>
      <w:r w:rsidRPr="00DD513C">
        <w:rPr>
          <w:sz w:val="24"/>
        </w:rPr>
        <w:t xml:space="preserve">, No. 63566/00, Judgment of 18 July 2006). In addition, giving a reason for a decision that is not a good reason in the law will not meet the criteria of Article 6 (See ECtHR case </w:t>
      </w:r>
      <w:r w:rsidRPr="00DD513C">
        <w:rPr>
          <w:i/>
          <w:iCs/>
          <w:sz w:val="24"/>
        </w:rPr>
        <w:t>De Moor v. Belgium</w:t>
      </w:r>
      <w:r w:rsidRPr="00DD513C">
        <w:rPr>
          <w:sz w:val="24"/>
        </w:rPr>
        <w:t xml:space="preserve">, No. 16997/90, Judgment of 23 June 1994 as well as the case of the Constitutional Court </w:t>
      </w:r>
      <w:r w:rsidRPr="00DD513C">
        <w:rPr>
          <w:i/>
          <w:iCs/>
          <w:sz w:val="24"/>
        </w:rPr>
        <w:t>IKK Classic</w:t>
      </w:r>
      <w:r w:rsidRPr="00DD513C">
        <w:rPr>
          <w:sz w:val="24"/>
        </w:rPr>
        <w:t>, cited above, paragraph 51).</w:t>
      </w:r>
    </w:p>
    <w:p w:rsidR="009877E8" w:rsidRPr="00DD513C" w:rsidRDefault="009877E8" w:rsidP="00DD513C">
      <w:pPr>
        <w:tabs>
          <w:tab w:val="num" w:pos="630"/>
        </w:tabs>
        <w:spacing w:line="240" w:lineRule="auto"/>
        <w:ind w:left="630"/>
        <w:rPr>
          <w:sz w:val="24"/>
        </w:rPr>
      </w:pPr>
    </w:p>
    <w:p w:rsidR="009877E8" w:rsidRPr="00DD513C" w:rsidRDefault="00D73B03" w:rsidP="00DD513C">
      <w:pPr>
        <w:numPr>
          <w:ilvl w:val="0"/>
          <w:numId w:val="4"/>
        </w:numPr>
        <w:tabs>
          <w:tab w:val="clear" w:pos="720"/>
          <w:tab w:val="num" w:pos="630"/>
        </w:tabs>
        <w:spacing w:line="240" w:lineRule="auto"/>
        <w:ind w:left="630" w:hanging="630"/>
        <w:rPr>
          <w:i/>
          <w:iCs/>
          <w:sz w:val="24"/>
        </w:rPr>
      </w:pPr>
      <w:r w:rsidRPr="00DD513C">
        <w:rPr>
          <w:sz w:val="24"/>
        </w:rPr>
        <w:t xml:space="preserve">The Court recalls that the Supreme Court in its Judgment reasoned that, having regard to this factual situation of the case, the Supreme Court has “… </w:t>
      </w:r>
      <w:r w:rsidRPr="00DD513C">
        <w:rPr>
          <w:i/>
          <w:iCs/>
          <w:sz w:val="24"/>
        </w:rPr>
        <w:t>found that the lower courts erroneously applied the substantive law (224.1 of LCP) when they found that the notice of the respondent for termination of the employment contract is lawful</w:t>
      </w:r>
      <w:r w:rsidR="00A85A2B" w:rsidRPr="00DD513C">
        <w:rPr>
          <w:i/>
          <w:iCs/>
          <w:sz w:val="24"/>
        </w:rPr>
        <w:t>,</w:t>
      </w:r>
      <w:r w:rsidRPr="00DD513C">
        <w:rPr>
          <w:i/>
          <w:iCs/>
          <w:sz w:val="24"/>
        </w:rPr>
        <w:t xml:space="preserve"> because the employment relationship was terminated in accordance with Article 67 of the Law on Labor, and in the procedure established by Article 71, paragraph 2 of the Law on Labor and Article 1.1 of </w:t>
      </w:r>
      <w:r w:rsidRPr="00DD513C">
        <w:rPr>
          <w:i/>
          <w:iCs/>
          <w:sz w:val="24"/>
        </w:rPr>
        <w:lastRenderedPageBreak/>
        <w:t xml:space="preserve">the employment contract, which was for a </w:t>
      </w:r>
      <w:r w:rsidR="00B8192C" w:rsidRPr="00DD513C">
        <w:rPr>
          <w:i/>
          <w:iCs/>
          <w:sz w:val="24"/>
        </w:rPr>
        <w:t xml:space="preserve">fix period of time from </w:t>
      </w:r>
      <w:r w:rsidR="00B8192C" w:rsidRPr="00DD513C">
        <w:rPr>
          <w:i/>
          <w:sz w:val="24"/>
        </w:rPr>
        <w:t xml:space="preserve">1.11.2013 </w:t>
      </w:r>
      <w:r w:rsidR="00B8192C" w:rsidRPr="00DD513C">
        <w:rPr>
          <w:i/>
          <w:iCs/>
          <w:color w:val="000000"/>
          <w:sz w:val="24"/>
        </w:rPr>
        <w:t xml:space="preserve">until </w:t>
      </w:r>
      <w:r w:rsidR="00B8192C" w:rsidRPr="00DD513C">
        <w:rPr>
          <w:i/>
          <w:sz w:val="24"/>
        </w:rPr>
        <w:t>03.04.2014</w:t>
      </w:r>
      <w:r w:rsidRPr="00DD513C">
        <w:rPr>
          <w:i/>
          <w:iCs/>
          <w:sz w:val="24"/>
        </w:rPr>
        <w:t>, and that thereafter there is no obligation towards the claimant. Such a conclusion of the first instance court is not in accordance with the case file, because the evidence contained therein, namely from the written notification of the respondent of 3.03.2014, it follows that the claimant’s  employment relationship has not been extended in accordance with policies of the Board of Directors, the Law on Labor and the decision on future human resources planning and the P</w:t>
      </w:r>
      <w:r w:rsidR="00B8192C" w:rsidRPr="00DD513C">
        <w:rPr>
          <w:i/>
          <w:iCs/>
          <w:sz w:val="24"/>
        </w:rPr>
        <w:t xml:space="preserve">ublic-Private Partnership </w:t>
      </w:r>
      <w:r w:rsidRPr="00DD513C">
        <w:rPr>
          <w:i/>
          <w:iCs/>
          <w:sz w:val="24"/>
        </w:rPr>
        <w:t>Agreement</w:t>
      </w:r>
      <w:r w:rsidR="00B8192C" w:rsidRPr="00DD513C">
        <w:rPr>
          <w:i/>
          <w:iCs/>
          <w:sz w:val="24"/>
        </w:rPr>
        <w:t xml:space="preserve"> </w:t>
      </w:r>
      <w:r w:rsidR="00B8192C" w:rsidRPr="00DD513C">
        <w:rPr>
          <w:i/>
          <w:iCs/>
          <w:color w:val="000000"/>
          <w:sz w:val="24"/>
        </w:rPr>
        <w:t>(PPP),</w:t>
      </w:r>
      <w:r w:rsidRPr="00DD513C">
        <w:rPr>
          <w:i/>
          <w:iCs/>
          <w:sz w:val="24"/>
        </w:rPr>
        <w:t>, which was concluded between the respondent and the Republic of Kosovo</w:t>
      </w:r>
      <w:r w:rsidR="00B8192C" w:rsidRPr="00DD513C">
        <w:rPr>
          <w:i/>
          <w:iCs/>
          <w:sz w:val="24"/>
        </w:rPr>
        <w:t>, as stated in this notification</w:t>
      </w:r>
      <w:r w:rsidR="002F4F9D" w:rsidRPr="00DD513C">
        <w:rPr>
          <w:i/>
          <w:iCs/>
          <w:sz w:val="24"/>
        </w:rPr>
        <w:t>”</w:t>
      </w:r>
      <w:r w:rsidR="009877E8" w:rsidRPr="00DD513C">
        <w:rPr>
          <w:i/>
          <w:iCs/>
          <w:sz w:val="24"/>
        </w:rPr>
        <w:t>.</w:t>
      </w:r>
    </w:p>
    <w:p w:rsidR="009877E8" w:rsidRPr="00DD513C" w:rsidRDefault="009877E8" w:rsidP="00DD513C">
      <w:pPr>
        <w:tabs>
          <w:tab w:val="num" w:pos="630"/>
        </w:tabs>
        <w:spacing w:line="240" w:lineRule="auto"/>
        <w:ind w:left="630"/>
        <w:rPr>
          <w:sz w:val="24"/>
        </w:rPr>
      </w:pPr>
    </w:p>
    <w:p w:rsidR="009877E8" w:rsidRPr="00DD513C" w:rsidRDefault="00AA2B85" w:rsidP="00DD513C">
      <w:pPr>
        <w:numPr>
          <w:ilvl w:val="0"/>
          <w:numId w:val="4"/>
        </w:numPr>
        <w:tabs>
          <w:tab w:val="clear" w:pos="720"/>
          <w:tab w:val="num" w:pos="630"/>
        </w:tabs>
        <w:spacing w:line="240" w:lineRule="auto"/>
        <w:ind w:left="630" w:hanging="630"/>
        <w:rPr>
          <w:sz w:val="24"/>
        </w:rPr>
      </w:pPr>
      <w:r w:rsidRPr="00DD513C">
        <w:rPr>
          <w:sz w:val="24"/>
        </w:rPr>
        <w:t xml:space="preserve">The Supreme Court explained to the Applicant that he failed to prove all </w:t>
      </w:r>
      <w:r w:rsidR="00B8192C" w:rsidRPr="00DD513C">
        <w:rPr>
          <w:sz w:val="24"/>
        </w:rPr>
        <w:t>its</w:t>
      </w:r>
      <w:r w:rsidRPr="00DD513C">
        <w:rPr>
          <w:sz w:val="24"/>
        </w:rPr>
        <w:t xml:space="preserve"> allegations regarding the legality of the non-extension of the employment contract and the confirmation of the relevant facts, namely, whether </w:t>
      </w:r>
      <w:r w:rsidR="00B8192C" w:rsidRPr="00DD513C">
        <w:rPr>
          <w:sz w:val="24"/>
        </w:rPr>
        <w:t>it</w:t>
      </w:r>
      <w:r w:rsidRPr="00DD513C">
        <w:rPr>
          <w:sz w:val="24"/>
        </w:rPr>
        <w:t xml:space="preserve"> compiled a detailed operational plan in which it would be determined which services could be reduced and what involvement would have been reduced in order to establish that the evidence submitted presents a valid legal basis for non-</w:t>
      </w:r>
      <w:r w:rsidR="00B8192C" w:rsidRPr="00DD513C">
        <w:rPr>
          <w:sz w:val="24"/>
        </w:rPr>
        <w:t>renewal</w:t>
      </w:r>
      <w:r w:rsidRPr="00DD513C">
        <w:rPr>
          <w:sz w:val="24"/>
        </w:rPr>
        <w:t xml:space="preserve"> of the employment contract</w:t>
      </w:r>
      <w:r w:rsidR="009877E8" w:rsidRPr="00DD513C">
        <w:rPr>
          <w:sz w:val="24"/>
        </w:rPr>
        <w:t>.</w:t>
      </w:r>
    </w:p>
    <w:p w:rsidR="009877E8" w:rsidRPr="00DD513C" w:rsidRDefault="009877E8" w:rsidP="00DD513C">
      <w:pPr>
        <w:tabs>
          <w:tab w:val="num" w:pos="630"/>
        </w:tabs>
        <w:spacing w:line="240" w:lineRule="auto"/>
        <w:ind w:left="630" w:hanging="630"/>
        <w:rPr>
          <w:sz w:val="24"/>
        </w:rPr>
      </w:pPr>
    </w:p>
    <w:p w:rsidR="00342A3C" w:rsidRPr="00DD513C" w:rsidRDefault="00C05C77" w:rsidP="00DD513C">
      <w:pPr>
        <w:numPr>
          <w:ilvl w:val="0"/>
          <w:numId w:val="4"/>
        </w:numPr>
        <w:tabs>
          <w:tab w:val="clear" w:pos="720"/>
          <w:tab w:val="num" w:pos="630"/>
        </w:tabs>
        <w:spacing w:line="240" w:lineRule="auto"/>
        <w:ind w:left="630" w:hanging="630"/>
        <w:rPr>
          <w:rFonts w:eastAsia="Batang" w:cs="Arial"/>
          <w:b/>
          <w:i/>
          <w:iCs/>
          <w:sz w:val="24"/>
        </w:rPr>
      </w:pPr>
      <w:r w:rsidRPr="00DD513C">
        <w:rPr>
          <w:sz w:val="24"/>
        </w:rPr>
        <w:t xml:space="preserve">The Court </w:t>
      </w:r>
      <w:r w:rsidR="00AA2B85" w:rsidRPr="00DD513C">
        <w:rPr>
          <w:sz w:val="24"/>
        </w:rPr>
        <w:t xml:space="preserve">further explained that: </w:t>
      </w:r>
      <w:r w:rsidR="00342A3C" w:rsidRPr="00DD513C">
        <w:rPr>
          <w:i/>
          <w:iCs/>
          <w:sz w:val="24"/>
        </w:rPr>
        <w:t>”</w:t>
      </w:r>
      <w:r w:rsidR="00AA2B85" w:rsidRPr="00DD513C">
        <w:rPr>
          <w:i/>
          <w:iCs/>
          <w:sz w:val="24"/>
        </w:rPr>
        <w:t>…</w:t>
      </w:r>
      <w:r w:rsidR="00AA2B85" w:rsidRPr="00DD513C">
        <w:rPr>
          <w:sz w:val="24"/>
        </w:rPr>
        <w:t xml:space="preserve"> </w:t>
      </w:r>
      <w:r w:rsidR="00AA2B85" w:rsidRPr="00DD513C">
        <w:rPr>
          <w:i/>
          <w:iCs/>
          <w:sz w:val="24"/>
        </w:rPr>
        <w:t xml:space="preserve">it does not accept as fair and lawful the legal position of the court of first instance that the claimant was in employment relationship for a </w:t>
      </w:r>
      <w:r w:rsidR="00B8192C" w:rsidRPr="00DD513C">
        <w:rPr>
          <w:i/>
          <w:iCs/>
          <w:sz w:val="24"/>
        </w:rPr>
        <w:t>fix</w:t>
      </w:r>
      <w:r w:rsidR="00AA2B85" w:rsidRPr="00DD513C">
        <w:rPr>
          <w:i/>
          <w:iCs/>
          <w:sz w:val="24"/>
        </w:rPr>
        <w:t xml:space="preserve"> period of time and that </w:t>
      </w:r>
      <w:r w:rsidR="00B8192C" w:rsidRPr="00DD513C">
        <w:rPr>
          <w:i/>
          <w:iCs/>
          <w:sz w:val="24"/>
        </w:rPr>
        <w:t>10</w:t>
      </w:r>
      <w:r w:rsidR="00AA2B85" w:rsidRPr="00DD513C">
        <w:rPr>
          <w:i/>
          <w:iCs/>
          <w:sz w:val="24"/>
        </w:rPr>
        <w:t xml:space="preserve"> years have not elapsed within the meaning of Article 10.5 of the Law on Labor, so that the claimant’s employment relationship be treated for an indefinite period because the subject of the claimant’s statement of claim is not to determine the existence of the claimant’s employment relationship for an indefinite period of time but to assess the legality of the notice of termination of the employment contract, which was in violation of the Law on Labor, which is the basic law governing the employment relations in Kosovo, where the bases and procedures for termination of a worker's employment relationship were determined, which the respondent did not respect in the case of non-renewal of the claimant’s employment contract, and as a consequence it is unlawful</w:t>
      </w:r>
      <w:r w:rsidR="00010218" w:rsidRPr="00DD513C">
        <w:rPr>
          <w:i/>
          <w:iCs/>
          <w:sz w:val="24"/>
        </w:rPr>
        <w:t>”</w:t>
      </w:r>
      <w:r w:rsidR="00AA2B85" w:rsidRPr="00DD513C">
        <w:rPr>
          <w:i/>
          <w:iCs/>
          <w:sz w:val="24"/>
        </w:rPr>
        <w:t xml:space="preserve">. </w:t>
      </w:r>
    </w:p>
    <w:p w:rsidR="00D95A8F" w:rsidRPr="00DD513C" w:rsidRDefault="00D95A8F" w:rsidP="00DD513C">
      <w:pPr>
        <w:pStyle w:val="ListParagraph"/>
        <w:tabs>
          <w:tab w:val="num" w:pos="630"/>
        </w:tabs>
        <w:spacing w:line="240" w:lineRule="auto"/>
        <w:ind w:left="630" w:hanging="630"/>
        <w:rPr>
          <w:rFonts w:eastAsia="Batang" w:cs="Arial"/>
          <w:b/>
          <w:color w:val="000000"/>
          <w:sz w:val="24"/>
          <w:lang w:val="en-US"/>
        </w:rPr>
      </w:pPr>
    </w:p>
    <w:p w:rsidR="00342A3C" w:rsidRPr="00DD513C" w:rsidRDefault="00303C68" w:rsidP="00DD513C">
      <w:pPr>
        <w:numPr>
          <w:ilvl w:val="0"/>
          <w:numId w:val="4"/>
        </w:numPr>
        <w:tabs>
          <w:tab w:val="clear" w:pos="720"/>
          <w:tab w:val="num" w:pos="630"/>
        </w:tabs>
        <w:spacing w:line="240" w:lineRule="auto"/>
        <w:ind w:left="630" w:hanging="630"/>
        <w:rPr>
          <w:rFonts w:eastAsia="Batang" w:cs="Arial"/>
          <w:b/>
          <w:sz w:val="24"/>
        </w:rPr>
      </w:pPr>
      <w:r w:rsidRPr="00DD513C">
        <w:rPr>
          <w:sz w:val="24"/>
        </w:rPr>
        <w:t xml:space="preserve">Finally, regarding the Applicant's allegation and specifically with reference to citing the case of the Constitutional Court, </w:t>
      </w:r>
      <w:r w:rsidR="00B8192C" w:rsidRPr="00DD513C">
        <w:rPr>
          <w:sz w:val="24"/>
        </w:rPr>
        <w:t>namely Judgment KI138/1</w:t>
      </w:r>
      <w:r w:rsidRPr="00DD513C">
        <w:rPr>
          <w:sz w:val="24"/>
        </w:rPr>
        <w:t>5,</w:t>
      </w:r>
      <w:r w:rsidR="009877E8" w:rsidRPr="00DD513C">
        <w:rPr>
          <w:sz w:val="24"/>
        </w:rPr>
        <w:t xml:space="preserve"> the Court recalls that the present case differs from the case before us, because of </w:t>
      </w:r>
      <w:r w:rsidR="00212C65" w:rsidRPr="00DD513C">
        <w:rPr>
          <w:sz w:val="24"/>
        </w:rPr>
        <w:t>the following reason</w:t>
      </w:r>
      <w:r w:rsidR="00B8192C" w:rsidRPr="00DD513C">
        <w:rPr>
          <w:sz w:val="24"/>
        </w:rPr>
        <w:t>s</w:t>
      </w:r>
      <w:r w:rsidR="009877E8" w:rsidRPr="00DD513C">
        <w:rPr>
          <w:sz w:val="24"/>
        </w:rPr>
        <w:t xml:space="preserve">: (i) the issue of disciplinary proceedings against the </w:t>
      </w:r>
      <w:r w:rsidR="00212C65" w:rsidRPr="00DD513C">
        <w:rPr>
          <w:sz w:val="24"/>
        </w:rPr>
        <w:t xml:space="preserve">Applicant's </w:t>
      </w:r>
      <w:r w:rsidR="009877E8" w:rsidRPr="00DD513C">
        <w:rPr>
          <w:sz w:val="24"/>
        </w:rPr>
        <w:t>employee in th</w:t>
      </w:r>
      <w:r w:rsidR="00212C65" w:rsidRPr="00DD513C">
        <w:rPr>
          <w:sz w:val="24"/>
        </w:rPr>
        <w:t>at</w:t>
      </w:r>
      <w:r w:rsidR="009877E8" w:rsidRPr="00DD513C">
        <w:rPr>
          <w:sz w:val="24"/>
        </w:rPr>
        <w:t xml:space="preserve"> case has been reviewed differently by </w:t>
      </w:r>
      <w:r w:rsidR="00D37855" w:rsidRPr="00DD513C">
        <w:rPr>
          <w:sz w:val="24"/>
        </w:rPr>
        <w:t xml:space="preserve">the </w:t>
      </w:r>
      <w:r w:rsidR="009877E8" w:rsidRPr="00DD513C">
        <w:rPr>
          <w:sz w:val="24"/>
        </w:rPr>
        <w:t xml:space="preserve">regular courts; (ii) there was no clear legal basis under which disciplinary proceedings were conducted; </w:t>
      </w:r>
      <w:r w:rsidRPr="00DD513C">
        <w:rPr>
          <w:sz w:val="24"/>
        </w:rPr>
        <w:t xml:space="preserve">and </w:t>
      </w:r>
      <w:r w:rsidR="009877E8" w:rsidRPr="00DD513C">
        <w:rPr>
          <w:sz w:val="24"/>
        </w:rPr>
        <w:t>(iii) contradictory elements existed in decisions of the lower instance courts. In addition, the Court of Appeal</w:t>
      </w:r>
      <w:r w:rsidR="00D37855" w:rsidRPr="00DD513C">
        <w:rPr>
          <w:sz w:val="24"/>
        </w:rPr>
        <w:t>s</w:t>
      </w:r>
      <w:r w:rsidR="009877E8" w:rsidRPr="00DD513C">
        <w:rPr>
          <w:sz w:val="24"/>
        </w:rPr>
        <w:t xml:space="preserve"> applied and used for </w:t>
      </w:r>
      <w:r w:rsidR="00332512" w:rsidRPr="00DD513C">
        <w:rPr>
          <w:sz w:val="24"/>
        </w:rPr>
        <w:t>reasoning</w:t>
      </w:r>
      <w:r w:rsidR="009877E8" w:rsidRPr="00DD513C">
        <w:rPr>
          <w:sz w:val="24"/>
        </w:rPr>
        <w:t xml:space="preserve"> the Administrative Instruction which resulted from the Civil Service Regulation, not the </w:t>
      </w:r>
      <w:r w:rsidR="00D37855" w:rsidRPr="00DD513C">
        <w:rPr>
          <w:sz w:val="24"/>
        </w:rPr>
        <w:t xml:space="preserve">Law on </w:t>
      </w:r>
      <w:r w:rsidR="009877E8" w:rsidRPr="00DD513C">
        <w:rPr>
          <w:sz w:val="24"/>
        </w:rPr>
        <w:t xml:space="preserve">Labor. This argument, although </w:t>
      </w:r>
      <w:r w:rsidR="00D37855" w:rsidRPr="00DD513C">
        <w:rPr>
          <w:sz w:val="24"/>
        </w:rPr>
        <w:t>raised</w:t>
      </w:r>
      <w:r w:rsidR="009877E8" w:rsidRPr="00DD513C">
        <w:rPr>
          <w:sz w:val="24"/>
        </w:rPr>
        <w:t xml:space="preserve"> by the Applicant in this case, was not reviewed by the Supreme Court (see the case of the Constitutional Court </w:t>
      </w:r>
      <w:r w:rsidR="00342A3C" w:rsidRPr="00DD513C">
        <w:rPr>
          <w:sz w:val="24"/>
        </w:rPr>
        <w:t xml:space="preserve">KI138/15, </w:t>
      </w:r>
      <w:r w:rsidR="00342A3C" w:rsidRPr="00DD513C">
        <w:rPr>
          <w:i/>
          <w:sz w:val="24"/>
        </w:rPr>
        <w:t>Sharr Beteiligung</w:t>
      </w:r>
      <w:r w:rsidR="00D37855" w:rsidRPr="00DD513C">
        <w:rPr>
          <w:i/>
          <w:sz w:val="24"/>
        </w:rPr>
        <w:t xml:space="preserve"> </w:t>
      </w:r>
      <w:r w:rsidR="00342A3C" w:rsidRPr="00DD513C">
        <w:rPr>
          <w:i/>
          <w:sz w:val="24"/>
        </w:rPr>
        <w:t>GmbH,</w:t>
      </w:r>
      <w:r w:rsidR="00342A3C" w:rsidRPr="00DD513C">
        <w:rPr>
          <w:sz w:val="24"/>
        </w:rPr>
        <w:t xml:space="preserve"> </w:t>
      </w:r>
      <w:r w:rsidR="009877E8" w:rsidRPr="00DD513C">
        <w:rPr>
          <w:sz w:val="24"/>
        </w:rPr>
        <w:t>Judgment</w:t>
      </w:r>
      <w:r w:rsidR="00342A3C" w:rsidRPr="00DD513C">
        <w:rPr>
          <w:sz w:val="24"/>
        </w:rPr>
        <w:t xml:space="preserve"> </w:t>
      </w:r>
      <w:r w:rsidR="009877E8" w:rsidRPr="00DD513C">
        <w:rPr>
          <w:sz w:val="24"/>
        </w:rPr>
        <w:t>of</w:t>
      </w:r>
      <w:r w:rsidR="00342A3C" w:rsidRPr="00DD513C">
        <w:rPr>
          <w:sz w:val="24"/>
        </w:rPr>
        <w:t xml:space="preserve"> 4 </w:t>
      </w:r>
      <w:r w:rsidR="009877E8" w:rsidRPr="00DD513C">
        <w:rPr>
          <w:sz w:val="24"/>
        </w:rPr>
        <w:t>September</w:t>
      </w:r>
      <w:r w:rsidR="00342A3C" w:rsidRPr="00DD513C">
        <w:rPr>
          <w:sz w:val="24"/>
        </w:rPr>
        <w:t xml:space="preserve"> 2017).</w:t>
      </w:r>
    </w:p>
    <w:p w:rsidR="00D95A8F" w:rsidRPr="00DD513C" w:rsidRDefault="00D95A8F" w:rsidP="00DD513C">
      <w:pPr>
        <w:tabs>
          <w:tab w:val="num" w:pos="630"/>
        </w:tabs>
        <w:spacing w:line="240" w:lineRule="auto"/>
        <w:ind w:left="630" w:hanging="630"/>
        <w:rPr>
          <w:sz w:val="24"/>
        </w:rPr>
      </w:pPr>
    </w:p>
    <w:p w:rsidR="003961C8" w:rsidRPr="00DD513C" w:rsidRDefault="00303C68" w:rsidP="00DD513C">
      <w:pPr>
        <w:numPr>
          <w:ilvl w:val="0"/>
          <w:numId w:val="4"/>
        </w:numPr>
        <w:tabs>
          <w:tab w:val="clear" w:pos="720"/>
          <w:tab w:val="num" w:pos="630"/>
        </w:tabs>
        <w:spacing w:line="240" w:lineRule="auto"/>
        <w:ind w:left="630" w:hanging="630"/>
        <w:rPr>
          <w:sz w:val="24"/>
        </w:rPr>
      </w:pPr>
      <w:r w:rsidRPr="00DD513C">
        <w:rPr>
          <w:sz w:val="24"/>
        </w:rPr>
        <w:t xml:space="preserve">The Court reiterates that Article 6 of the ECHR and Article 31 of the Constitution oblige the courts to give reasons for their decisions, but this cannot be understood as an obligation of the court to give a detailed answer to any arguments of the Applicant. (see ECtHR case, </w:t>
      </w:r>
      <w:r w:rsidRPr="00DD513C">
        <w:rPr>
          <w:i/>
          <w:iCs/>
          <w:sz w:val="24"/>
        </w:rPr>
        <w:t>Van de Hurk v. the Netherlands</w:t>
      </w:r>
      <w:r w:rsidRPr="00DD513C">
        <w:rPr>
          <w:sz w:val="24"/>
        </w:rPr>
        <w:t xml:space="preserve">, </w:t>
      </w:r>
      <w:r w:rsidRPr="00DD513C">
        <w:rPr>
          <w:sz w:val="24"/>
        </w:rPr>
        <w:lastRenderedPageBreak/>
        <w:t xml:space="preserve">Judgment of 19 April 1994, paragraph 61). The extent to which the duty to give reasons applies may vary according to the nature of the decision. It should also take into account, </w:t>
      </w:r>
      <w:r w:rsidRPr="00DD513C">
        <w:rPr>
          <w:i/>
          <w:iCs/>
          <w:sz w:val="24"/>
        </w:rPr>
        <w:t>inter alia</w:t>
      </w:r>
      <w:r w:rsidRPr="00DD513C">
        <w:rPr>
          <w:sz w:val="24"/>
        </w:rPr>
        <w:t xml:space="preserve">, the variety of submissions submitted by a party to proceedings that may make the courts give various legal opinions and conclusions when drafting judgments. Therefore, the question whether the court has fulfilled the obligation to explain the reasons for its decision, stemming from Article 6 of the ECHR, can only be determined in the light of the circumstances of each individual case. </w:t>
      </w:r>
    </w:p>
    <w:p w:rsidR="003961C8" w:rsidRPr="00DD513C" w:rsidRDefault="003961C8" w:rsidP="00DD513C">
      <w:pPr>
        <w:pStyle w:val="ListParagraph"/>
        <w:tabs>
          <w:tab w:val="num" w:pos="630"/>
        </w:tabs>
        <w:spacing w:line="240" w:lineRule="auto"/>
        <w:rPr>
          <w:sz w:val="24"/>
        </w:rPr>
      </w:pPr>
    </w:p>
    <w:p w:rsidR="00342A3C" w:rsidRPr="00DD513C" w:rsidRDefault="003961C8" w:rsidP="00DD513C">
      <w:pPr>
        <w:numPr>
          <w:ilvl w:val="0"/>
          <w:numId w:val="4"/>
        </w:numPr>
        <w:tabs>
          <w:tab w:val="clear" w:pos="720"/>
          <w:tab w:val="num" w:pos="630"/>
        </w:tabs>
        <w:spacing w:line="240" w:lineRule="auto"/>
        <w:ind w:left="630" w:hanging="630"/>
        <w:rPr>
          <w:sz w:val="24"/>
        </w:rPr>
      </w:pPr>
      <w:r w:rsidRPr="00DD513C">
        <w:rPr>
          <w:iCs/>
          <w:sz w:val="24"/>
        </w:rPr>
        <w:t>Based on the foregoing, t</w:t>
      </w:r>
      <w:r w:rsidR="00061A7B" w:rsidRPr="00DD513C">
        <w:rPr>
          <w:iCs/>
          <w:sz w:val="24"/>
        </w:rPr>
        <w:t>he Court firs</w:t>
      </w:r>
      <w:r w:rsidRPr="00DD513C">
        <w:rPr>
          <w:iCs/>
          <w:sz w:val="24"/>
        </w:rPr>
        <w:t xml:space="preserve">t reiterates that it is not its </w:t>
      </w:r>
      <w:r w:rsidR="00B8192C" w:rsidRPr="00DD513C">
        <w:rPr>
          <w:iCs/>
          <w:sz w:val="24"/>
        </w:rPr>
        <w:t>task</w:t>
      </w:r>
      <w:r w:rsidR="00061A7B" w:rsidRPr="00DD513C">
        <w:rPr>
          <w:iCs/>
          <w:sz w:val="24"/>
        </w:rPr>
        <w:t xml:space="preserve"> to deal with </w:t>
      </w:r>
      <w:r w:rsidRPr="00DD513C">
        <w:rPr>
          <w:rFonts w:eastAsia="Calibri"/>
          <w:color w:val="0B0B0B"/>
          <w:sz w:val="24"/>
        </w:rPr>
        <w:t xml:space="preserve">errors of fact or law </w:t>
      </w:r>
      <w:r w:rsidRPr="00DD513C">
        <w:rPr>
          <w:sz w:val="24"/>
        </w:rPr>
        <w:t>allegedly committed by the regular courts</w:t>
      </w:r>
      <w:r w:rsidR="00B8192C" w:rsidRPr="00DD513C">
        <w:rPr>
          <w:sz w:val="24"/>
        </w:rPr>
        <w:t xml:space="preserve"> when assessing facts or applying law </w:t>
      </w:r>
      <w:r w:rsidR="00B8192C" w:rsidRPr="00DD513C">
        <w:rPr>
          <w:rFonts w:eastAsia="Calibri"/>
          <w:color w:val="0B0B0B"/>
          <w:sz w:val="24"/>
        </w:rPr>
        <w:t>(legality)</w:t>
      </w:r>
      <w:r w:rsidRPr="00DD513C">
        <w:rPr>
          <w:rFonts w:eastAsia="Calibri"/>
          <w:color w:val="0B0B0B"/>
          <w:sz w:val="24"/>
        </w:rPr>
        <w:t xml:space="preserve">, unless </w:t>
      </w:r>
      <w:r w:rsidRPr="00DD513C">
        <w:rPr>
          <w:sz w:val="24"/>
        </w:rPr>
        <w:t>and in so far as they may have infringed rights and freedoms protected by the Constitution</w:t>
      </w:r>
      <w:r w:rsidRPr="00DD513C">
        <w:rPr>
          <w:rFonts w:eastAsia="Calibri"/>
          <w:color w:val="0B0B0B"/>
          <w:sz w:val="24"/>
        </w:rPr>
        <w:t xml:space="preserve"> (constitutionality</w:t>
      </w:r>
      <w:r w:rsidRPr="00DD513C">
        <w:rPr>
          <w:rFonts w:eastAsia="Calibri"/>
          <w:color w:val="000000"/>
          <w:sz w:val="24"/>
        </w:rPr>
        <w:t>)</w:t>
      </w:r>
      <w:r w:rsidRPr="00DD513C">
        <w:rPr>
          <w:rFonts w:eastAsia="Calibri"/>
          <w:color w:val="0B0B0B"/>
          <w:sz w:val="24"/>
        </w:rPr>
        <w:t xml:space="preserve">. </w:t>
      </w:r>
      <w:r w:rsidRPr="00DD513C">
        <w:rPr>
          <w:color w:val="000000"/>
          <w:sz w:val="24"/>
        </w:rPr>
        <w:t>In fact, it is the role of regular courts to interpret and apply the relevant rules of procedural and substantive law (</w:t>
      </w:r>
      <w:r w:rsidR="00B8192C" w:rsidRPr="00DD513C">
        <w:rPr>
          <w:sz w:val="24"/>
        </w:rPr>
        <w:t>S</w:t>
      </w:r>
      <w:r w:rsidRPr="00DD513C">
        <w:rPr>
          <w:sz w:val="24"/>
        </w:rPr>
        <w:t>ee</w:t>
      </w:r>
      <w:r w:rsidR="00B8192C" w:rsidRPr="00DD513C">
        <w:rPr>
          <w:sz w:val="24"/>
        </w:rPr>
        <w:t xml:space="preserve">, </w:t>
      </w:r>
      <w:r w:rsidR="00B8192C" w:rsidRPr="00DD513C">
        <w:rPr>
          <w:rFonts w:eastAsia="Calibri"/>
          <w:i/>
          <w:color w:val="0B0B0B"/>
          <w:sz w:val="24"/>
        </w:rPr>
        <w:t>mutatis mutandis,</w:t>
      </w:r>
      <w:r w:rsidRPr="00DD513C">
        <w:rPr>
          <w:sz w:val="24"/>
        </w:rPr>
        <w:t xml:space="preserve"> the ECtHR case </w:t>
      </w:r>
      <w:r w:rsidRPr="00DD513C">
        <w:rPr>
          <w:i/>
          <w:iCs/>
          <w:sz w:val="24"/>
        </w:rPr>
        <w:t xml:space="preserve">Garcia Ruiz v. Spain, </w:t>
      </w:r>
      <w:r w:rsidR="00B8192C" w:rsidRPr="00DD513C">
        <w:rPr>
          <w:sz w:val="24"/>
        </w:rPr>
        <w:t>N</w:t>
      </w:r>
      <w:r w:rsidRPr="00DD513C">
        <w:rPr>
          <w:sz w:val="24"/>
        </w:rPr>
        <w:t>o. 30544/96</w:t>
      </w:r>
      <w:r w:rsidRPr="00DD513C">
        <w:rPr>
          <w:i/>
          <w:iCs/>
          <w:sz w:val="24"/>
        </w:rPr>
        <w:t xml:space="preserve">, </w:t>
      </w:r>
      <w:r w:rsidRPr="00DD513C">
        <w:rPr>
          <w:sz w:val="24"/>
        </w:rPr>
        <w:t>Judgment of 21 January 1999, paragraph 28</w:t>
      </w:r>
      <w:r w:rsidRPr="00DD513C">
        <w:rPr>
          <w:rFonts w:eastAsia="Calibri"/>
          <w:sz w:val="24"/>
        </w:rPr>
        <w:t>).</w:t>
      </w:r>
    </w:p>
    <w:p w:rsidR="004D0BE3" w:rsidRPr="00DD513C" w:rsidRDefault="004D0BE3" w:rsidP="00DD513C">
      <w:pPr>
        <w:pStyle w:val="ListParagraph"/>
        <w:tabs>
          <w:tab w:val="num" w:pos="630"/>
        </w:tabs>
        <w:spacing w:line="240" w:lineRule="auto"/>
        <w:ind w:left="630" w:hanging="630"/>
        <w:rPr>
          <w:sz w:val="24"/>
          <w:lang w:val="en-US"/>
        </w:rPr>
      </w:pPr>
    </w:p>
    <w:p w:rsidR="00342A3C" w:rsidRPr="00DD513C" w:rsidRDefault="003961C8" w:rsidP="00DD513C">
      <w:pPr>
        <w:pStyle w:val="ListParagraph"/>
        <w:numPr>
          <w:ilvl w:val="0"/>
          <w:numId w:val="4"/>
        </w:numPr>
        <w:tabs>
          <w:tab w:val="clear" w:pos="720"/>
          <w:tab w:val="num" w:pos="630"/>
        </w:tabs>
        <w:spacing w:line="240" w:lineRule="auto"/>
        <w:ind w:left="630" w:hanging="630"/>
        <w:contextualSpacing/>
        <w:rPr>
          <w:sz w:val="24"/>
          <w:lang w:val="en-US"/>
        </w:rPr>
      </w:pPr>
      <w:r w:rsidRPr="00DD513C">
        <w:rPr>
          <w:sz w:val="24"/>
          <w:lang w:val="en-US"/>
        </w:rPr>
        <w:t>The Court notes that the Applicant did not substantiate allegations that the respective proceedings before the regular courts were in any way unfair or arbitrary and that the challenged decision violated the rights and freedoms guaranteed by the Constitution and the ECHR. (see</w:t>
      </w:r>
      <w:r w:rsidR="00B3351F" w:rsidRPr="00DD513C">
        <w:rPr>
          <w:sz w:val="24"/>
          <w:lang w:val="en-US"/>
        </w:rPr>
        <w:t xml:space="preserve">, </w:t>
      </w:r>
      <w:r w:rsidR="00B3351F" w:rsidRPr="00DD513C">
        <w:rPr>
          <w:rFonts w:eastAsia="Calibri"/>
          <w:i/>
          <w:color w:val="0B0B0B"/>
          <w:sz w:val="24"/>
        </w:rPr>
        <w:t>mutatis mutandis,</w:t>
      </w:r>
      <w:r w:rsidR="00B3351F" w:rsidRPr="00DD513C">
        <w:rPr>
          <w:rFonts w:eastAsia="Calibri"/>
          <w:i/>
          <w:iCs/>
          <w:color w:val="0B0B0B"/>
          <w:sz w:val="24"/>
        </w:rPr>
        <w:t xml:space="preserve"> </w:t>
      </w:r>
      <w:r w:rsidRPr="00DD513C">
        <w:rPr>
          <w:sz w:val="24"/>
          <w:lang w:val="en-US"/>
        </w:rPr>
        <w:t xml:space="preserve"> ECtHR case, </w:t>
      </w:r>
      <w:r w:rsidRPr="00DD513C">
        <w:rPr>
          <w:i/>
          <w:iCs/>
          <w:sz w:val="24"/>
          <w:lang w:val="en-US"/>
        </w:rPr>
        <w:t>Shub v. Lithuania</w:t>
      </w:r>
      <w:r w:rsidRPr="00DD513C">
        <w:rPr>
          <w:sz w:val="24"/>
          <w:lang w:val="en-US"/>
        </w:rPr>
        <w:t xml:space="preserve">, </w:t>
      </w:r>
      <w:r w:rsidRPr="00DD513C">
        <w:rPr>
          <w:color w:val="000000"/>
          <w:sz w:val="24"/>
        </w:rPr>
        <w:t xml:space="preserve">no. 17064/06, </w:t>
      </w:r>
      <w:r w:rsidRPr="00DD513C">
        <w:rPr>
          <w:color w:val="000000"/>
          <w:sz w:val="24"/>
          <w:lang w:val="en-US"/>
        </w:rPr>
        <w:t>Decision</w:t>
      </w:r>
      <w:r w:rsidRPr="00DD513C">
        <w:rPr>
          <w:color w:val="000000"/>
          <w:sz w:val="24"/>
        </w:rPr>
        <w:t xml:space="preserve"> </w:t>
      </w:r>
      <w:r w:rsidRPr="00DD513C">
        <w:rPr>
          <w:sz w:val="24"/>
          <w:lang w:val="en-US"/>
        </w:rPr>
        <w:t>of 30 June 2009).</w:t>
      </w:r>
    </w:p>
    <w:p w:rsidR="004D0BE3" w:rsidRPr="00DD513C" w:rsidRDefault="004D0BE3" w:rsidP="00DD513C">
      <w:pPr>
        <w:tabs>
          <w:tab w:val="num" w:pos="630"/>
        </w:tabs>
        <w:spacing w:line="240" w:lineRule="auto"/>
        <w:ind w:left="630" w:hanging="630"/>
        <w:rPr>
          <w:sz w:val="24"/>
        </w:rPr>
      </w:pPr>
    </w:p>
    <w:p w:rsidR="00A620FA" w:rsidRPr="00DD513C" w:rsidRDefault="00A620FA" w:rsidP="00DD513C">
      <w:pPr>
        <w:numPr>
          <w:ilvl w:val="0"/>
          <w:numId w:val="4"/>
        </w:numPr>
        <w:tabs>
          <w:tab w:val="clear" w:pos="720"/>
          <w:tab w:val="num" w:pos="630"/>
        </w:tabs>
        <w:spacing w:line="240" w:lineRule="auto"/>
        <w:ind w:left="630" w:hanging="630"/>
        <w:rPr>
          <w:rFonts w:eastAsia="Batang" w:cs="Arial"/>
          <w:bCs/>
          <w:sz w:val="24"/>
        </w:rPr>
      </w:pPr>
      <w:r w:rsidRPr="00DD513C">
        <w:rPr>
          <w:rFonts w:eastAsia="Batang" w:cs="Arial"/>
          <w:bCs/>
          <w:sz w:val="24"/>
        </w:rPr>
        <w:t xml:space="preserve">Therefore, the Court finds that the Applicant's allegation of violation of the principle of the reasoning of the court decision by the Supreme Court is ungrounded on constitutional basis. </w:t>
      </w:r>
    </w:p>
    <w:p w:rsidR="00A620FA" w:rsidRPr="00DD513C" w:rsidRDefault="00A620FA" w:rsidP="00DD513C">
      <w:pPr>
        <w:tabs>
          <w:tab w:val="num" w:pos="630"/>
        </w:tabs>
        <w:spacing w:line="240" w:lineRule="auto"/>
        <w:ind w:left="630"/>
        <w:rPr>
          <w:rFonts w:eastAsia="Batang" w:cs="Arial"/>
          <w:bCs/>
          <w:sz w:val="24"/>
          <w:lang w:eastAsia="x-none"/>
        </w:rPr>
      </w:pPr>
    </w:p>
    <w:p w:rsidR="00A620FA" w:rsidRPr="00DD513C" w:rsidRDefault="00A620FA" w:rsidP="00DD513C">
      <w:pPr>
        <w:tabs>
          <w:tab w:val="num" w:pos="630"/>
        </w:tabs>
        <w:spacing w:line="240" w:lineRule="auto"/>
        <w:ind w:left="630" w:hanging="630"/>
        <w:rPr>
          <w:rFonts w:eastAsia="Batang" w:cs="Arial"/>
          <w:bCs/>
          <w:i/>
          <w:iCs/>
          <w:sz w:val="24"/>
        </w:rPr>
      </w:pPr>
      <w:r w:rsidRPr="00DD513C">
        <w:rPr>
          <w:rFonts w:eastAsia="Batang" w:cs="Arial"/>
          <w:b/>
          <w:bCs/>
          <w:i/>
          <w:iCs/>
          <w:sz w:val="24"/>
        </w:rPr>
        <w:t>(</w:t>
      </w:r>
      <w:r w:rsidRPr="00DD513C">
        <w:rPr>
          <w:rFonts w:eastAsia="Batang" w:cs="Arial"/>
          <w:b/>
          <w:i/>
          <w:iCs/>
          <w:sz w:val="24"/>
        </w:rPr>
        <w:t>iii</w:t>
      </w:r>
      <w:r w:rsidRPr="00DD513C">
        <w:rPr>
          <w:rFonts w:eastAsia="Batang" w:cs="Arial"/>
          <w:b/>
          <w:bCs/>
          <w:i/>
          <w:iCs/>
          <w:sz w:val="24"/>
        </w:rPr>
        <w:t>)</w:t>
      </w:r>
      <w:r w:rsidRPr="00DD513C">
        <w:rPr>
          <w:rFonts w:eastAsia="Batang" w:cs="Arial"/>
          <w:bCs/>
          <w:i/>
          <w:iCs/>
          <w:sz w:val="24"/>
        </w:rPr>
        <w:t xml:space="preserve"> </w:t>
      </w:r>
      <w:r w:rsidRPr="00DD513C">
        <w:rPr>
          <w:rFonts w:eastAsia="Batang" w:cs="Arial"/>
          <w:bCs/>
          <w:i/>
          <w:iCs/>
          <w:sz w:val="24"/>
        </w:rPr>
        <w:tab/>
      </w:r>
      <w:r w:rsidRPr="00DD513C">
        <w:rPr>
          <w:rFonts w:eastAsia="Batang" w:cs="Arial"/>
          <w:b/>
          <w:i/>
          <w:iCs/>
          <w:sz w:val="24"/>
        </w:rPr>
        <w:t>As regards the allegations of violation of the Applicant’s right to fair and impartial trial in relation to the principle of legal certainty</w:t>
      </w:r>
    </w:p>
    <w:p w:rsidR="00A620FA" w:rsidRPr="00DD513C" w:rsidRDefault="00A620FA" w:rsidP="00DD513C">
      <w:pPr>
        <w:pStyle w:val="ListParagraph"/>
        <w:tabs>
          <w:tab w:val="num" w:pos="630"/>
        </w:tabs>
        <w:spacing w:line="240" w:lineRule="auto"/>
        <w:rPr>
          <w:sz w:val="24"/>
        </w:rPr>
      </w:pPr>
    </w:p>
    <w:p w:rsidR="00A620FA" w:rsidRPr="00DD513C" w:rsidRDefault="00A620FA" w:rsidP="00DD513C">
      <w:pPr>
        <w:numPr>
          <w:ilvl w:val="0"/>
          <w:numId w:val="4"/>
        </w:numPr>
        <w:tabs>
          <w:tab w:val="clear" w:pos="720"/>
          <w:tab w:val="num" w:pos="630"/>
        </w:tabs>
        <w:spacing w:line="240" w:lineRule="auto"/>
        <w:ind w:left="630" w:hanging="630"/>
        <w:rPr>
          <w:rFonts w:eastAsia="Batang" w:cs="Arial"/>
          <w:bCs/>
          <w:sz w:val="24"/>
        </w:rPr>
      </w:pPr>
      <w:r w:rsidRPr="00DD513C">
        <w:rPr>
          <w:rFonts w:eastAsia="Batang" w:cs="Arial"/>
          <w:bCs/>
          <w:sz w:val="24"/>
        </w:rPr>
        <w:t>The Court recalls that the Applicant alleges that “</w:t>
      </w:r>
      <w:r w:rsidRPr="00DD513C">
        <w:rPr>
          <w:rFonts w:eastAsia="Batang" w:cs="Arial"/>
          <w:bCs/>
          <w:i/>
          <w:iCs/>
          <w:sz w:val="24"/>
        </w:rPr>
        <w:t>the regular courts for the same contested matter [...]</w:t>
      </w:r>
      <w:r w:rsidR="00010218" w:rsidRPr="00DD513C">
        <w:rPr>
          <w:rFonts w:eastAsia="Batang" w:cs="Arial"/>
          <w:bCs/>
          <w:i/>
          <w:iCs/>
          <w:sz w:val="24"/>
        </w:rPr>
        <w:t xml:space="preserve"> rendered</w:t>
      </w:r>
      <w:r w:rsidRPr="00DD513C">
        <w:rPr>
          <w:rFonts w:eastAsia="Batang" w:cs="Arial"/>
          <w:bCs/>
          <w:i/>
          <w:iCs/>
          <w:sz w:val="24"/>
        </w:rPr>
        <w:t xml:space="preserve"> different decisions</w:t>
      </w:r>
      <w:r w:rsidRPr="00DD513C">
        <w:rPr>
          <w:rFonts w:eastAsia="Batang" w:cs="Arial"/>
          <w:bCs/>
          <w:sz w:val="24"/>
        </w:rPr>
        <w:t xml:space="preserve">”, referring to Referrals KI129/18 and KI166/18, and thus attaching two decisions of the Basic Court and a decision of the Court of Appeals.  </w:t>
      </w:r>
    </w:p>
    <w:p w:rsidR="00A620FA" w:rsidRPr="00DD513C" w:rsidRDefault="00A620FA" w:rsidP="00DD513C">
      <w:pPr>
        <w:tabs>
          <w:tab w:val="num" w:pos="630"/>
        </w:tabs>
        <w:spacing w:line="240" w:lineRule="auto"/>
        <w:ind w:left="630"/>
        <w:rPr>
          <w:rFonts w:eastAsia="Batang" w:cs="Arial"/>
          <w:b/>
          <w:sz w:val="24"/>
        </w:rPr>
      </w:pPr>
    </w:p>
    <w:p w:rsidR="00A620FA" w:rsidRPr="00DD513C" w:rsidRDefault="00A620FA" w:rsidP="00DD513C">
      <w:pPr>
        <w:numPr>
          <w:ilvl w:val="0"/>
          <w:numId w:val="4"/>
        </w:numPr>
        <w:tabs>
          <w:tab w:val="clear" w:pos="720"/>
          <w:tab w:val="num" w:pos="630"/>
        </w:tabs>
        <w:spacing w:line="240" w:lineRule="auto"/>
        <w:ind w:left="630" w:hanging="630"/>
        <w:rPr>
          <w:rFonts w:eastAsia="Batang" w:cs="Arial"/>
          <w:bCs/>
          <w:sz w:val="24"/>
        </w:rPr>
      </w:pPr>
      <w:r w:rsidRPr="00DD513C">
        <w:rPr>
          <w:rFonts w:eastAsia="Batang" w:cs="Arial"/>
          <w:bCs/>
          <w:sz w:val="24"/>
        </w:rPr>
        <w:t xml:space="preserve">The Court initially </w:t>
      </w:r>
      <w:r w:rsidR="00010218" w:rsidRPr="00DD513C">
        <w:rPr>
          <w:rFonts w:eastAsia="Batang" w:cs="Arial"/>
          <w:bCs/>
          <w:sz w:val="24"/>
        </w:rPr>
        <w:t>notes</w:t>
      </w:r>
      <w:r w:rsidRPr="00DD513C">
        <w:rPr>
          <w:rFonts w:eastAsia="Batang" w:cs="Arial"/>
          <w:bCs/>
          <w:sz w:val="24"/>
        </w:rPr>
        <w:t xml:space="preserve"> that there were several cases where the Applicants raised the issue of “contradictory decisions” of the regular courts (See Constitutional Court cases: KI29/17, </w:t>
      </w:r>
      <w:r w:rsidRPr="00DD513C">
        <w:rPr>
          <w:rFonts w:eastAsia="Batang" w:cs="Arial"/>
          <w:bCs/>
          <w:i/>
          <w:iCs/>
          <w:sz w:val="24"/>
        </w:rPr>
        <w:t>Adem Zhegrova</w:t>
      </w:r>
      <w:r w:rsidRPr="00DD513C">
        <w:rPr>
          <w:rFonts w:eastAsia="Batang" w:cs="Arial"/>
          <w:bCs/>
          <w:sz w:val="24"/>
        </w:rPr>
        <w:t xml:space="preserve">, Resolution on Inadmissibility of 2 October 2017 and case KI42/18, </w:t>
      </w:r>
      <w:r w:rsidRPr="00DD513C">
        <w:rPr>
          <w:rFonts w:eastAsia="Batang" w:cs="Arial"/>
          <w:bCs/>
          <w:i/>
          <w:iCs/>
          <w:sz w:val="24"/>
        </w:rPr>
        <w:t>Kushtrim Ibraj</w:t>
      </w:r>
      <w:r w:rsidRPr="00DD513C">
        <w:rPr>
          <w:rFonts w:eastAsia="Batang" w:cs="Arial"/>
          <w:bCs/>
          <w:sz w:val="24"/>
        </w:rPr>
        <w:t xml:space="preserve">, Resolution on Inadmissibility of 5 December 2017), Moreover, the ECtHR dealt with these cases in the framework of the principle of legal certainty (See </w:t>
      </w:r>
      <w:r w:rsidRPr="00DD513C">
        <w:rPr>
          <w:rFonts w:eastAsia="Batang" w:cs="Arial"/>
          <w:bCs/>
          <w:i/>
          <w:iCs/>
          <w:sz w:val="24"/>
        </w:rPr>
        <w:t>mutatis mutandis</w:t>
      </w:r>
      <w:r w:rsidRPr="00DD513C">
        <w:rPr>
          <w:rFonts w:eastAsia="Batang" w:cs="Arial"/>
          <w:bCs/>
          <w:sz w:val="24"/>
        </w:rPr>
        <w:t xml:space="preserve"> the case of ECtHR, </w:t>
      </w:r>
      <w:r w:rsidRPr="00DD513C">
        <w:rPr>
          <w:rFonts w:eastAsia="Batang" w:cs="Arial"/>
          <w:bCs/>
          <w:i/>
          <w:iCs/>
          <w:sz w:val="24"/>
        </w:rPr>
        <w:t>Nejdet Sahin and Perihan Sahin v. Turkey</w:t>
      </w:r>
      <w:r w:rsidRPr="00DD513C">
        <w:rPr>
          <w:rFonts w:eastAsia="Batang" w:cs="Arial"/>
          <w:bCs/>
          <w:sz w:val="24"/>
        </w:rPr>
        <w:t>, No. 13279/05, Judgment of 20 October 2011, paragraph 52).</w:t>
      </w:r>
    </w:p>
    <w:p w:rsidR="00A620FA" w:rsidRPr="00DD513C" w:rsidRDefault="00A620FA" w:rsidP="00DD513C">
      <w:pPr>
        <w:pStyle w:val="ListParagraph"/>
        <w:tabs>
          <w:tab w:val="num" w:pos="630"/>
        </w:tabs>
        <w:spacing w:line="240" w:lineRule="auto"/>
        <w:rPr>
          <w:sz w:val="24"/>
        </w:rPr>
      </w:pPr>
    </w:p>
    <w:p w:rsidR="00A620FA" w:rsidRPr="00DD513C" w:rsidRDefault="00A620FA" w:rsidP="00DD513C">
      <w:pPr>
        <w:numPr>
          <w:ilvl w:val="0"/>
          <w:numId w:val="4"/>
        </w:numPr>
        <w:tabs>
          <w:tab w:val="clear" w:pos="720"/>
          <w:tab w:val="num" w:pos="630"/>
        </w:tabs>
        <w:spacing w:line="240" w:lineRule="auto"/>
        <w:ind w:left="630" w:hanging="630"/>
        <w:rPr>
          <w:rFonts w:eastAsia="Batang" w:cs="Arial"/>
          <w:b/>
          <w:sz w:val="24"/>
        </w:rPr>
      </w:pPr>
      <w:r w:rsidRPr="00DD513C">
        <w:rPr>
          <w:sz w:val="24"/>
        </w:rPr>
        <w:t xml:space="preserve">The ECtHR, through its case law, has also maintained that the requirements of legal certainty and the protection of the legitimate confidence of the public, do not confer nor guarantee an acquired right to consistency of case-law. (see ECtHR case,  </w:t>
      </w:r>
      <w:r w:rsidRPr="00DD513C">
        <w:rPr>
          <w:i/>
          <w:iCs/>
          <w:sz w:val="24"/>
        </w:rPr>
        <w:t>Unedic v. France,</w:t>
      </w:r>
      <w:r w:rsidRPr="00DD513C">
        <w:rPr>
          <w:sz w:val="24"/>
        </w:rPr>
        <w:t xml:space="preserve"> no. 20153/04, Judgment of 18 December 2008, paragraph 74, and see case of the Constitutional Court </w:t>
      </w:r>
      <w:r w:rsidRPr="00DD513C">
        <w:rPr>
          <w:rFonts w:eastAsia="Batang" w:cs="Arial"/>
          <w:bCs/>
          <w:sz w:val="24"/>
        </w:rPr>
        <w:t xml:space="preserve">KI42/18, </w:t>
      </w:r>
      <w:r w:rsidRPr="00DD513C">
        <w:rPr>
          <w:rFonts w:eastAsia="Batang" w:cs="Arial"/>
          <w:bCs/>
          <w:i/>
          <w:iCs/>
          <w:sz w:val="24"/>
        </w:rPr>
        <w:t>Kushtrim Ibraj</w:t>
      </w:r>
      <w:r w:rsidRPr="00DD513C">
        <w:rPr>
          <w:rFonts w:eastAsia="Batang" w:cs="Arial"/>
          <w:bCs/>
          <w:sz w:val="24"/>
        </w:rPr>
        <w:t xml:space="preserve">, cited above, paragraph 34). </w:t>
      </w:r>
    </w:p>
    <w:p w:rsidR="00A620FA" w:rsidRPr="00DD513C" w:rsidRDefault="00A620FA" w:rsidP="00DD513C">
      <w:pPr>
        <w:pStyle w:val="ListParagraph"/>
        <w:tabs>
          <w:tab w:val="num" w:pos="630"/>
        </w:tabs>
        <w:spacing w:line="240" w:lineRule="auto"/>
        <w:rPr>
          <w:sz w:val="24"/>
          <w:lang w:val="en-US"/>
        </w:rPr>
      </w:pPr>
    </w:p>
    <w:p w:rsidR="00A620FA" w:rsidRPr="00DD513C" w:rsidRDefault="00A620FA" w:rsidP="00DD513C">
      <w:pPr>
        <w:numPr>
          <w:ilvl w:val="0"/>
          <w:numId w:val="4"/>
        </w:numPr>
        <w:tabs>
          <w:tab w:val="clear" w:pos="720"/>
          <w:tab w:val="num" w:pos="630"/>
        </w:tabs>
        <w:spacing w:line="240" w:lineRule="auto"/>
        <w:ind w:left="630" w:hanging="630"/>
        <w:rPr>
          <w:rFonts w:eastAsia="Batang" w:cs="Arial"/>
          <w:b/>
          <w:sz w:val="24"/>
        </w:rPr>
      </w:pPr>
      <w:r w:rsidRPr="00DD513C">
        <w:rPr>
          <w:sz w:val="24"/>
        </w:rPr>
        <w:lastRenderedPageBreak/>
        <w:t>The Court recalls that the ECtHR, through its case law, also maintained that except when there is “evident arbitrariness”, it is not the role of the Court to question the interpretation of the domestic law by the national courts</w:t>
      </w:r>
      <w:r w:rsidR="00B3351F" w:rsidRPr="00DD513C">
        <w:rPr>
          <w:sz w:val="24"/>
        </w:rPr>
        <w:t>.</w:t>
      </w:r>
      <w:r w:rsidRPr="00DD513C">
        <w:rPr>
          <w:sz w:val="24"/>
        </w:rPr>
        <w:t xml:space="preserve"> (See ECtHR case,  </w:t>
      </w:r>
      <w:r w:rsidRPr="00DD513C">
        <w:rPr>
          <w:i/>
          <w:iCs/>
          <w:sz w:val="24"/>
        </w:rPr>
        <w:t>Adamsons v. Latvia,</w:t>
      </w:r>
      <w:r w:rsidRPr="00DD513C">
        <w:rPr>
          <w:sz w:val="24"/>
        </w:rPr>
        <w:t xml:space="preserve"> no. 3669/03, Judgment of 24 June 2008, paragraph 118, and case of the Constitutional Court </w:t>
      </w:r>
      <w:r w:rsidRPr="00DD513C">
        <w:rPr>
          <w:rFonts w:eastAsia="Batang" w:cs="Arial"/>
          <w:bCs/>
          <w:sz w:val="24"/>
        </w:rPr>
        <w:t xml:space="preserve">KI42/18, </w:t>
      </w:r>
      <w:r w:rsidRPr="00DD513C">
        <w:rPr>
          <w:rFonts w:eastAsia="Batang" w:cs="Arial"/>
          <w:bCs/>
          <w:i/>
          <w:iCs/>
          <w:sz w:val="24"/>
        </w:rPr>
        <w:t>Kushtrim Ibraj</w:t>
      </w:r>
      <w:r w:rsidRPr="00DD513C">
        <w:rPr>
          <w:rFonts w:eastAsia="Batang" w:cs="Arial"/>
          <w:bCs/>
          <w:sz w:val="24"/>
        </w:rPr>
        <w:t xml:space="preserve">, cited above, paragraph 38). </w:t>
      </w:r>
    </w:p>
    <w:p w:rsidR="00A620FA" w:rsidRPr="00DD513C" w:rsidRDefault="00A620FA" w:rsidP="00DD513C">
      <w:pPr>
        <w:pStyle w:val="ListParagraph"/>
        <w:tabs>
          <w:tab w:val="num" w:pos="630"/>
        </w:tabs>
        <w:spacing w:line="240" w:lineRule="auto"/>
        <w:rPr>
          <w:bCs/>
          <w:sz w:val="24"/>
        </w:rPr>
      </w:pPr>
    </w:p>
    <w:p w:rsidR="00E95FBC" w:rsidRPr="00DD513C" w:rsidRDefault="00E95FBC" w:rsidP="00DD513C">
      <w:pPr>
        <w:numPr>
          <w:ilvl w:val="0"/>
          <w:numId w:val="4"/>
        </w:numPr>
        <w:tabs>
          <w:tab w:val="clear" w:pos="720"/>
          <w:tab w:val="num" w:pos="630"/>
        </w:tabs>
        <w:spacing w:line="240" w:lineRule="auto"/>
        <w:ind w:left="630" w:hanging="630"/>
        <w:rPr>
          <w:rFonts w:eastAsia="Batang" w:cs="Arial"/>
          <w:bCs/>
          <w:sz w:val="24"/>
        </w:rPr>
      </w:pPr>
      <w:r w:rsidRPr="00DD513C">
        <w:rPr>
          <w:rFonts w:eastAsia="Batang" w:cs="Arial"/>
          <w:bCs/>
          <w:sz w:val="24"/>
        </w:rPr>
        <w:t>However, the Court initially notes that in the case attached by the Applicant the facts are as follows: (i) the employee L. A. was employed in PIA and subsequently with the Applicant; (ii) the Applicant notified the employee L. A., by notice of non-extension of the employment contract that the employment relationship would not be extended; and (iii) the employee L. A. filed a lawsuit with the Basic Court for annulment of the Applicant's notification. The Basic Court, by Judgment C. No. 238/2014 of 25 May 2015, rejected the lawsuit of the employee L.A. as ungrounded. This Judgment of the Basic Court after the appeal of the employee L. A. was remanded to the first instance court in reconsideration and decision by the Court of Appeals [Decision CA. No. 3633/2015] of 19 March 2018, a decision which approved the appeal of the employee L. A as grounded.</w:t>
      </w:r>
    </w:p>
    <w:p w:rsidR="00E95FBC" w:rsidRPr="00DD513C" w:rsidRDefault="00E95FBC" w:rsidP="00DD513C">
      <w:pPr>
        <w:tabs>
          <w:tab w:val="num" w:pos="630"/>
        </w:tabs>
        <w:spacing w:line="240" w:lineRule="auto"/>
        <w:ind w:left="630"/>
        <w:rPr>
          <w:rFonts w:eastAsia="Batang" w:cs="Arial"/>
          <w:bCs/>
          <w:sz w:val="24"/>
        </w:rPr>
      </w:pPr>
    </w:p>
    <w:p w:rsidR="00E95FBC" w:rsidRPr="00DD513C" w:rsidRDefault="00E95FBC" w:rsidP="00DD513C">
      <w:pPr>
        <w:numPr>
          <w:ilvl w:val="0"/>
          <w:numId w:val="4"/>
        </w:numPr>
        <w:tabs>
          <w:tab w:val="clear" w:pos="720"/>
          <w:tab w:val="num" w:pos="630"/>
        </w:tabs>
        <w:spacing w:line="240" w:lineRule="auto"/>
        <w:ind w:left="630" w:hanging="630"/>
        <w:rPr>
          <w:rFonts w:eastAsia="Batang" w:cs="Arial"/>
          <w:bCs/>
          <w:sz w:val="24"/>
        </w:rPr>
      </w:pPr>
      <w:r w:rsidRPr="00DD513C">
        <w:rPr>
          <w:rFonts w:eastAsia="Batang" w:cs="Arial"/>
          <w:bCs/>
          <w:sz w:val="24"/>
        </w:rPr>
        <w:t>However, the Court notes that the decisions by which the Applicant tries to prove the different practices of the regular courts concerning the employee L.A., and which the Applicant cited and attached, are the decisions which are not final and according to the latter, there is the possibility of filing legal remedies by the opposing party in the dispute.</w:t>
      </w:r>
    </w:p>
    <w:p w:rsidR="00E95FBC" w:rsidRPr="00DD513C" w:rsidRDefault="00E95FBC" w:rsidP="00DD513C">
      <w:pPr>
        <w:tabs>
          <w:tab w:val="num" w:pos="630"/>
        </w:tabs>
        <w:spacing w:line="240" w:lineRule="auto"/>
        <w:ind w:left="630"/>
        <w:rPr>
          <w:rFonts w:eastAsia="Batang" w:cs="Arial"/>
          <w:bCs/>
          <w:sz w:val="24"/>
        </w:rPr>
      </w:pPr>
    </w:p>
    <w:p w:rsidR="00E95FBC" w:rsidRPr="00DD513C" w:rsidRDefault="00E95FBC" w:rsidP="00DD513C">
      <w:pPr>
        <w:numPr>
          <w:ilvl w:val="0"/>
          <w:numId w:val="4"/>
        </w:numPr>
        <w:tabs>
          <w:tab w:val="clear" w:pos="720"/>
          <w:tab w:val="num" w:pos="630"/>
        </w:tabs>
        <w:spacing w:line="240" w:lineRule="auto"/>
        <w:ind w:left="630" w:hanging="630"/>
        <w:rPr>
          <w:rFonts w:eastAsia="Batang" w:cs="Arial"/>
          <w:bCs/>
          <w:sz w:val="24"/>
        </w:rPr>
      </w:pPr>
      <w:r w:rsidRPr="00DD513C">
        <w:rPr>
          <w:rFonts w:eastAsia="Batang" w:cs="Arial"/>
          <w:bCs/>
          <w:sz w:val="24"/>
        </w:rPr>
        <w:t>The Applicant also did not provide evidence that these decisions were upheld by the Supreme Court of Kosovo and that these disputes ended in a final way in favor of the Applicant. Therefore, the Court will not enter a comparative analysis of these decisions and the challenged decisions of the Applicant, because this analysis is impossible, taking into account that the Applicant refers to the decisions which are not final.</w:t>
      </w:r>
    </w:p>
    <w:p w:rsidR="00E95FBC" w:rsidRPr="00DD513C" w:rsidRDefault="00E95FBC" w:rsidP="00DD513C">
      <w:pPr>
        <w:tabs>
          <w:tab w:val="num" w:pos="630"/>
        </w:tabs>
        <w:spacing w:line="240" w:lineRule="auto"/>
        <w:ind w:left="630"/>
        <w:rPr>
          <w:rFonts w:eastAsia="Batang" w:cs="Arial"/>
          <w:bCs/>
          <w:sz w:val="24"/>
        </w:rPr>
      </w:pPr>
    </w:p>
    <w:p w:rsidR="00E95FBC" w:rsidRPr="00DD513C" w:rsidRDefault="00E95FBC" w:rsidP="00DD513C">
      <w:pPr>
        <w:numPr>
          <w:ilvl w:val="0"/>
          <w:numId w:val="4"/>
        </w:numPr>
        <w:tabs>
          <w:tab w:val="clear" w:pos="720"/>
          <w:tab w:val="num" w:pos="630"/>
        </w:tabs>
        <w:spacing w:line="240" w:lineRule="auto"/>
        <w:ind w:left="630" w:hanging="630"/>
        <w:rPr>
          <w:rFonts w:eastAsia="Batang" w:cs="Arial"/>
          <w:bCs/>
          <w:sz w:val="24"/>
        </w:rPr>
      </w:pPr>
      <w:r w:rsidRPr="00DD513C">
        <w:rPr>
          <w:rFonts w:eastAsia="Batang" w:cs="Arial"/>
          <w:bCs/>
          <w:sz w:val="24"/>
        </w:rPr>
        <w:t xml:space="preserve">Accordingly, the Court finds that it will not consider the Applicant's allegations with </w:t>
      </w:r>
      <w:r w:rsidR="00832A12" w:rsidRPr="00DD513C">
        <w:rPr>
          <w:rFonts w:eastAsia="Batang" w:cs="Arial"/>
          <w:bCs/>
          <w:sz w:val="24"/>
        </w:rPr>
        <w:t xml:space="preserve">regard to </w:t>
      </w:r>
      <w:r w:rsidRPr="00DD513C">
        <w:rPr>
          <w:rFonts w:eastAsia="Batang" w:cs="Arial"/>
          <w:bCs/>
          <w:sz w:val="24"/>
        </w:rPr>
        <w:t xml:space="preserve">the Judgment </w:t>
      </w:r>
      <w:r w:rsidR="00832A12" w:rsidRPr="00DD513C">
        <w:rPr>
          <w:rFonts w:eastAsia="Batang" w:cs="Arial"/>
          <w:bCs/>
          <w:sz w:val="24"/>
        </w:rPr>
        <w:t xml:space="preserve">C. No. 179/18 </w:t>
      </w:r>
      <w:r w:rsidRPr="00DD513C">
        <w:rPr>
          <w:rFonts w:eastAsia="Batang" w:cs="Arial"/>
          <w:bCs/>
          <w:sz w:val="24"/>
        </w:rPr>
        <w:t xml:space="preserve">of the Basic Court, of 18 August 2018, which was </w:t>
      </w:r>
      <w:r w:rsidR="00832A12" w:rsidRPr="00DD513C">
        <w:rPr>
          <w:rFonts w:eastAsia="Batang" w:cs="Arial"/>
          <w:bCs/>
          <w:sz w:val="24"/>
        </w:rPr>
        <w:t>rendered</w:t>
      </w:r>
      <w:r w:rsidRPr="00DD513C">
        <w:rPr>
          <w:rFonts w:eastAsia="Batang" w:cs="Arial"/>
          <w:bCs/>
          <w:sz w:val="24"/>
        </w:rPr>
        <w:t xml:space="preserve"> after </w:t>
      </w:r>
      <w:r w:rsidR="00832A12" w:rsidRPr="00DD513C">
        <w:rPr>
          <w:rFonts w:eastAsia="Batang" w:cs="Arial"/>
          <w:bCs/>
          <w:sz w:val="24"/>
        </w:rPr>
        <w:t>Decision</w:t>
      </w:r>
      <w:r w:rsidRPr="00DD513C">
        <w:rPr>
          <w:rFonts w:eastAsia="Batang" w:cs="Arial"/>
          <w:bCs/>
          <w:sz w:val="24"/>
        </w:rPr>
        <w:t xml:space="preserve"> CA. </w:t>
      </w:r>
      <w:r w:rsidR="00832A12" w:rsidRPr="00DD513C">
        <w:rPr>
          <w:rFonts w:eastAsia="Batang" w:cs="Arial"/>
          <w:bCs/>
          <w:sz w:val="24"/>
        </w:rPr>
        <w:t>N</w:t>
      </w:r>
      <w:r w:rsidRPr="00DD513C">
        <w:rPr>
          <w:rFonts w:eastAsia="Batang" w:cs="Arial"/>
          <w:bCs/>
          <w:sz w:val="24"/>
        </w:rPr>
        <w:t>o. 3633/2015 of the Court of Appeal</w:t>
      </w:r>
      <w:r w:rsidR="00832A12" w:rsidRPr="00DD513C">
        <w:rPr>
          <w:rFonts w:eastAsia="Batang" w:cs="Arial"/>
          <w:bCs/>
          <w:sz w:val="24"/>
        </w:rPr>
        <w:t>s</w:t>
      </w:r>
      <w:r w:rsidRPr="00DD513C">
        <w:rPr>
          <w:rFonts w:eastAsia="Batang" w:cs="Arial"/>
          <w:bCs/>
          <w:sz w:val="24"/>
        </w:rPr>
        <w:t>, because the Applicant did not notify the Court whether the other party [</w:t>
      </w:r>
      <w:r w:rsidR="00832A12" w:rsidRPr="00DD513C">
        <w:rPr>
          <w:rFonts w:eastAsia="Batang" w:cs="Arial"/>
          <w:bCs/>
          <w:sz w:val="24"/>
        </w:rPr>
        <w:t xml:space="preserve">the </w:t>
      </w:r>
      <w:r w:rsidRPr="00DD513C">
        <w:rPr>
          <w:rFonts w:eastAsia="Batang" w:cs="Arial"/>
          <w:bCs/>
          <w:sz w:val="24"/>
        </w:rPr>
        <w:t xml:space="preserve">employee L. A.] </w:t>
      </w:r>
      <w:r w:rsidR="00832A12" w:rsidRPr="00DD513C">
        <w:rPr>
          <w:rFonts w:eastAsia="Batang" w:cs="Arial"/>
          <w:bCs/>
          <w:sz w:val="24"/>
        </w:rPr>
        <w:t>filed</w:t>
      </w:r>
      <w:r w:rsidRPr="00DD513C">
        <w:rPr>
          <w:rFonts w:eastAsia="Batang" w:cs="Arial"/>
          <w:bCs/>
          <w:sz w:val="24"/>
        </w:rPr>
        <w:t xml:space="preserve"> </w:t>
      </w:r>
      <w:r w:rsidR="00832A12" w:rsidRPr="00DD513C">
        <w:rPr>
          <w:rFonts w:eastAsia="Batang" w:cs="Arial"/>
          <w:bCs/>
          <w:sz w:val="24"/>
        </w:rPr>
        <w:t>appeal</w:t>
      </w:r>
      <w:r w:rsidRPr="00DD513C">
        <w:rPr>
          <w:rFonts w:eastAsia="Batang" w:cs="Arial"/>
          <w:bCs/>
          <w:sz w:val="24"/>
        </w:rPr>
        <w:t xml:space="preserve"> and in what procedure </w:t>
      </w:r>
      <w:r w:rsidR="00832A12" w:rsidRPr="00DD513C">
        <w:rPr>
          <w:rFonts w:eastAsia="Batang" w:cs="Arial"/>
          <w:bCs/>
          <w:sz w:val="24"/>
        </w:rPr>
        <w:t xml:space="preserve">is </w:t>
      </w:r>
      <w:r w:rsidRPr="00DD513C">
        <w:rPr>
          <w:rFonts w:eastAsia="Batang" w:cs="Arial"/>
          <w:bCs/>
          <w:sz w:val="24"/>
        </w:rPr>
        <w:t xml:space="preserve">this case, which is possible under the </w:t>
      </w:r>
      <w:r w:rsidR="00832A12" w:rsidRPr="00DD513C">
        <w:rPr>
          <w:rFonts w:eastAsia="Batang" w:cs="Arial"/>
          <w:bCs/>
          <w:sz w:val="24"/>
        </w:rPr>
        <w:t>legal remedy of the</w:t>
      </w:r>
      <w:r w:rsidRPr="00DD513C">
        <w:rPr>
          <w:rFonts w:eastAsia="Batang" w:cs="Arial"/>
          <w:bCs/>
          <w:sz w:val="24"/>
        </w:rPr>
        <w:t xml:space="preserve"> Judgment [C. </w:t>
      </w:r>
      <w:r w:rsidR="00832A12" w:rsidRPr="00DD513C">
        <w:rPr>
          <w:rFonts w:eastAsia="Batang" w:cs="Arial"/>
          <w:bCs/>
          <w:sz w:val="24"/>
        </w:rPr>
        <w:t>N</w:t>
      </w:r>
      <w:r w:rsidRPr="00DD513C">
        <w:rPr>
          <w:rFonts w:eastAsia="Batang" w:cs="Arial"/>
          <w:bCs/>
          <w:sz w:val="24"/>
        </w:rPr>
        <w:t>o. 179/18].</w:t>
      </w:r>
    </w:p>
    <w:p w:rsidR="00E95FBC" w:rsidRPr="00DD513C" w:rsidRDefault="00E95FBC" w:rsidP="00DD513C">
      <w:pPr>
        <w:tabs>
          <w:tab w:val="num" w:pos="630"/>
        </w:tabs>
        <w:spacing w:line="240" w:lineRule="auto"/>
        <w:ind w:left="630"/>
        <w:rPr>
          <w:rFonts w:eastAsia="Batang" w:cs="Arial"/>
          <w:bCs/>
          <w:sz w:val="24"/>
        </w:rPr>
      </w:pPr>
    </w:p>
    <w:p w:rsidR="00E95FBC" w:rsidRPr="00DD513C" w:rsidRDefault="00E95FBC" w:rsidP="00DD513C">
      <w:pPr>
        <w:numPr>
          <w:ilvl w:val="0"/>
          <w:numId w:val="4"/>
        </w:numPr>
        <w:tabs>
          <w:tab w:val="clear" w:pos="720"/>
          <w:tab w:val="num" w:pos="630"/>
        </w:tabs>
        <w:spacing w:line="240" w:lineRule="auto"/>
        <w:ind w:left="630" w:hanging="630"/>
        <w:rPr>
          <w:rFonts w:eastAsia="Batang" w:cs="Arial"/>
          <w:bCs/>
          <w:sz w:val="24"/>
        </w:rPr>
      </w:pPr>
      <w:r w:rsidRPr="00DD513C">
        <w:rPr>
          <w:rFonts w:eastAsia="Batang" w:cs="Arial"/>
          <w:bCs/>
          <w:sz w:val="24"/>
        </w:rPr>
        <w:t xml:space="preserve">The Court </w:t>
      </w:r>
      <w:r w:rsidR="00832A12" w:rsidRPr="00DD513C">
        <w:rPr>
          <w:rFonts w:eastAsia="Batang" w:cs="Arial"/>
          <w:bCs/>
          <w:sz w:val="24"/>
        </w:rPr>
        <w:t>notes</w:t>
      </w:r>
      <w:r w:rsidRPr="00DD513C">
        <w:rPr>
          <w:rFonts w:eastAsia="Batang" w:cs="Arial"/>
          <w:bCs/>
          <w:sz w:val="24"/>
        </w:rPr>
        <w:t xml:space="preserve"> that in the present case the Supreme Court justified</w:t>
      </w:r>
      <w:r w:rsidR="00832A12" w:rsidRPr="00DD513C">
        <w:rPr>
          <w:rFonts w:eastAsia="Batang" w:cs="Arial"/>
          <w:bCs/>
          <w:sz w:val="24"/>
        </w:rPr>
        <w:t xml:space="preserve"> to</w:t>
      </w:r>
      <w:r w:rsidRPr="00DD513C">
        <w:rPr>
          <w:rFonts w:eastAsia="Batang" w:cs="Arial"/>
          <w:bCs/>
          <w:sz w:val="24"/>
        </w:rPr>
        <w:t xml:space="preserve"> the Applicant that the subject of the review was the legality of the termination of the employment relationship and</w:t>
      </w:r>
      <w:r w:rsidR="00832A12" w:rsidRPr="00DD513C">
        <w:rPr>
          <w:rFonts w:eastAsia="Batang" w:cs="Arial"/>
          <w:bCs/>
          <w:sz w:val="24"/>
        </w:rPr>
        <w:t>,</w:t>
      </w:r>
      <w:r w:rsidRPr="00DD513C">
        <w:rPr>
          <w:rFonts w:eastAsia="Batang" w:cs="Arial"/>
          <w:bCs/>
          <w:sz w:val="24"/>
        </w:rPr>
        <w:t xml:space="preserve"> therefore</w:t>
      </w:r>
      <w:r w:rsidR="00832A12" w:rsidRPr="00DD513C">
        <w:rPr>
          <w:rFonts w:eastAsia="Batang" w:cs="Arial"/>
          <w:bCs/>
          <w:sz w:val="24"/>
        </w:rPr>
        <w:t>,</w:t>
      </w:r>
      <w:r w:rsidRPr="00DD513C">
        <w:rPr>
          <w:rFonts w:eastAsia="Batang" w:cs="Arial"/>
          <w:bCs/>
          <w:sz w:val="24"/>
        </w:rPr>
        <w:t xml:space="preserve"> the Supreme Court found that </w:t>
      </w:r>
      <w:r w:rsidR="00832A12" w:rsidRPr="00DD513C">
        <w:rPr>
          <w:rFonts w:eastAsia="Batang" w:cs="Arial"/>
          <w:bCs/>
          <w:sz w:val="24"/>
        </w:rPr>
        <w:t>the employment relationship of the employee was</w:t>
      </w:r>
      <w:r w:rsidRPr="00DD513C">
        <w:rPr>
          <w:rFonts w:eastAsia="Batang" w:cs="Arial"/>
          <w:bCs/>
          <w:sz w:val="24"/>
        </w:rPr>
        <w:t xml:space="preserve"> not terminated according t</w:t>
      </w:r>
      <w:r w:rsidR="00832A12" w:rsidRPr="00DD513C">
        <w:rPr>
          <w:rFonts w:eastAsia="Batang" w:cs="Arial"/>
          <w:bCs/>
          <w:sz w:val="24"/>
        </w:rPr>
        <w:t>o the legal provisions in force</w:t>
      </w:r>
      <w:r w:rsidRPr="00DD513C">
        <w:rPr>
          <w:rFonts w:eastAsia="Batang" w:cs="Arial"/>
          <w:bCs/>
          <w:sz w:val="24"/>
        </w:rPr>
        <w:t>.</w:t>
      </w:r>
    </w:p>
    <w:p w:rsidR="00E95FBC" w:rsidRPr="00DD513C" w:rsidRDefault="00E95FBC" w:rsidP="00DD513C">
      <w:pPr>
        <w:tabs>
          <w:tab w:val="num" w:pos="630"/>
        </w:tabs>
        <w:spacing w:line="240" w:lineRule="auto"/>
        <w:ind w:left="630"/>
        <w:rPr>
          <w:rFonts w:eastAsia="Batang" w:cs="Arial"/>
          <w:bCs/>
          <w:sz w:val="24"/>
        </w:rPr>
      </w:pPr>
    </w:p>
    <w:p w:rsidR="00E95FBC" w:rsidRPr="00DD513C" w:rsidRDefault="00E95FBC" w:rsidP="00DD513C">
      <w:pPr>
        <w:numPr>
          <w:ilvl w:val="0"/>
          <w:numId w:val="4"/>
        </w:numPr>
        <w:tabs>
          <w:tab w:val="clear" w:pos="720"/>
          <w:tab w:val="num" w:pos="630"/>
        </w:tabs>
        <w:spacing w:line="240" w:lineRule="auto"/>
        <w:ind w:left="630" w:hanging="630"/>
        <w:rPr>
          <w:rFonts w:eastAsia="Batang" w:cs="Arial"/>
          <w:bCs/>
          <w:sz w:val="24"/>
        </w:rPr>
      </w:pPr>
      <w:r w:rsidRPr="00DD513C">
        <w:rPr>
          <w:rFonts w:eastAsia="Batang" w:cs="Arial"/>
          <w:bCs/>
          <w:sz w:val="24"/>
        </w:rPr>
        <w:t>Therefore, the Court finds that the Applicant's allegation of violation of the principle of legal certainty is un</w:t>
      </w:r>
      <w:r w:rsidR="00832A12" w:rsidRPr="00DD513C">
        <w:rPr>
          <w:rFonts w:eastAsia="Batang" w:cs="Arial"/>
          <w:bCs/>
          <w:sz w:val="24"/>
        </w:rPr>
        <w:t>gr</w:t>
      </w:r>
      <w:r w:rsidRPr="00DD513C">
        <w:rPr>
          <w:rFonts w:eastAsia="Batang" w:cs="Arial"/>
          <w:bCs/>
          <w:sz w:val="24"/>
        </w:rPr>
        <w:t xml:space="preserve">ounded on constitutional </w:t>
      </w:r>
      <w:r w:rsidR="00832A12" w:rsidRPr="00DD513C">
        <w:rPr>
          <w:rFonts w:eastAsia="Batang" w:cs="Arial"/>
          <w:bCs/>
          <w:sz w:val="24"/>
        </w:rPr>
        <w:t>basis</w:t>
      </w:r>
      <w:r w:rsidRPr="00DD513C">
        <w:rPr>
          <w:rFonts w:eastAsia="Batang" w:cs="Arial"/>
          <w:bCs/>
          <w:sz w:val="24"/>
        </w:rPr>
        <w:t>.</w:t>
      </w:r>
    </w:p>
    <w:p w:rsidR="00832A12" w:rsidRPr="00DD513C" w:rsidRDefault="00832A12" w:rsidP="00DD513C">
      <w:pPr>
        <w:pStyle w:val="ListParagraph"/>
        <w:tabs>
          <w:tab w:val="num" w:pos="630"/>
        </w:tabs>
        <w:spacing w:line="240" w:lineRule="auto"/>
        <w:rPr>
          <w:rFonts w:eastAsia="Batang" w:cs="Arial"/>
          <w:bCs/>
          <w:sz w:val="24"/>
        </w:rPr>
      </w:pPr>
    </w:p>
    <w:p w:rsidR="00832A12" w:rsidRPr="00DD513C" w:rsidRDefault="00832A12" w:rsidP="00DD513C">
      <w:pPr>
        <w:tabs>
          <w:tab w:val="num" w:pos="630"/>
        </w:tabs>
        <w:spacing w:line="240" w:lineRule="auto"/>
        <w:ind w:left="630" w:hanging="630"/>
        <w:rPr>
          <w:rFonts w:eastAsia="Batang" w:cs="Arial"/>
          <w:b/>
          <w:i/>
          <w:iCs/>
          <w:sz w:val="24"/>
        </w:rPr>
      </w:pPr>
      <w:r w:rsidRPr="00DD513C">
        <w:rPr>
          <w:rFonts w:eastAsia="Batang" w:cs="Arial"/>
          <w:b/>
          <w:i/>
          <w:iCs/>
          <w:sz w:val="24"/>
        </w:rPr>
        <w:t>(iv)  Regarding the allegations of violation of Articles 24, 32 and 46 of the Constitution</w:t>
      </w:r>
    </w:p>
    <w:p w:rsidR="00E95FBC" w:rsidRPr="00DD513C" w:rsidRDefault="00E95FBC" w:rsidP="00DD513C">
      <w:pPr>
        <w:pStyle w:val="ListParagraph"/>
        <w:tabs>
          <w:tab w:val="num" w:pos="630"/>
        </w:tabs>
        <w:spacing w:line="240" w:lineRule="auto"/>
        <w:rPr>
          <w:sz w:val="24"/>
        </w:rPr>
      </w:pPr>
    </w:p>
    <w:p w:rsidR="00832A12" w:rsidRPr="00DD513C" w:rsidRDefault="00832A12" w:rsidP="00DD513C">
      <w:pPr>
        <w:numPr>
          <w:ilvl w:val="0"/>
          <w:numId w:val="4"/>
        </w:numPr>
        <w:tabs>
          <w:tab w:val="clear" w:pos="720"/>
          <w:tab w:val="num" w:pos="630"/>
        </w:tabs>
        <w:spacing w:line="240" w:lineRule="auto"/>
        <w:ind w:left="630" w:hanging="630"/>
        <w:rPr>
          <w:rFonts w:eastAsia="Batang" w:cs="Arial"/>
          <w:bCs/>
          <w:sz w:val="24"/>
        </w:rPr>
      </w:pPr>
      <w:r w:rsidRPr="00DD513C">
        <w:rPr>
          <w:rFonts w:eastAsia="Batang" w:cs="Arial"/>
          <w:bCs/>
          <w:sz w:val="24"/>
        </w:rPr>
        <w:lastRenderedPageBreak/>
        <w:t xml:space="preserve">Finally, the Court recalls that the Applicant links the violation of Articles 24, 32 and 46 of the Constitution, as well as </w:t>
      </w:r>
      <w:r w:rsidR="00D74A92" w:rsidRPr="00DD513C">
        <w:rPr>
          <w:rFonts w:eastAsia="Batang" w:cs="Arial"/>
          <w:bCs/>
          <w:sz w:val="24"/>
        </w:rPr>
        <w:t xml:space="preserve">of </w:t>
      </w:r>
      <w:r w:rsidRPr="00DD513C">
        <w:rPr>
          <w:rFonts w:eastAsia="Batang" w:cs="Arial"/>
          <w:bCs/>
          <w:sz w:val="24"/>
        </w:rPr>
        <w:t xml:space="preserve">Protocol </w:t>
      </w:r>
      <w:r w:rsidR="00D74A92" w:rsidRPr="00DD513C">
        <w:rPr>
          <w:rFonts w:eastAsia="Batang" w:cs="Arial"/>
          <w:bCs/>
          <w:sz w:val="24"/>
        </w:rPr>
        <w:t>N</w:t>
      </w:r>
      <w:r w:rsidRPr="00DD513C">
        <w:rPr>
          <w:rFonts w:eastAsia="Batang" w:cs="Arial"/>
          <w:bCs/>
          <w:sz w:val="24"/>
        </w:rPr>
        <w:t xml:space="preserve">o. 1 of the ECHR </w:t>
      </w:r>
      <w:r w:rsidR="00D74A92" w:rsidRPr="00DD513C">
        <w:rPr>
          <w:rFonts w:eastAsia="Batang" w:cs="Arial"/>
          <w:bCs/>
          <w:sz w:val="24"/>
        </w:rPr>
        <w:t>with</w:t>
      </w:r>
      <w:r w:rsidRPr="00DD513C">
        <w:rPr>
          <w:rFonts w:eastAsia="Batang" w:cs="Arial"/>
          <w:bCs/>
          <w:sz w:val="24"/>
        </w:rPr>
        <w:t xml:space="preserve"> violation of Article 31 of the Constitution.</w:t>
      </w:r>
    </w:p>
    <w:p w:rsidR="00832A12" w:rsidRPr="00DD513C" w:rsidRDefault="00832A12" w:rsidP="00DD513C">
      <w:pPr>
        <w:tabs>
          <w:tab w:val="num" w:pos="630"/>
        </w:tabs>
        <w:spacing w:line="240" w:lineRule="auto"/>
        <w:ind w:left="630"/>
        <w:rPr>
          <w:rFonts w:eastAsia="Batang" w:cs="Arial"/>
          <w:bCs/>
          <w:sz w:val="24"/>
        </w:rPr>
      </w:pPr>
    </w:p>
    <w:p w:rsidR="00832A12" w:rsidRPr="00DD513C" w:rsidRDefault="00832A12" w:rsidP="00DD513C">
      <w:pPr>
        <w:numPr>
          <w:ilvl w:val="0"/>
          <w:numId w:val="4"/>
        </w:numPr>
        <w:tabs>
          <w:tab w:val="clear" w:pos="720"/>
          <w:tab w:val="num" w:pos="630"/>
        </w:tabs>
        <w:spacing w:line="240" w:lineRule="auto"/>
        <w:ind w:left="630" w:hanging="630"/>
        <w:rPr>
          <w:rFonts w:eastAsia="Batang" w:cs="Arial"/>
          <w:b/>
          <w:sz w:val="24"/>
        </w:rPr>
      </w:pPr>
      <w:r w:rsidRPr="00DD513C">
        <w:rPr>
          <w:rFonts w:eastAsia="Batang" w:cs="Arial"/>
          <w:bCs/>
          <w:sz w:val="24"/>
        </w:rPr>
        <w:t xml:space="preserve">The Applicant merely mentioned these articles without explaining and elaborating </w:t>
      </w:r>
      <w:r w:rsidR="00D74A92" w:rsidRPr="00DD513C">
        <w:rPr>
          <w:rFonts w:eastAsia="Batang" w:cs="Arial"/>
          <w:bCs/>
          <w:sz w:val="24"/>
        </w:rPr>
        <w:t>as to</w:t>
      </w:r>
      <w:r w:rsidRPr="00DD513C">
        <w:rPr>
          <w:rFonts w:eastAsia="Batang" w:cs="Arial"/>
          <w:bCs/>
          <w:sz w:val="24"/>
        </w:rPr>
        <w:t xml:space="preserve"> how they resulted in a violation of his constitutional rights</w:t>
      </w:r>
      <w:r w:rsidR="00D74A92" w:rsidRPr="00DD513C">
        <w:rPr>
          <w:rFonts w:eastAsia="Batang" w:cs="Arial"/>
          <w:bCs/>
          <w:sz w:val="24"/>
        </w:rPr>
        <w:t>, as</w:t>
      </w:r>
      <w:r w:rsidRPr="00DD513C">
        <w:rPr>
          <w:rFonts w:eastAsia="Batang" w:cs="Arial"/>
          <w:bCs/>
          <w:sz w:val="24"/>
        </w:rPr>
        <w:t xml:space="preserve"> </w:t>
      </w:r>
      <w:r w:rsidR="00D74A92" w:rsidRPr="00DD513C">
        <w:rPr>
          <w:rFonts w:eastAsia="Batang" w:cs="Arial"/>
          <w:bCs/>
          <w:sz w:val="24"/>
        </w:rPr>
        <w:t xml:space="preserve">a result of his allegation of </w:t>
      </w:r>
      <w:r w:rsidRPr="00DD513C">
        <w:rPr>
          <w:rFonts w:eastAsia="Batang" w:cs="Arial"/>
          <w:bCs/>
          <w:sz w:val="24"/>
        </w:rPr>
        <w:t>violation of Article 31 of the Constitution</w:t>
      </w:r>
      <w:r w:rsidR="00D74A92" w:rsidRPr="00DD513C">
        <w:rPr>
          <w:rFonts w:eastAsia="Batang" w:cs="Arial"/>
          <w:bCs/>
          <w:sz w:val="24"/>
        </w:rPr>
        <w:t>,</w:t>
      </w:r>
      <w:r w:rsidRPr="00DD513C">
        <w:rPr>
          <w:rFonts w:eastAsia="Batang" w:cs="Arial"/>
          <w:bCs/>
          <w:sz w:val="24"/>
        </w:rPr>
        <w:t xml:space="preserve"> the Court considers that there is no need to be considered as </w:t>
      </w:r>
      <w:r w:rsidR="00B3351F" w:rsidRPr="00DD513C">
        <w:rPr>
          <w:rFonts w:eastAsia="Batang" w:cs="Arial"/>
          <w:bCs/>
          <w:sz w:val="24"/>
        </w:rPr>
        <w:t xml:space="preserve">separate </w:t>
      </w:r>
      <w:r w:rsidRPr="00DD513C">
        <w:rPr>
          <w:rFonts w:eastAsia="Batang" w:cs="Arial"/>
          <w:bCs/>
          <w:sz w:val="24"/>
        </w:rPr>
        <w:t>allegations</w:t>
      </w:r>
      <w:r w:rsidRPr="00DD513C">
        <w:rPr>
          <w:rFonts w:eastAsia="Batang" w:cs="Arial"/>
          <w:b/>
          <w:sz w:val="24"/>
        </w:rPr>
        <w:t>.</w:t>
      </w:r>
    </w:p>
    <w:p w:rsidR="00832A12" w:rsidRPr="00DD513C" w:rsidRDefault="00832A12" w:rsidP="00DD513C">
      <w:pPr>
        <w:tabs>
          <w:tab w:val="num" w:pos="630"/>
        </w:tabs>
        <w:spacing w:line="240" w:lineRule="auto"/>
        <w:ind w:left="630"/>
        <w:rPr>
          <w:rFonts w:eastAsia="Batang" w:cs="Arial"/>
          <w:b/>
          <w:sz w:val="24"/>
        </w:rPr>
      </w:pPr>
    </w:p>
    <w:p w:rsidR="00342A3C" w:rsidRPr="00DD513C" w:rsidRDefault="00061A7B" w:rsidP="00DD513C">
      <w:pPr>
        <w:numPr>
          <w:ilvl w:val="0"/>
          <w:numId w:val="4"/>
        </w:numPr>
        <w:tabs>
          <w:tab w:val="clear" w:pos="720"/>
          <w:tab w:val="num" w:pos="630"/>
        </w:tabs>
        <w:spacing w:line="240" w:lineRule="auto"/>
        <w:ind w:left="630" w:hanging="630"/>
        <w:rPr>
          <w:rFonts w:eastAsia="Batang" w:cs="Arial"/>
          <w:b/>
          <w:sz w:val="24"/>
        </w:rPr>
      </w:pPr>
      <w:r w:rsidRPr="00DD513C">
        <w:rPr>
          <w:sz w:val="24"/>
        </w:rPr>
        <w:t>The Court recalls that the mere fact that the Applicant does not agree with the outcome of the decisions of the Supreme Court</w:t>
      </w:r>
      <w:r w:rsidRPr="00DD513C">
        <w:rPr>
          <w:color w:val="000000"/>
          <w:sz w:val="24"/>
        </w:rPr>
        <w:t xml:space="preserve">, </w:t>
      </w:r>
      <w:r w:rsidRPr="00DD513C">
        <w:rPr>
          <w:sz w:val="24"/>
        </w:rPr>
        <w:t>as well as mentioning of articles of the Constitution, are not sufficient to build a reasoned allegation of constitutional violations</w:t>
      </w:r>
      <w:r w:rsidRPr="00DD513C">
        <w:rPr>
          <w:color w:val="000000"/>
          <w:sz w:val="24"/>
        </w:rPr>
        <w:t xml:space="preserve">. When alleging such violations of the Constitution, the Applicants must provide reasoned allegations and convincing arguments (See, </w:t>
      </w:r>
      <w:r w:rsidRPr="00DD513C">
        <w:rPr>
          <w:i/>
          <w:iCs/>
          <w:color w:val="111111"/>
          <w:sz w:val="24"/>
        </w:rPr>
        <w:t>mutatis mutandis</w:t>
      </w:r>
      <w:r w:rsidRPr="00DD513C">
        <w:rPr>
          <w:color w:val="111111"/>
          <w:sz w:val="24"/>
        </w:rPr>
        <w:t xml:space="preserve">, </w:t>
      </w:r>
      <w:r w:rsidRPr="00DD513C">
        <w:rPr>
          <w:color w:val="000000"/>
          <w:sz w:val="24"/>
        </w:rPr>
        <w:t xml:space="preserve">case </w:t>
      </w:r>
      <w:r w:rsidRPr="00DD513C">
        <w:rPr>
          <w:sz w:val="24"/>
        </w:rPr>
        <w:t>of the Constitutional Court</w:t>
      </w:r>
      <w:r w:rsidR="00AD3387" w:rsidRPr="00DD513C">
        <w:rPr>
          <w:color w:val="000000"/>
          <w:sz w:val="24"/>
        </w:rPr>
        <w:t xml:space="preserve"> </w:t>
      </w:r>
      <w:r w:rsidR="00332512" w:rsidRPr="00DD513C">
        <w:rPr>
          <w:color w:val="000000"/>
          <w:sz w:val="24"/>
        </w:rPr>
        <w:t xml:space="preserve">KI136/14, </w:t>
      </w:r>
      <w:r w:rsidR="00332512" w:rsidRPr="00DD513C">
        <w:rPr>
          <w:i/>
          <w:iCs/>
          <w:color w:val="000000"/>
          <w:sz w:val="24"/>
        </w:rPr>
        <w:t>Abdullah Bajqinca</w:t>
      </w:r>
      <w:r w:rsidR="00332512" w:rsidRPr="00DD513C">
        <w:rPr>
          <w:color w:val="000000"/>
          <w:sz w:val="24"/>
        </w:rPr>
        <w:t xml:space="preserve">, </w:t>
      </w:r>
      <w:r w:rsidR="00AD3387" w:rsidRPr="00DD513C">
        <w:rPr>
          <w:color w:val="000000"/>
          <w:sz w:val="24"/>
        </w:rPr>
        <w:t xml:space="preserve">Resolution on Inadmissibility </w:t>
      </w:r>
      <w:r w:rsidR="00AD3387" w:rsidRPr="00DD513C">
        <w:rPr>
          <w:sz w:val="24"/>
        </w:rPr>
        <w:t>of 10 February 2015</w:t>
      </w:r>
      <w:r w:rsidR="00AD3387" w:rsidRPr="00DD513C">
        <w:rPr>
          <w:color w:val="000000"/>
          <w:sz w:val="24"/>
        </w:rPr>
        <w:t>,</w:t>
      </w:r>
      <w:r w:rsidRPr="00DD513C">
        <w:rPr>
          <w:color w:val="000000"/>
          <w:sz w:val="24"/>
        </w:rPr>
        <w:t xml:space="preserve"> paragraph </w:t>
      </w:r>
      <w:r w:rsidR="00342A3C" w:rsidRPr="00DD513C">
        <w:rPr>
          <w:sz w:val="24"/>
        </w:rPr>
        <w:t>33).</w:t>
      </w:r>
    </w:p>
    <w:p w:rsidR="00FD2768" w:rsidRPr="00DD513C" w:rsidRDefault="00FD2768" w:rsidP="00DD513C">
      <w:pPr>
        <w:pStyle w:val="ListParagraph"/>
        <w:tabs>
          <w:tab w:val="num" w:pos="630"/>
        </w:tabs>
        <w:spacing w:line="240" w:lineRule="auto"/>
        <w:ind w:left="630" w:hanging="630"/>
        <w:rPr>
          <w:rFonts w:eastAsia="Batang" w:cs="Arial"/>
          <w:b/>
          <w:color w:val="000000"/>
          <w:sz w:val="24"/>
          <w:lang w:val="en-US"/>
        </w:rPr>
      </w:pPr>
    </w:p>
    <w:p w:rsidR="00342A3C" w:rsidRPr="00DD513C" w:rsidRDefault="00061A7B" w:rsidP="00DD513C">
      <w:pPr>
        <w:numPr>
          <w:ilvl w:val="0"/>
          <w:numId w:val="4"/>
        </w:numPr>
        <w:tabs>
          <w:tab w:val="clear" w:pos="720"/>
          <w:tab w:val="num" w:pos="630"/>
        </w:tabs>
        <w:spacing w:line="240" w:lineRule="auto"/>
        <w:ind w:left="630" w:hanging="630"/>
        <w:rPr>
          <w:sz w:val="24"/>
        </w:rPr>
      </w:pPr>
      <w:r w:rsidRPr="00DD513C">
        <w:rPr>
          <w:bCs/>
          <w:iCs/>
          <w:color w:val="000000"/>
          <w:sz w:val="24"/>
        </w:rPr>
        <w:t>Therefore</w:t>
      </w:r>
      <w:r w:rsidR="00342A3C" w:rsidRPr="00DD513C">
        <w:rPr>
          <w:sz w:val="24"/>
        </w:rPr>
        <w:t xml:space="preserve">, </w:t>
      </w:r>
      <w:r w:rsidR="00D74A92" w:rsidRPr="00DD513C">
        <w:rPr>
          <w:bCs/>
          <w:iCs/>
          <w:color w:val="000000"/>
          <w:sz w:val="24"/>
        </w:rPr>
        <w:t xml:space="preserve">the Court finds that the Applicant's allegations of violation of his right to equality before the law, legal </w:t>
      </w:r>
      <w:r w:rsidR="00B3351F" w:rsidRPr="00DD513C">
        <w:rPr>
          <w:bCs/>
          <w:iCs/>
          <w:color w:val="000000"/>
          <w:sz w:val="24"/>
        </w:rPr>
        <w:t>remedies and property right</w:t>
      </w:r>
      <w:r w:rsidR="00D74A92" w:rsidRPr="00DD513C">
        <w:rPr>
          <w:bCs/>
          <w:iCs/>
          <w:color w:val="000000"/>
          <w:sz w:val="24"/>
        </w:rPr>
        <w:t xml:space="preserve"> are ungrounded on constitutional basis</w:t>
      </w:r>
      <w:r w:rsidR="00342A3C" w:rsidRPr="00DD513C">
        <w:rPr>
          <w:sz w:val="24"/>
        </w:rPr>
        <w:t xml:space="preserve">. </w:t>
      </w:r>
    </w:p>
    <w:p w:rsidR="00D74A92" w:rsidRPr="00DD513C" w:rsidRDefault="00D74A92" w:rsidP="00DD513C">
      <w:pPr>
        <w:pStyle w:val="ListParagraph"/>
        <w:tabs>
          <w:tab w:val="num" w:pos="630"/>
        </w:tabs>
        <w:spacing w:line="240" w:lineRule="auto"/>
        <w:rPr>
          <w:sz w:val="24"/>
        </w:rPr>
      </w:pPr>
    </w:p>
    <w:p w:rsidR="00D74A92" w:rsidRPr="00DD513C" w:rsidRDefault="00D74A92" w:rsidP="00DD513C">
      <w:pPr>
        <w:tabs>
          <w:tab w:val="num" w:pos="0"/>
        </w:tabs>
        <w:spacing w:line="240" w:lineRule="auto"/>
        <w:rPr>
          <w:b/>
          <w:bCs/>
          <w:i/>
          <w:iCs/>
          <w:sz w:val="24"/>
        </w:rPr>
      </w:pPr>
      <w:r w:rsidRPr="00DD513C">
        <w:rPr>
          <w:b/>
          <w:bCs/>
          <w:i/>
          <w:iCs/>
          <w:sz w:val="24"/>
        </w:rPr>
        <w:t>Conclusion</w:t>
      </w:r>
    </w:p>
    <w:p w:rsidR="00D74A92" w:rsidRPr="00DD513C" w:rsidRDefault="00D74A92" w:rsidP="00DD513C">
      <w:pPr>
        <w:tabs>
          <w:tab w:val="num" w:pos="630"/>
        </w:tabs>
        <w:spacing w:line="240" w:lineRule="auto"/>
        <w:ind w:left="630"/>
        <w:rPr>
          <w:b/>
          <w:bCs/>
          <w:i/>
          <w:iCs/>
          <w:sz w:val="24"/>
        </w:rPr>
      </w:pPr>
    </w:p>
    <w:p w:rsidR="00D74A92" w:rsidRPr="00DD513C" w:rsidRDefault="00D74A92" w:rsidP="00DD513C">
      <w:pPr>
        <w:numPr>
          <w:ilvl w:val="0"/>
          <w:numId w:val="4"/>
        </w:numPr>
        <w:spacing w:line="240" w:lineRule="auto"/>
        <w:ind w:hanging="720"/>
        <w:rPr>
          <w:sz w:val="24"/>
        </w:rPr>
      </w:pPr>
      <w:r w:rsidRPr="00DD513C">
        <w:rPr>
          <w:sz w:val="24"/>
        </w:rPr>
        <w:t xml:space="preserve">The Court considers that the Applicant's allegation of violation of </w:t>
      </w:r>
      <w:r w:rsidR="0028449F" w:rsidRPr="00DD513C">
        <w:rPr>
          <w:sz w:val="24"/>
        </w:rPr>
        <w:t>its</w:t>
      </w:r>
      <w:r w:rsidRPr="00DD513C">
        <w:rPr>
          <w:sz w:val="24"/>
        </w:rPr>
        <w:t xml:space="preserve"> constitutional right to fair and impartial trial due to violation of the principle of reasoning of the court decision </w:t>
      </w:r>
      <w:r w:rsidR="000A6662" w:rsidRPr="00DD513C">
        <w:rPr>
          <w:sz w:val="24"/>
        </w:rPr>
        <w:t>and</w:t>
      </w:r>
      <w:r w:rsidRPr="00DD513C">
        <w:rPr>
          <w:sz w:val="24"/>
        </w:rPr>
        <w:t xml:space="preserve"> the allegation of exceeding the competence </w:t>
      </w:r>
      <w:r w:rsidR="0028449F" w:rsidRPr="00DD513C">
        <w:rPr>
          <w:sz w:val="24"/>
        </w:rPr>
        <w:t>by</w:t>
      </w:r>
      <w:r w:rsidRPr="00DD513C">
        <w:rPr>
          <w:sz w:val="24"/>
        </w:rPr>
        <w:t xml:space="preserve"> the Supreme Court, as well as the Applicant's allegation of violation of the principle of legal certainty are ungrounded on constitutional basis. </w:t>
      </w:r>
      <w:r w:rsidR="000A6662" w:rsidRPr="00DD513C">
        <w:rPr>
          <w:sz w:val="24"/>
        </w:rPr>
        <w:t>The</w:t>
      </w:r>
      <w:r w:rsidRPr="00DD513C">
        <w:rPr>
          <w:sz w:val="24"/>
        </w:rPr>
        <w:t xml:space="preserve"> allegations of violation of </w:t>
      </w:r>
      <w:r w:rsidR="0028449F" w:rsidRPr="00DD513C">
        <w:rPr>
          <w:sz w:val="24"/>
        </w:rPr>
        <w:t>its</w:t>
      </w:r>
      <w:r w:rsidRPr="00DD513C">
        <w:rPr>
          <w:sz w:val="24"/>
        </w:rPr>
        <w:t xml:space="preserve"> right to equality before the law, </w:t>
      </w:r>
      <w:r w:rsidR="000A6662" w:rsidRPr="00DD513C">
        <w:rPr>
          <w:sz w:val="24"/>
        </w:rPr>
        <w:t xml:space="preserve">legal </w:t>
      </w:r>
      <w:r w:rsidRPr="00DD513C">
        <w:rPr>
          <w:sz w:val="24"/>
        </w:rPr>
        <w:t xml:space="preserve">remedies and property rights are </w:t>
      </w:r>
      <w:r w:rsidR="000A6662" w:rsidRPr="00DD513C">
        <w:rPr>
          <w:sz w:val="24"/>
        </w:rPr>
        <w:t xml:space="preserve">also </w:t>
      </w:r>
      <w:r w:rsidRPr="00DD513C">
        <w:rPr>
          <w:sz w:val="24"/>
        </w:rPr>
        <w:t xml:space="preserve">ungrounded on constitutional </w:t>
      </w:r>
      <w:r w:rsidR="000A6662" w:rsidRPr="00DD513C">
        <w:rPr>
          <w:sz w:val="24"/>
        </w:rPr>
        <w:t>basis</w:t>
      </w:r>
      <w:r w:rsidRPr="00DD513C">
        <w:rPr>
          <w:sz w:val="24"/>
        </w:rPr>
        <w:t>.</w:t>
      </w:r>
    </w:p>
    <w:p w:rsidR="00D74A92" w:rsidRPr="00DD513C" w:rsidRDefault="00D74A92" w:rsidP="00DD513C">
      <w:pPr>
        <w:tabs>
          <w:tab w:val="num" w:pos="630"/>
        </w:tabs>
        <w:spacing w:line="240" w:lineRule="auto"/>
        <w:ind w:left="720"/>
        <w:rPr>
          <w:sz w:val="24"/>
        </w:rPr>
      </w:pPr>
    </w:p>
    <w:p w:rsidR="00D74A92" w:rsidRPr="00DD513C" w:rsidRDefault="00D74A92" w:rsidP="00DD513C">
      <w:pPr>
        <w:numPr>
          <w:ilvl w:val="0"/>
          <w:numId w:val="4"/>
        </w:numPr>
        <w:spacing w:line="240" w:lineRule="auto"/>
        <w:ind w:hanging="720"/>
        <w:rPr>
          <w:sz w:val="24"/>
        </w:rPr>
      </w:pPr>
      <w:r w:rsidRPr="00DD513C">
        <w:rPr>
          <w:sz w:val="24"/>
        </w:rPr>
        <w:t>In sum, the Court considers that the Applicant has not provided evidence, facts and arguments</w:t>
      </w:r>
      <w:r w:rsidR="000A6662" w:rsidRPr="00DD513C">
        <w:rPr>
          <w:sz w:val="24"/>
        </w:rPr>
        <w:t xml:space="preserve">, showing </w:t>
      </w:r>
      <w:r w:rsidRPr="00DD513C">
        <w:rPr>
          <w:sz w:val="24"/>
        </w:rPr>
        <w:t xml:space="preserve">that the proceedings </w:t>
      </w:r>
      <w:r w:rsidR="000A6662" w:rsidRPr="00DD513C">
        <w:rPr>
          <w:sz w:val="24"/>
        </w:rPr>
        <w:t>before</w:t>
      </w:r>
      <w:r w:rsidRPr="00DD513C">
        <w:rPr>
          <w:sz w:val="24"/>
        </w:rPr>
        <w:t xml:space="preserve"> the regular courts have presented in </w:t>
      </w:r>
      <w:r w:rsidR="000A6662" w:rsidRPr="00DD513C">
        <w:rPr>
          <w:sz w:val="24"/>
        </w:rPr>
        <w:t>any</w:t>
      </w:r>
      <w:r w:rsidRPr="00DD513C">
        <w:rPr>
          <w:sz w:val="24"/>
        </w:rPr>
        <w:t xml:space="preserve"> way a constitutional violation of their rights guaranteed by the Constitution, which allegedly violate the right guaranteed by Article 31 of the Constitution in conjunction with Article 6 of the ECHR and Articles 24, 32 and Article 46 of the Constitution in conjunction with Article 1 of Protocol </w:t>
      </w:r>
      <w:r w:rsidR="000A6662" w:rsidRPr="00DD513C">
        <w:rPr>
          <w:sz w:val="24"/>
        </w:rPr>
        <w:t xml:space="preserve">No. </w:t>
      </w:r>
      <w:r w:rsidRPr="00DD513C">
        <w:rPr>
          <w:sz w:val="24"/>
        </w:rPr>
        <w:t>1 to the ECHR.</w:t>
      </w:r>
    </w:p>
    <w:p w:rsidR="00D74A92" w:rsidRPr="00DD513C" w:rsidRDefault="00D74A92" w:rsidP="00DD513C">
      <w:pPr>
        <w:tabs>
          <w:tab w:val="num" w:pos="630"/>
        </w:tabs>
        <w:spacing w:line="240" w:lineRule="auto"/>
        <w:ind w:left="720"/>
        <w:rPr>
          <w:sz w:val="24"/>
        </w:rPr>
      </w:pPr>
    </w:p>
    <w:p w:rsidR="00D74A92" w:rsidRPr="00DD513C" w:rsidRDefault="000A6662" w:rsidP="00DD513C">
      <w:pPr>
        <w:numPr>
          <w:ilvl w:val="0"/>
          <w:numId w:val="4"/>
        </w:numPr>
        <w:spacing w:line="240" w:lineRule="auto"/>
        <w:ind w:hanging="720"/>
        <w:rPr>
          <w:sz w:val="24"/>
        </w:rPr>
      </w:pPr>
      <w:r w:rsidRPr="00DD513C">
        <w:rPr>
          <w:sz w:val="24"/>
        </w:rPr>
        <w:t>Therefore</w:t>
      </w:r>
      <w:r w:rsidR="00D74A92" w:rsidRPr="00DD513C">
        <w:rPr>
          <w:sz w:val="24"/>
        </w:rPr>
        <w:t xml:space="preserve">, the Court concludes that the Referral is manifestly ill-founded on constitutional </w:t>
      </w:r>
      <w:r w:rsidRPr="00DD513C">
        <w:rPr>
          <w:sz w:val="24"/>
        </w:rPr>
        <w:t>basis</w:t>
      </w:r>
      <w:r w:rsidR="00D74A92" w:rsidRPr="00DD513C">
        <w:rPr>
          <w:sz w:val="24"/>
        </w:rPr>
        <w:t xml:space="preserve"> and is declared inadmissible, </w:t>
      </w:r>
      <w:r w:rsidRPr="00DD513C">
        <w:rPr>
          <w:sz w:val="24"/>
        </w:rPr>
        <w:t>in accordance with</w:t>
      </w:r>
      <w:r w:rsidR="00D74A92" w:rsidRPr="00DD513C">
        <w:rPr>
          <w:sz w:val="24"/>
        </w:rPr>
        <w:t xml:space="preserve"> Article 113, paragraph 7 of the Constitution and Rule 39 (2) of the Rules of Procedure.</w:t>
      </w:r>
    </w:p>
    <w:p w:rsidR="00FD2768" w:rsidRPr="00DD513C" w:rsidRDefault="00FD2768" w:rsidP="00DD513C">
      <w:pPr>
        <w:tabs>
          <w:tab w:val="num" w:pos="630"/>
        </w:tabs>
        <w:suppressAutoHyphens/>
        <w:spacing w:line="240" w:lineRule="auto"/>
        <w:jc w:val="center"/>
        <w:rPr>
          <w:b/>
          <w:bCs/>
          <w:sz w:val="24"/>
          <w:lang w:eastAsia="ar-SA"/>
        </w:rPr>
      </w:pPr>
    </w:p>
    <w:p w:rsidR="00061A7B" w:rsidRPr="00DD513C" w:rsidRDefault="00061A7B" w:rsidP="00DD513C">
      <w:pPr>
        <w:pStyle w:val="ListParagraph"/>
        <w:tabs>
          <w:tab w:val="num" w:pos="630"/>
        </w:tabs>
        <w:spacing w:line="240" w:lineRule="auto"/>
        <w:jc w:val="center"/>
        <w:rPr>
          <w:b/>
          <w:bCs/>
          <w:sz w:val="24"/>
          <w:lang w:val="en-US"/>
        </w:rPr>
      </w:pPr>
      <w:r w:rsidRPr="00DD513C">
        <w:rPr>
          <w:b/>
          <w:bCs/>
          <w:sz w:val="24"/>
          <w:lang w:val="en-US"/>
        </w:rPr>
        <w:t>FOR THESE REASONS</w:t>
      </w:r>
    </w:p>
    <w:p w:rsidR="0030205B" w:rsidRPr="00DD513C" w:rsidRDefault="0030205B" w:rsidP="00DD513C">
      <w:pPr>
        <w:pStyle w:val="ListParagraph"/>
        <w:tabs>
          <w:tab w:val="num" w:pos="630"/>
        </w:tabs>
        <w:spacing w:line="240" w:lineRule="auto"/>
        <w:jc w:val="center"/>
        <w:rPr>
          <w:rFonts w:eastAsia="Calibri"/>
          <w:b/>
          <w:bCs/>
          <w:sz w:val="24"/>
          <w:lang w:val="en-US"/>
        </w:rPr>
      </w:pPr>
    </w:p>
    <w:p w:rsidR="00061A7B" w:rsidRPr="00DD513C" w:rsidRDefault="00061A7B" w:rsidP="00DD513C">
      <w:pPr>
        <w:tabs>
          <w:tab w:val="num" w:pos="630"/>
        </w:tabs>
        <w:spacing w:line="240" w:lineRule="auto"/>
        <w:rPr>
          <w:sz w:val="24"/>
        </w:rPr>
      </w:pPr>
      <w:r w:rsidRPr="00DD513C">
        <w:rPr>
          <w:sz w:val="24"/>
        </w:rPr>
        <w:t xml:space="preserve">The Constitutional Court, in accordance with Article 113.7 of the Constitution, and Rule 39 (2) of the Rules of Procedure, on </w:t>
      </w:r>
      <w:r w:rsidR="000A6662" w:rsidRPr="00DD513C">
        <w:rPr>
          <w:sz w:val="24"/>
        </w:rPr>
        <w:t>20 June</w:t>
      </w:r>
      <w:r w:rsidRPr="00DD513C">
        <w:rPr>
          <w:sz w:val="24"/>
        </w:rPr>
        <w:t xml:space="preserve"> 2019, unanimously</w:t>
      </w:r>
    </w:p>
    <w:p w:rsidR="0030205B" w:rsidRPr="00DD513C" w:rsidRDefault="0030205B" w:rsidP="00DD513C">
      <w:pPr>
        <w:tabs>
          <w:tab w:val="num" w:pos="630"/>
        </w:tabs>
        <w:spacing w:line="240" w:lineRule="auto"/>
        <w:jc w:val="center"/>
        <w:rPr>
          <w:b/>
          <w:color w:val="000000"/>
          <w:sz w:val="24"/>
        </w:rPr>
      </w:pPr>
    </w:p>
    <w:p w:rsidR="0030205B" w:rsidRPr="00DD513C" w:rsidRDefault="00061A7B" w:rsidP="00DD513C">
      <w:pPr>
        <w:tabs>
          <w:tab w:val="num" w:pos="630"/>
        </w:tabs>
        <w:spacing w:line="240" w:lineRule="auto"/>
        <w:jc w:val="center"/>
        <w:rPr>
          <w:b/>
          <w:color w:val="000000"/>
          <w:sz w:val="24"/>
        </w:rPr>
      </w:pPr>
      <w:r w:rsidRPr="00DD513C">
        <w:rPr>
          <w:b/>
          <w:color w:val="000000"/>
          <w:sz w:val="24"/>
        </w:rPr>
        <w:t>DECIDES</w:t>
      </w:r>
    </w:p>
    <w:p w:rsidR="0030205B" w:rsidRPr="00DD513C" w:rsidRDefault="0030205B" w:rsidP="00DD513C">
      <w:pPr>
        <w:tabs>
          <w:tab w:val="num" w:pos="630"/>
        </w:tabs>
        <w:spacing w:line="240" w:lineRule="auto"/>
        <w:ind w:left="1440" w:hanging="630"/>
        <w:rPr>
          <w:color w:val="000000"/>
          <w:sz w:val="24"/>
        </w:rPr>
      </w:pPr>
    </w:p>
    <w:p w:rsidR="00061A7B" w:rsidRPr="00DD513C" w:rsidRDefault="00061A7B" w:rsidP="00DD513C">
      <w:pPr>
        <w:numPr>
          <w:ilvl w:val="0"/>
          <w:numId w:val="38"/>
        </w:numPr>
        <w:tabs>
          <w:tab w:val="num" w:pos="630"/>
        </w:tabs>
        <w:spacing w:line="240" w:lineRule="auto"/>
        <w:ind w:left="1440" w:firstLine="0"/>
        <w:rPr>
          <w:sz w:val="24"/>
        </w:rPr>
      </w:pPr>
      <w:r w:rsidRPr="00DD513C">
        <w:rPr>
          <w:color w:val="000000"/>
          <w:sz w:val="24"/>
        </w:rPr>
        <w:t>TO DECLARE the Referral inadmissible</w:t>
      </w:r>
      <w:r w:rsidRPr="00DD513C">
        <w:rPr>
          <w:sz w:val="24"/>
        </w:rPr>
        <w:t>;</w:t>
      </w:r>
    </w:p>
    <w:p w:rsidR="00061A7B" w:rsidRPr="00DD513C" w:rsidRDefault="00061A7B" w:rsidP="00DD513C">
      <w:pPr>
        <w:tabs>
          <w:tab w:val="num" w:pos="630"/>
        </w:tabs>
        <w:spacing w:line="240" w:lineRule="auto"/>
        <w:ind w:left="1440"/>
        <w:rPr>
          <w:sz w:val="24"/>
        </w:rPr>
      </w:pPr>
    </w:p>
    <w:p w:rsidR="00061A7B" w:rsidRPr="00DD513C" w:rsidRDefault="00061A7B" w:rsidP="00DD513C">
      <w:pPr>
        <w:numPr>
          <w:ilvl w:val="0"/>
          <w:numId w:val="38"/>
        </w:numPr>
        <w:tabs>
          <w:tab w:val="num" w:pos="630"/>
        </w:tabs>
        <w:spacing w:line="240" w:lineRule="auto"/>
        <w:ind w:left="1440" w:firstLine="0"/>
        <w:rPr>
          <w:sz w:val="24"/>
        </w:rPr>
      </w:pPr>
      <w:r w:rsidRPr="00DD513C">
        <w:rPr>
          <w:color w:val="000000"/>
          <w:sz w:val="24"/>
        </w:rPr>
        <w:t>TO NOTIFY this Decision to the Parties</w:t>
      </w:r>
      <w:r w:rsidRPr="00DD513C">
        <w:rPr>
          <w:sz w:val="24"/>
        </w:rPr>
        <w:t>;</w:t>
      </w:r>
    </w:p>
    <w:p w:rsidR="00061A7B" w:rsidRPr="00DD513C" w:rsidRDefault="00061A7B" w:rsidP="00DD513C">
      <w:pPr>
        <w:tabs>
          <w:tab w:val="num" w:pos="630"/>
        </w:tabs>
        <w:spacing w:line="240" w:lineRule="auto"/>
        <w:ind w:left="1440"/>
        <w:rPr>
          <w:sz w:val="24"/>
        </w:rPr>
      </w:pPr>
    </w:p>
    <w:p w:rsidR="00061A7B" w:rsidRPr="00DD513C" w:rsidRDefault="00061A7B" w:rsidP="00DD513C">
      <w:pPr>
        <w:numPr>
          <w:ilvl w:val="0"/>
          <w:numId w:val="38"/>
        </w:numPr>
        <w:tabs>
          <w:tab w:val="num" w:pos="630"/>
        </w:tabs>
        <w:spacing w:line="240" w:lineRule="auto"/>
        <w:ind w:left="1440" w:firstLine="0"/>
        <w:rPr>
          <w:sz w:val="24"/>
        </w:rPr>
      </w:pPr>
      <w:r w:rsidRPr="00DD513C">
        <w:rPr>
          <w:color w:val="000000"/>
          <w:sz w:val="24"/>
        </w:rPr>
        <w:t xml:space="preserve">TO PUBLISH this Decision in the Official Gazette in accordance </w:t>
      </w:r>
      <w:r w:rsidRPr="00DD513C">
        <w:rPr>
          <w:color w:val="000000"/>
          <w:sz w:val="24"/>
        </w:rPr>
        <w:tab/>
        <w:t>with Article 20.4 of the Law</w:t>
      </w:r>
      <w:r w:rsidRPr="00DD513C">
        <w:rPr>
          <w:sz w:val="24"/>
        </w:rPr>
        <w:t>;</w:t>
      </w:r>
    </w:p>
    <w:p w:rsidR="00061A7B" w:rsidRPr="00DD513C" w:rsidRDefault="00061A7B" w:rsidP="00DD513C">
      <w:pPr>
        <w:pStyle w:val="ListParagraph"/>
        <w:tabs>
          <w:tab w:val="num" w:pos="630"/>
        </w:tabs>
        <w:spacing w:line="240" w:lineRule="auto"/>
        <w:rPr>
          <w:sz w:val="24"/>
          <w:lang w:val="en-US"/>
        </w:rPr>
      </w:pPr>
    </w:p>
    <w:p w:rsidR="0030205B" w:rsidRPr="00DD513C" w:rsidRDefault="00061A7B" w:rsidP="00DD513C">
      <w:pPr>
        <w:numPr>
          <w:ilvl w:val="0"/>
          <w:numId w:val="38"/>
        </w:numPr>
        <w:tabs>
          <w:tab w:val="num" w:pos="630"/>
        </w:tabs>
        <w:spacing w:line="240" w:lineRule="auto"/>
        <w:ind w:left="1440" w:firstLine="0"/>
        <w:rPr>
          <w:sz w:val="24"/>
        </w:rPr>
      </w:pPr>
      <w:r w:rsidRPr="00DD513C">
        <w:rPr>
          <w:color w:val="000000"/>
          <w:sz w:val="24"/>
        </w:rPr>
        <w:t>This Decision is effective immediately</w:t>
      </w:r>
      <w:r w:rsidR="0030205B" w:rsidRPr="00DD513C">
        <w:rPr>
          <w:color w:val="000000"/>
          <w:sz w:val="24"/>
        </w:rPr>
        <w:t>.</w:t>
      </w:r>
    </w:p>
    <w:p w:rsidR="0030205B" w:rsidRPr="00DD513C" w:rsidRDefault="0030205B" w:rsidP="00DD513C">
      <w:pPr>
        <w:tabs>
          <w:tab w:val="num" w:pos="630"/>
        </w:tabs>
        <w:spacing w:line="240" w:lineRule="auto"/>
        <w:rPr>
          <w:color w:val="000000"/>
          <w:sz w:val="24"/>
        </w:rPr>
      </w:pPr>
    </w:p>
    <w:p w:rsidR="0030205B" w:rsidRPr="00DD513C" w:rsidRDefault="0030205B" w:rsidP="00DD513C">
      <w:pPr>
        <w:tabs>
          <w:tab w:val="num" w:pos="630"/>
        </w:tabs>
        <w:spacing w:line="240" w:lineRule="auto"/>
        <w:rPr>
          <w:sz w:val="24"/>
        </w:rPr>
      </w:pPr>
    </w:p>
    <w:p w:rsidR="0030205B" w:rsidRPr="00DD513C" w:rsidRDefault="0030205B" w:rsidP="00DD513C">
      <w:pPr>
        <w:pStyle w:val="ListParagraph"/>
        <w:tabs>
          <w:tab w:val="num" w:pos="630"/>
        </w:tabs>
        <w:spacing w:line="240" w:lineRule="auto"/>
        <w:ind w:left="0"/>
        <w:rPr>
          <w:sz w:val="24"/>
          <w:lang w:val="en-US"/>
        </w:rPr>
      </w:pPr>
    </w:p>
    <w:p w:rsidR="0030205B" w:rsidRPr="00DD513C" w:rsidRDefault="0030205B" w:rsidP="00DD513C">
      <w:pPr>
        <w:pStyle w:val="ListParagraph"/>
        <w:tabs>
          <w:tab w:val="left" w:pos="540"/>
          <w:tab w:val="num" w:pos="630"/>
        </w:tabs>
        <w:spacing w:line="240" w:lineRule="auto"/>
        <w:ind w:left="0"/>
        <w:rPr>
          <w:rFonts w:cs="Arial"/>
          <w:sz w:val="24"/>
          <w:lang w:val="en-US"/>
        </w:rPr>
      </w:pPr>
    </w:p>
    <w:p w:rsidR="0030205B" w:rsidRPr="00DD513C" w:rsidRDefault="0030205B" w:rsidP="00DD513C">
      <w:pPr>
        <w:pStyle w:val="ListParagraph"/>
        <w:tabs>
          <w:tab w:val="left" w:pos="540"/>
          <w:tab w:val="num" w:pos="630"/>
        </w:tabs>
        <w:spacing w:line="240" w:lineRule="auto"/>
        <w:ind w:left="0"/>
        <w:rPr>
          <w:rFonts w:cs="Arial"/>
          <w:sz w:val="24"/>
          <w:lang w:val="en-US"/>
        </w:rPr>
      </w:pPr>
    </w:p>
    <w:p w:rsidR="00061A7B" w:rsidRPr="00DD513C" w:rsidRDefault="00061A7B" w:rsidP="003458F9">
      <w:pPr>
        <w:spacing w:line="240" w:lineRule="auto"/>
        <w:rPr>
          <w:sz w:val="24"/>
        </w:rPr>
      </w:pPr>
      <w:r w:rsidRPr="00DD513C">
        <w:rPr>
          <w:b/>
          <w:color w:val="000000"/>
          <w:sz w:val="24"/>
        </w:rPr>
        <w:t>Judge Rapporteur</w:t>
      </w:r>
      <w:r w:rsidRPr="00DD513C">
        <w:rPr>
          <w:b/>
          <w:sz w:val="24"/>
        </w:rPr>
        <w:tab/>
      </w:r>
      <w:r w:rsidRPr="00DD513C">
        <w:rPr>
          <w:b/>
          <w:sz w:val="24"/>
        </w:rPr>
        <w:tab/>
      </w:r>
      <w:r w:rsidRPr="00DD513C">
        <w:rPr>
          <w:b/>
          <w:sz w:val="24"/>
        </w:rPr>
        <w:tab/>
      </w:r>
      <w:r w:rsidRPr="00DD513C">
        <w:rPr>
          <w:b/>
          <w:color w:val="000000"/>
          <w:sz w:val="24"/>
        </w:rPr>
        <w:t>President of the Constitutional Court</w:t>
      </w:r>
    </w:p>
    <w:p w:rsidR="0030205B" w:rsidRPr="00DD513C" w:rsidRDefault="0030205B" w:rsidP="003458F9">
      <w:pPr>
        <w:spacing w:line="240" w:lineRule="auto"/>
        <w:jc w:val="left"/>
        <w:rPr>
          <w:rFonts w:cs="Arial"/>
          <w:b/>
          <w:color w:val="000000"/>
          <w:sz w:val="24"/>
        </w:rPr>
      </w:pPr>
    </w:p>
    <w:p w:rsidR="0030205B" w:rsidRPr="00DD513C" w:rsidRDefault="0030205B" w:rsidP="003458F9">
      <w:pPr>
        <w:spacing w:line="240" w:lineRule="auto"/>
        <w:rPr>
          <w:sz w:val="24"/>
        </w:rPr>
      </w:pPr>
    </w:p>
    <w:p w:rsidR="0030205B" w:rsidRPr="00DD513C" w:rsidRDefault="0030205B" w:rsidP="003458F9">
      <w:pPr>
        <w:spacing w:line="240" w:lineRule="auto"/>
        <w:rPr>
          <w:sz w:val="24"/>
        </w:rPr>
      </w:pPr>
    </w:p>
    <w:p w:rsidR="0030205B" w:rsidRPr="00DD513C" w:rsidRDefault="0030205B" w:rsidP="003458F9">
      <w:pPr>
        <w:spacing w:line="240" w:lineRule="auto"/>
        <w:rPr>
          <w:sz w:val="24"/>
        </w:rPr>
      </w:pPr>
    </w:p>
    <w:p w:rsidR="00182C10" w:rsidRPr="00DD513C" w:rsidRDefault="0030205B" w:rsidP="003458F9">
      <w:pPr>
        <w:spacing w:line="240" w:lineRule="auto"/>
        <w:rPr>
          <w:rFonts w:cs="Arial"/>
          <w:bCs/>
          <w:sz w:val="24"/>
        </w:rPr>
      </w:pPr>
      <w:r w:rsidRPr="00DD513C">
        <w:rPr>
          <w:rFonts w:cs="Arial"/>
          <w:bCs/>
          <w:sz w:val="24"/>
        </w:rPr>
        <w:t>Radomir Laban</w:t>
      </w:r>
      <w:r w:rsidRPr="00DD513C">
        <w:rPr>
          <w:rFonts w:cs="Arial"/>
          <w:bCs/>
          <w:sz w:val="24"/>
        </w:rPr>
        <w:tab/>
      </w:r>
      <w:r w:rsidRPr="00DD513C">
        <w:rPr>
          <w:rFonts w:cs="Arial"/>
          <w:bCs/>
          <w:sz w:val="24"/>
        </w:rPr>
        <w:tab/>
      </w:r>
      <w:r w:rsidR="00182C10" w:rsidRPr="00DD513C">
        <w:rPr>
          <w:rFonts w:cs="Arial"/>
          <w:bCs/>
          <w:sz w:val="24"/>
        </w:rPr>
        <w:tab/>
      </w:r>
      <w:r w:rsidR="00182C10" w:rsidRPr="00DD513C">
        <w:rPr>
          <w:rFonts w:cs="Arial"/>
          <w:bCs/>
          <w:sz w:val="24"/>
        </w:rPr>
        <w:tab/>
      </w:r>
      <w:r w:rsidR="00182C10" w:rsidRPr="00DD513C">
        <w:rPr>
          <w:rFonts w:cs="Arial"/>
          <w:color w:val="000000"/>
          <w:sz w:val="24"/>
        </w:rPr>
        <w:t>Arta Rama-Hajrizi</w:t>
      </w:r>
    </w:p>
    <w:p w:rsidR="003458F9" w:rsidRDefault="003458F9" w:rsidP="00DD513C">
      <w:pPr>
        <w:tabs>
          <w:tab w:val="num" w:pos="630"/>
        </w:tabs>
        <w:spacing w:line="240" w:lineRule="auto"/>
        <w:rPr>
          <w:rFonts w:eastAsia="Batang" w:cs="Arial"/>
          <w:b/>
          <w:color w:val="000000"/>
          <w:sz w:val="24"/>
        </w:rPr>
      </w:pPr>
    </w:p>
    <w:p w:rsidR="003458F9" w:rsidRPr="003458F9" w:rsidRDefault="003458F9" w:rsidP="003458F9">
      <w:pPr>
        <w:rPr>
          <w:rFonts w:eastAsia="Batang" w:cs="Arial"/>
          <w:sz w:val="24"/>
        </w:rPr>
      </w:pPr>
    </w:p>
    <w:p w:rsidR="003458F9" w:rsidRPr="003458F9" w:rsidRDefault="003458F9" w:rsidP="003458F9">
      <w:pPr>
        <w:rPr>
          <w:rFonts w:eastAsia="Batang" w:cs="Arial"/>
          <w:sz w:val="24"/>
        </w:rPr>
      </w:pPr>
    </w:p>
    <w:p w:rsidR="003458F9" w:rsidRPr="003458F9" w:rsidRDefault="003458F9" w:rsidP="003458F9">
      <w:pPr>
        <w:rPr>
          <w:rFonts w:eastAsia="Batang" w:cs="Arial"/>
          <w:sz w:val="24"/>
        </w:rPr>
      </w:pPr>
    </w:p>
    <w:p w:rsidR="003458F9" w:rsidRPr="003458F9" w:rsidRDefault="003458F9" w:rsidP="003458F9">
      <w:pPr>
        <w:rPr>
          <w:rFonts w:eastAsia="Batang" w:cs="Arial"/>
          <w:sz w:val="24"/>
        </w:rPr>
      </w:pPr>
    </w:p>
    <w:p w:rsidR="003458F9" w:rsidRPr="003458F9" w:rsidRDefault="003458F9" w:rsidP="003458F9">
      <w:pPr>
        <w:rPr>
          <w:rFonts w:eastAsia="Batang" w:cs="Arial"/>
          <w:sz w:val="24"/>
        </w:rPr>
      </w:pPr>
    </w:p>
    <w:p w:rsidR="003458F9" w:rsidRPr="003458F9" w:rsidRDefault="003458F9" w:rsidP="003458F9">
      <w:pPr>
        <w:rPr>
          <w:rFonts w:eastAsia="Batang" w:cs="Arial"/>
          <w:sz w:val="24"/>
        </w:rPr>
      </w:pPr>
    </w:p>
    <w:p w:rsidR="003458F9" w:rsidRPr="003458F9" w:rsidRDefault="003458F9" w:rsidP="003458F9">
      <w:pPr>
        <w:rPr>
          <w:rFonts w:eastAsia="Batang" w:cs="Arial"/>
          <w:sz w:val="24"/>
        </w:rPr>
      </w:pPr>
    </w:p>
    <w:p w:rsidR="003458F9" w:rsidRPr="003458F9" w:rsidRDefault="003458F9" w:rsidP="003458F9">
      <w:pPr>
        <w:rPr>
          <w:rFonts w:eastAsia="Batang" w:cs="Arial"/>
          <w:sz w:val="24"/>
        </w:rPr>
      </w:pPr>
    </w:p>
    <w:p w:rsidR="003458F9" w:rsidRPr="003458F9" w:rsidRDefault="003458F9" w:rsidP="003458F9">
      <w:pPr>
        <w:rPr>
          <w:rFonts w:eastAsia="Batang" w:cs="Arial"/>
          <w:sz w:val="24"/>
        </w:rPr>
      </w:pPr>
    </w:p>
    <w:p w:rsidR="003458F9" w:rsidRPr="003458F9" w:rsidRDefault="003458F9" w:rsidP="003458F9">
      <w:pPr>
        <w:rPr>
          <w:rFonts w:eastAsia="Batang" w:cs="Arial"/>
          <w:sz w:val="24"/>
        </w:rPr>
      </w:pPr>
    </w:p>
    <w:p w:rsidR="003458F9" w:rsidRPr="003458F9" w:rsidRDefault="003458F9" w:rsidP="003458F9">
      <w:pPr>
        <w:rPr>
          <w:rFonts w:eastAsia="Batang" w:cs="Arial"/>
          <w:sz w:val="24"/>
        </w:rPr>
      </w:pPr>
    </w:p>
    <w:p w:rsidR="003458F9" w:rsidRPr="003458F9" w:rsidRDefault="003458F9" w:rsidP="003458F9">
      <w:pPr>
        <w:rPr>
          <w:rFonts w:eastAsia="Batang" w:cs="Arial"/>
          <w:sz w:val="24"/>
        </w:rPr>
      </w:pPr>
    </w:p>
    <w:p w:rsidR="003458F9" w:rsidRPr="003458F9" w:rsidRDefault="003458F9" w:rsidP="003458F9">
      <w:pPr>
        <w:rPr>
          <w:rFonts w:eastAsia="Batang" w:cs="Arial"/>
          <w:sz w:val="24"/>
        </w:rPr>
      </w:pPr>
    </w:p>
    <w:p w:rsidR="003458F9" w:rsidRDefault="003458F9" w:rsidP="003458F9">
      <w:pPr>
        <w:rPr>
          <w:rFonts w:eastAsia="Batang" w:cs="Arial"/>
          <w:sz w:val="24"/>
        </w:rPr>
      </w:pPr>
    </w:p>
    <w:p w:rsidR="003458F9" w:rsidRPr="006A08AE" w:rsidRDefault="003458F9" w:rsidP="003458F9">
      <w:pPr>
        <w:jc w:val="center"/>
        <w:rPr>
          <w:sz w:val="24"/>
        </w:rPr>
      </w:pPr>
      <w:r>
        <w:rPr>
          <w:rFonts w:eastAsia="Batang" w:cs="Arial"/>
          <w:sz w:val="24"/>
        </w:rPr>
        <w:tab/>
      </w:r>
      <w:r w:rsidRPr="0084698D">
        <w:rPr>
          <w:rFonts w:ascii="Times New Roman" w:hAnsi="Times New Roman"/>
          <w:b/>
          <w:bCs/>
          <w:i/>
          <w:sz w:val="24"/>
        </w:rPr>
        <w:t>This translation is unofficial and serves for informational purposes only.</w:t>
      </w:r>
    </w:p>
    <w:p w:rsidR="00FC2A07" w:rsidRPr="003458F9" w:rsidRDefault="00FC2A07" w:rsidP="003458F9">
      <w:pPr>
        <w:tabs>
          <w:tab w:val="left" w:pos="915"/>
        </w:tabs>
        <w:rPr>
          <w:rFonts w:eastAsia="Batang" w:cs="Arial"/>
          <w:sz w:val="24"/>
        </w:rPr>
      </w:pPr>
    </w:p>
    <w:sectPr w:rsidR="00FC2A07" w:rsidRPr="003458F9" w:rsidSect="00DD513C">
      <w:footerReference w:type="default" r:id="rId7"/>
      <w:headerReference w:type="first" r:id="rId8"/>
      <w:footerReference w:type="first" r:id="rId9"/>
      <w:pgSz w:w="11907" w:h="16840" w:code="9"/>
      <w:pgMar w:top="1440" w:right="1440" w:bottom="1440" w:left="1440" w:header="1138" w:footer="6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17A" w:rsidRDefault="00B3017A" w:rsidP="0013536C">
      <w:pPr>
        <w:spacing w:line="240" w:lineRule="auto"/>
      </w:pPr>
      <w:r>
        <w:separator/>
      </w:r>
    </w:p>
  </w:endnote>
  <w:endnote w:type="continuationSeparator" w:id="0">
    <w:p w:rsidR="00B3017A" w:rsidRDefault="00B3017A" w:rsidP="001353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855" w:rsidRDefault="00D37855">
    <w:pPr>
      <w:pStyle w:val="Footer"/>
    </w:pPr>
  </w:p>
  <w:p w:rsidR="00D37855" w:rsidRDefault="00D37855" w:rsidP="006B2608">
    <w:pPr>
      <w:pStyle w:val="Footer"/>
      <w:jc w:val="center"/>
      <w:rPr>
        <w:sz w:val="22"/>
        <w:szCs w:val="22"/>
      </w:rPr>
    </w:pPr>
    <w:r w:rsidRPr="00E924CE">
      <w:rPr>
        <w:sz w:val="22"/>
        <w:szCs w:val="22"/>
      </w:rPr>
      <w:fldChar w:fldCharType="begin"/>
    </w:r>
    <w:r w:rsidRPr="00E924CE">
      <w:rPr>
        <w:sz w:val="22"/>
        <w:szCs w:val="22"/>
      </w:rPr>
      <w:instrText xml:space="preserve"> PAGE  \* Arabic  \* MERGEFORMAT </w:instrText>
    </w:r>
    <w:r w:rsidRPr="00E924CE">
      <w:rPr>
        <w:sz w:val="22"/>
        <w:szCs w:val="22"/>
      </w:rPr>
      <w:fldChar w:fldCharType="separate"/>
    </w:r>
    <w:r w:rsidR="00092632">
      <w:rPr>
        <w:noProof/>
        <w:sz w:val="22"/>
        <w:szCs w:val="22"/>
      </w:rPr>
      <w:t>17</w:t>
    </w:r>
    <w:r w:rsidRPr="00E924CE">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855" w:rsidRDefault="00D37855" w:rsidP="006B2608">
    <w:pPr>
      <w:pStyle w:val="Footer"/>
      <w:jc w:val="center"/>
      <w:rPr>
        <w:szCs w:val="20"/>
      </w:rPr>
    </w:pPr>
    <w:r>
      <w:rPr>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17A" w:rsidRDefault="00B3017A" w:rsidP="0013536C">
      <w:pPr>
        <w:spacing w:line="240" w:lineRule="auto"/>
      </w:pPr>
      <w:r>
        <w:separator/>
      </w:r>
    </w:p>
  </w:footnote>
  <w:footnote w:type="continuationSeparator" w:id="0">
    <w:p w:rsidR="00B3017A" w:rsidRDefault="00B3017A" w:rsidP="001353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855" w:rsidRDefault="00092632" w:rsidP="003772FC">
    <w:pPr>
      <w:pStyle w:val="Header"/>
    </w:pPr>
    <w:r>
      <w:rPr>
        <w:noProof/>
        <w:lang w:val="en-US" w:eastAsia="en-US"/>
      </w:rPr>
      <w:drawing>
        <wp:anchor distT="0" distB="0" distL="114300" distR="114300" simplePos="0" relativeHeight="251657728" behindDoc="0" locked="0" layoutInCell="1" allowOverlap="1">
          <wp:simplePos x="0" y="0"/>
          <wp:positionH relativeFrom="column">
            <wp:posOffset>-1905</wp:posOffset>
          </wp:positionH>
          <wp:positionV relativeFrom="paragraph">
            <wp:posOffset>-401955</wp:posOffset>
          </wp:positionV>
          <wp:extent cx="5730875" cy="1754505"/>
          <wp:effectExtent l="0" t="0" r="0" b="0"/>
          <wp:wrapSquare wrapText="bothSides"/>
          <wp:docPr id="1" name="Picture 17" descr="llogo_vendim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logo_vendim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17545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D14F4"/>
    <w:multiLevelType w:val="hybridMultilevel"/>
    <w:tmpl w:val="EFB6B0B6"/>
    <w:lvl w:ilvl="0" w:tplc="AD2AC066">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E75FF"/>
    <w:multiLevelType w:val="multilevel"/>
    <w:tmpl w:val="B80E721C"/>
    <w:lvl w:ilvl="0">
      <w:start w:val="1"/>
      <w:numFmt w:val="decimal"/>
      <w:lvlText w:val="%1."/>
      <w:lvlJc w:val="left"/>
      <w:pPr>
        <w:ind w:left="720" w:hanging="360"/>
      </w:pPr>
      <w:rPr>
        <w:rFonts w:ascii="Georgia" w:hAnsi="Georgia" w:hint="default"/>
        <w:b w:val="0"/>
        <w:i w:val="0"/>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77B3673"/>
    <w:multiLevelType w:val="multilevel"/>
    <w:tmpl w:val="B80E721C"/>
    <w:lvl w:ilvl="0">
      <w:start w:val="1"/>
      <w:numFmt w:val="decimal"/>
      <w:lvlText w:val="%1."/>
      <w:lvlJc w:val="left"/>
      <w:pPr>
        <w:ind w:left="720" w:hanging="360"/>
      </w:pPr>
      <w:rPr>
        <w:rFonts w:ascii="Georgia" w:hAnsi="Georgia" w:hint="default"/>
        <w:b w:val="0"/>
        <w:i w:val="0"/>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9AC49AC"/>
    <w:multiLevelType w:val="hybridMultilevel"/>
    <w:tmpl w:val="F570759A"/>
    <w:lvl w:ilvl="0" w:tplc="0409000F">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D5211"/>
    <w:multiLevelType w:val="hybridMultilevel"/>
    <w:tmpl w:val="6F6046AE"/>
    <w:lvl w:ilvl="0" w:tplc="B538C7DA">
      <w:start w:val="15"/>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044B7"/>
    <w:multiLevelType w:val="hybridMultilevel"/>
    <w:tmpl w:val="42FC519A"/>
    <w:lvl w:ilvl="0" w:tplc="0409000F">
      <w:start w:val="1"/>
      <w:numFmt w:val="decimal"/>
      <w:lvlText w:val="%1."/>
      <w:lvlJc w:val="left"/>
      <w:pPr>
        <w:ind w:left="5400" w:hanging="360"/>
      </w:pPr>
      <w:rPr>
        <w:rFonts w:hint="default"/>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6" w15:restartNumberingAfterBreak="0">
    <w:nsid w:val="15870258"/>
    <w:multiLevelType w:val="hybridMultilevel"/>
    <w:tmpl w:val="EC84448A"/>
    <w:lvl w:ilvl="0" w:tplc="A1D2833E">
      <w:start w:val="1"/>
      <w:numFmt w:val="upperRoman"/>
      <w:lvlText w:val="%1."/>
      <w:lvlJc w:val="left"/>
      <w:pPr>
        <w:ind w:left="1080" w:hanging="720"/>
      </w:pPr>
      <w:rPr>
        <w:rFonts w:hint="default"/>
      </w:rPr>
    </w:lvl>
    <w:lvl w:ilvl="1" w:tplc="04090013">
      <w:start w:val="1"/>
      <w:numFmt w:val="upperRoman"/>
      <w:lvlText w:val="%2."/>
      <w:lvlJc w:val="righ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5192B"/>
    <w:multiLevelType w:val="multilevel"/>
    <w:tmpl w:val="B80E721C"/>
    <w:lvl w:ilvl="0">
      <w:start w:val="1"/>
      <w:numFmt w:val="decimal"/>
      <w:lvlText w:val="%1."/>
      <w:lvlJc w:val="left"/>
      <w:pPr>
        <w:ind w:left="720" w:hanging="360"/>
      </w:pPr>
      <w:rPr>
        <w:rFonts w:ascii="Georgia" w:hAnsi="Georgia" w:hint="default"/>
        <w:b w:val="0"/>
        <w:i w:val="0"/>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86B086D"/>
    <w:multiLevelType w:val="hybridMultilevel"/>
    <w:tmpl w:val="0848FFD0"/>
    <w:lvl w:ilvl="0" w:tplc="2C062676">
      <w:start w:val="1"/>
      <w:numFmt w:val="lowerRoman"/>
      <w:lvlText w:val="(%1)"/>
      <w:lvlJc w:val="left"/>
      <w:pPr>
        <w:ind w:left="1354" w:hanging="720"/>
      </w:pPr>
      <w:rPr>
        <w:rFonts w:hint="default"/>
        <w:sz w:val="22"/>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9" w15:restartNumberingAfterBreak="0">
    <w:nsid w:val="1D4179B6"/>
    <w:multiLevelType w:val="hybridMultilevel"/>
    <w:tmpl w:val="0F84A7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56032A"/>
    <w:multiLevelType w:val="hybridMultilevel"/>
    <w:tmpl w:val="099ABCFA"/>
    <w:lvl w:ilvl="0" w:tplc="C64CE328">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20C55D5C"/>
    <w:multiLevelType w:val="hybridMultilevel"/>
    <w:tmpl w:val="5C547C7C"/>
    <w:lvl w:ilvl="0" w:tplc="A030E69E">
      <w:start w:val="1"/>
      <w:numFmt w:val="decimal"/>
      <w:pStyle w:val="Heading1"/>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45CC02D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B00FE4"/>
    <w:multiLevelType w:val="hybridMultilevel"/>
    <w:tmpl w:val="7E4E05A0"/>
    <w:lvl w:ilvl="0" w:tplc="73028986">
      <w:start w:val="1"/>
      <w:numFmt w:val="decimal"/>
      <w:lvlText w:val="%1."/>
      <w:lvlJc w:val="left"/>
      <w:pPr>
        <w:tabs>
          <w:tab w:val="num" w:pos="1080"/>
        </w:tabs>
        <w:ind w:left="1080" w:hanging="720"/>
      </w:pPr>
      <w:rPr>
        <w:rFonts w:hint="default"/>
        <w:b w:val="0"/>
        <w:bCs w:val="0"/>
        <w:i w:val="0"/>
        <w:iCs w:val="0"/>
        <w:color w:val="auto"/>
      </w:rPr>
    </w:lvl>
    <w:lvl w:ilvl="1" w:tplc="0CEAF15E">
      <w:start w:val="1"/>
      <w:numFmt w:val="lowerLetter"/>
      <w:lvlText w:val="%2."/>
      <w:lvlJc w:val="left"/>
      <w:pPr>
        <w:tabs>
          <w:tab w:val="num" w:pos="1440"/>
        </w:tabs>
        <w:ind w:left="1440" w:hanging="360"/>
      </w:pPr>
      <w:rPr>
        <w:i w:val="0"/>
      </w:rPr>
    </w:lvl>
    <w:lvl w:ilvl="2" w:tplc="0409000F">
      <w:start w:val="1"/>
      <w:numFmt w:val="decimal"/>
      <w:lvlText w:val="%3."/>
      <w:lvlJc w:val="left"/>
      <w:pPr>
        <w:tabs>
          <w:tab w:val="num" w:pos="2340"/>
        </w:tabs>
        <w:ind w:left="2340" w:hanging="360"/>
      </w:pPr>
      <w:rPr>
        <w:rFonts w:hint="default"/>
        <w:i w:val="0"/>
        <w:iCs w:val="0"/>
      </w:rPr>
    </w:lvl>
    <w:lvl w:ilvl="3" w:tplc="CCAA197A">
      <w:start w:val="1"/>
      <w:numFmt w:val="lowerRoman"/>
      <w:lvlText w:val="(%4)"/>
      <w:lvlJc w:val="left"/>
      <w:pPr>
        <w:ind w:left="3240" w:hanging="72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613CB6"/>
    <w:multiLevelType w:val="hybridMultilevel"/>
    <w:tmpl w:val="0E3EBEEE"/>
    <w:lvl w:ilvl="0" w:tplc="9FE0CB12">
      <w:start w:val="1"/>
      <w:numFmt w:val="lowerRoman"/>
      <w:lvlText w:val="(%1)"/>
      <w:lvlJc w:val="left"/>
      <w:pPr>
        <w:ind w:left="1354" w:hanging="72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4" w15:restartNumberingAfterBreak="0">
    <w:nsid w:val="28CD775C"/>
    <w:multiLevelType w:val="hybridMultilevel"/>
    <w:tmpl w:val="384E62E4"/>
    <w:lvl w:ilvl="0" w:tplc="290AC756">
      <w:start w:val="1"/>
      <w:numFmt w:val="decimal"/>
      <w:lvlText w:val="%1."/>
      <w:lvlJc w:val="left"/>
      <w:pPr>
        <w:tabs>
          <w:tab w:val="num" w:pos="720"/>
        </w:tabs>
        <w:ind w:left="720" w:hanging="360"/>
      </w:pPr>
      <w:rPr>
        <w:rFonts w:cs="Times New Roman"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CC40ADA"/>
    <w:multiLevelType w:val="hybridMultilevel"/>
    <w:tmpl w:val="D556EAD6"/>
    <w:lvl w:ilvl="0" w:tplc="9F1A1B46">
      <w:start w:val="1"/>
      <w:numFmt w:val="decimal"/>
      <w:lvlText w:val="%1."/>
      <w:lvlJc w:val="left"/>
      <w:pPr>
        <w:ind w:left="720" w:hanging="360"/>
      </w:pPr>
      <w:rPr>
        <w:rFonts w:ascii="Georgia" w:hAnsi="Georgia"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DC4C3D"/>
    <w:multiLevelType w:val="hybridMultilevel"/>
    <w:tmpl w:val="90A8FF4E"/>
    <w:lvl w:ilvl="0" w:tplc="837A878C">
      <w:start w:val="1"/>
      <w:numFmt w:val="lowerRoman"/>
      <w:lvlText w:val="(%1)"/>
      <w:lvlJc w:val="left"/>
      <w:pPr>
        <w:ind w:left="1354" w:hanging="720"/>
      </w:pPr>
      <w:rPr>
        <w:rFonts w:hint="default"/>
        <w:i/>
        <w:color w:val="000000"/>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7" w15:restartNumberingAfterBreak="0">
    <w:nsid w:val="32581733"/>
    <w:multiLevelType w:val="hybridMultilevel"/>
    <w:tmpl w:val="0848FFD0"/>
    <w:lvl w:ilvl="0" w:tplc="2C062676">
      <w:start w:val="1"/>
      <w:numFmt w:val="lowerRoman"/>
      <w:lvlText w:val="(%1)"/>
      <w:lvlJc w:val="left"/>
      <w:pPr>
        <w:ind w:left="1354" w:hanging="720"/>
      </w:pPr>
      <w:rPr>
        <w:rFonts w:hint="default"/>
        <w:sz w:val="22"/>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8" w15:restartNumberingAfterBreak="0">
    <w:nsid w:val="3C6B0D93"/>
    <w:multiLevelType w:val="hybridMultilevel"/>
    <w:tmpl w:val="04EC3274"/>
    <w:lvl w:ilvl="0" w:tplc="FCDC35E6">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EEF0C3F"/>
    <w:multiLevelType w:val="hybridMultilevel"/>
    <w:tmpl w:val="61D6B8B0"/>
    <w:lvl w:ilvl="0" w:tplc="2FDC61F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5B488F"/>
    <w:multiLevelType w:val="hybridMultilevel"/>
    <w:tmpl w:val="9214A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7B47"/>
    <w:multiLevelType w:val="hybridMultilevel"/>
    <w:tmpl w:val="25EAD3CA"/>
    <w:lvl w:ilvl="0" w:tplc="0352DDF2">
      <w:start w:val="1"/>
      <w:numFmt w:val="decimal"/>
      <w:lvlText w:val="%1."/>
      <w:lvlJc w:val="left"/>
      <w:pPr>
        <w:tabs>
          <w:tab w:val="num" w:pos="1080"/>
        </w:tabs>
        <w:ind w:left="1080" w:hanging="720"/>
      </w:pPr>
      <w:rPr>
        <w:rFonts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4A350F"/>
    <w:multiLevelType w:val="hybridMultilevel"/>
    <w:tmpl w:val="A31ABFE4"/>
    <w:lvl w:ilvl="0" w:tplc="3F9A4488">
      <w:start w:val="2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0F6F0A"/>
    <w:multiLevelType w:val="hybridMultilevel"/>
    <w:tmpl w:val="7F96101E"/>
    <w:lvl w:ilvl="0" w:tplc="21B8DD0E">
      <w:start w:val="1"/>
      <w:numFmt w:val="decimal"/>
      <w:lvlText w:val="%1."/>
      <w:lvlJc w:val="left"/>
      <w:pPr>
        <w:ind w:left="63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D6C66C6"/>
    <w:multiLevelType w:val="hybridMultilevel"/>
    <w:tmpl w:val="69A2031C"/>
    <w:lvl w:ilvl="0" w:tplc="8DE65470">
      <w:start w:val="126"/>
      <w:numFmt w:val="decimal"/>
      <w:lvlText w:val="%1."/>
      <w:lvlJc w:val="left"/>
      <w:pPr>
        <w:ind w:left="435" w:hanging="435"/>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E5759D"/>
    <w:multiLevelType w:val="hybridMultilevel"/>
    <w:tmpl w:val="0848FFD0"/>
    <w:lvl w:ilvl="0" w:tplc="2C062676">
      <w:start w:val="1"/>
      <w:numFmt w:val="lowerRoman"/>
      <w:lvlText w:val="(%1)"/>
      <w:lvlJc w:val="left"/>
      <w:pPr>
        <w:ind w:left="1354" w:hanging="720"/>
      </w:pPr>
      <w:rPr>
        <w:rFonts w:hint="default"/>
        <w:sz w:val="22"/>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6" w15:restartNumberingAfterBreak="0">
    <w:nsid w:val="524D1B69"/>
    <w:multiLevelType w:val="hybridMultilevel"/>
    <w:tmpl w:val="2B7EC690"/>
    <w:lvl w:ilvl="0" w:tplc="9B7A337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56717616"/>
    <w:multiLevelType w:val="hybridMultilevel"/>
    <w:tmpl w:val="FEF2103E"/>
    <w:lvl w:ilvl="0" w:tplc="375E7CD2">
      <w:start w:val="1"/>
      <w:numFmt w:val="bullet"/>
      <w:lvlText w:val="-"/>
      <w:lvlJc w:val="left"/>
      <w:pPr>
        <w:ind w:left="360" w:hanging="360"/>
      </w:pPr>
      <w:rPr>
        <w:rFonts w:ascii="Georgia" w:eastAsia="Times New Roman" w:hAnsi="Georgia"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8" w15:restartNumberingAfterBreak="0">
    <w:nsid w:val="59850207"/>
    <w:multiLevelType w:val="hybridMultilevel"/>
    <w:tmpl w:val="8632C554"/>
    <w:lvl w:ilvl="0" w:tplc="9D58E6A2">
      <w:start w:val="140"/>
      <w:numFmt w:val="decimal"/>
      <w:lvlText w:val="%1."/>
      <w:lvlJc w:val="left"/>
      <w:pPr>
        <w:ind w:left="810" w:hanging="45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3537CC"/>
    <w:multiLevelType w:val="hybridMultilevel"/>
    <w:tmpl w:val="05F86ED8"/>
    <w:lvl w:ilvl="0" w:tplc="16401466">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E0C3F51"/>
    <w:multiLevelType w:val="hybridMultilevel"/>
    <w:tmpl w:val="9D5A229C"/>
    <w:lvl w:ilvl="0" w:tplc="2CF4089C">
      <w:start w:val="1"/>
      <w:numFmt w:val="decimal"/>
      <w:lvlText w:val="%1."/>
      <w:lvlJc w:val="left"/>
      <w:pPr>
        <w:ind w:left="360" w:hanging="360"/>
      </w:pPr>
      <w:rPr>
        <w:rFonts w:hint="default"/>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173351B"/>
    <w:multiLevelType w:val="hybridMultilevel"/>
    <w:tmpl w:val="D778D022"/>
    <w:lvl w:ilvl="0" w:tplc="26A28BB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FE271E"/>
    <w:multiLevelType w:val="hybridMultilevel"/>
    <w:tmpl w:val="40508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9D76DD"/>
    <w:multiLevelType w:val="hybridMultilevel"/>
    <w:tmpl w:val="A9989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B17346"/>
    <w:multiLevelType w:val="hybridMultilevel"/>
    <w:tmpl w:val="79120D6E"/>
    <w:lvl w:ilvl="0" w:tplc="69CC570A">
      <w:start w:val="37"/>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5E4AA0"/>
    <w:multiLevelType w:val="hybridMultilevel"/>
    <w:tmpl w:val="CBAC036E"/>
    <w:lvl w:ilvl="0" w:tplc="5836A672">
      <w:start w:val="3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76F6D64"/>
    <w:multiLevelType w:val="hybridMultilevel"/>
    <w:tmpl w:val="056EA06E"/>
    <w:lvl w:ilvl="0" w:tplc="CB4A8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6D755D"/>
    <w:multiLevelType w:val="hybridMultilevel"/>
    <w:tmpl w:val="88E42FD2"/>
    <w:lvl w:ilvl="0" w:tplc="FCC24170">
      <w:start w:val="9"/>
      <w:numFmt w:val="decimal"/>
      <w:lvlText w:val="%1"/>
      <w:lvlJc w:val="left"/>
      <w:pPr>
        <w:ind w:left="450" w:hanging="360"/>
      </w:pPr>
      <w:rPr>
        <w:rFonts w:hint="default"/>
        <w:b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74E00210"/>
    <w:multiLevelType w:val="hybridMultilevel"/>
    <w:tmpl w:val="E898C81E"/>
    <w:lvl w:ilvl="0" w:tplc="71F4F60C">
      <w:start w:val="42"/>
      <w:numFmt w:val="bullet"/>
      <w:lvlText w:val="-"/>
      <w:lvlJc w:val="left"/>
      <w:pPr>
        <w:ind w:left="720" w:hanging="360"/>
      </w:pPr>
      <w:rPr>
        <w:rFonts w:ascii="Georgia" w:eastAsia="Times New Roman"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C4155C"/>
    <w:multiLevelType w:val="hybridMultilevel"/>
    <w:tmpl w:val="EF84644E"/>
    <w:lvl w:ilvl="0" w:tplc="3A30BFE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F6C2FEA"/>
    <w:multiLevelType w:val="hybridMultilevel"/>
    <w:tmpl w:val="E4C26730"/>
    <w:lvl w:ilvl="0" w:tplc="2F0C56DE">
      <w:start w:val="1"/>
      <w:numFmt w:val="decimal"/>
      <w:lvlText w:val="%1."/>
      <w:lvlJc w:val="left"/>
      <w:pPr>
        <w:tabs>
          <w:tab w:val="num" w:pos="360"/>
        </w:tabs>
        <w:ind w:left="360" w:hanging="360"/>
      </w:pPr>
      <w:rPr>
        <w:i w:val="0"/>
        <w:iCs w:val="0"/>
        <w:color w:val="auto"/>
      </w:rPr>
    </w:lvl>
    <w:lvl w:ilvl="1" w:tplc="04090017">
      <w:start w:val="1"/>
      <w:numFmt w:val="lowerLetter"/>
      <w:lvlText w:val="%2)"/>
      <w:lvlJc w:val="left"/>
      <w:pPr>
        <w:tabs>
          <w:tab w:val="num" w:pos="1800"/>
        </w:tabs>
        <w:ind w:left="1800" w:hanging="720"/>
      </w:pPr>
      <w:rPr>
        <w:rFonts w:hint="default"/>
      </w:rPr>
    </w:lvl>
    <w:lvl w:ilvl="2" w:tplc="CEC26746">
      <w:start w:val="1"/>
      <w:numFmt w:val="upp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rPr>
        <w:i w:val="0"/>
        <w:iCs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F792365"/>
    <w:multiLevelType w:val="hybridMultilevel"/>
    <w:tmpl w:val="5810BC4C"/>
    <w:lvl w:ilvl="0" w:tplc="FFF60356">
      <w:start w:val="1"/>
      <w:numFmt w:val="lowerRoman"/>
      <w:lvlText w:val="(%1)"/>
      <w:lvlJc w:val="left"/>
      <w:pPr>
        <w:ind w:left="1354" w:hanging="72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42" w15:restartNumberingAfterBreak="0">
    <w:nsid w:val="7F9E2449"/>
    <w:multiLevelType w:val="hybridMultilevel"/>
    <w:tmpl w:val="D87CD0B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
  </w:num>
  <w:num w:numId="2">
    <w:abstractNumId w:val="11"/>
  </w:num>
  <w:num w:numId="3">
    <w:abstractNumId w:val="23"/>
  </w:num>
  <w:num w:numId="4">
    <w:abstractNumId w:val="14"/>
  </w:num>
  <w:num w:numId="5">
    <w:abstractNumId w:val="34"/>
  </w:num>
  <w:num w:numId="6">
    <w:abstractNumId w:val="40"/>
  </w:num>
  <w:num w:numId="7">
    <w:abstractNumId w:val="12"/>
  </w:num>
  <w:num w:numId="8">
    <w:abstractNumId w:val="5"/>
  </w:num>
  <w:num w:numId="9">
    <w:abstractNumId w:val="33"/>
  </w:num>
  <w:num w:numId="10">
    <w:abstractNumId w:val="38"/>
  </w:num>
  <w:num w:numId="11">
    <w:abstractNumId w:val="15"/>
  </w:num>
  <w:num w:numId="12">
    <w:abstractNumId w:val="31"/>
  </w:num>
  <w:num w:numId="13">
    <w:abstractNumId w:val="27"/>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0"/>
  </w:num>
  <w:num w:numId="17">
    <w:abstractNumId w:val="37"/>
  </w:num>
  <w:num w:numId="18">
    <w:abstractNumId w:val="22"/>
  </w:num>
  <w:num w:numId="19">
    <w:abstractNumId w:val="9"/>
  </w:num>
  <w:num w:numId="20">
    <w:abstractNumId w:val="36"/>
  </w:num>
  <w:num w:numId="21">
    <w:abstractNumId w:val="42"/>
  </w:num>
  <w:num w:numId="22">
    <w:abstractNumId w:val="21"/>
  </w:num>
  <w:num w:numId="23">
    <w:abstractNumId w:val="3"/>
  </w:num>
  <w:num w:numId="24">
    <w:abstractNumId w:val="7"/>
  </w:num>
  <w:num w:numId="25">
    <w:abstractNumId w:val="2"/>
  </w:num>
  <w:num w:numId="26">
    <w:abstractNumId w:val="16"/>
  </w:num>
  <w:num w:numId="27">
    <w:abstractNumId w:val="29"/>
  </w:num>
  <w:num w:numId="28">
    <w:abstractNumId w:val="35"/>
  </w:num>
  <w:num w:numId="29">
    <w:abstractNumId w:val="4"/>
  </w:num>
  <w:num w:numId="30">
    <w:abstractNumId w:val="0"/>
  </w:num>
  <w:num w:numId="31">
    <w:abstractNumId w:val="20"/>
  </w:num>
  <w:num w:numId="32">
    <w:abstractNumId w:val="32"/>
  </w:num>
  <w:num w:numId="33">
    <w:abstractNumId w:val="17"/>
  </w:num>
  <w:num w:numId="34">
    <w:abstractNumId w:val="25"/>
  </w:num>
  <w:num w:numId="35">
    <w:abstractNumId w:val="8"/>
  </w:num>
  <w:num w:numId="36">
    <w:abstractNumId w:val="26"/>
  </w:num>
  <w:num w:numId="37">
    <w:abstractNumId w:val="6"/>
  </w:num>
  <w:num w:numId="38">
    <w:abstractNumId w:val="39"/>
  </w:num>
  <w:num w:numId="39">
    <w:abstractNumId w:val="41"/>
  </w:num>
  <w:num w:numId="40">
    <w:abstractNumId w:val="24"/>
  </w:num>
  <w:num w:numId="41">
    <w:abstractNumId w:val="28"/>
  </w:num>
  <w:num w:numId="42">
    <w:abstractNumId w:val="30"/>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95C"/>
    <w:rsid w:val="00000FA8"/>
    <w:rsid w:val="0000161C"/>
    <w:rsid w:val="000019BD"/>
    <w:rsid w:val="00001C20"/>
    <w:rsid w:val="000024E9"/>
    <w:rsid w:val="00003BA4"/>
    <w:rsid w:val="00003DCA"/>
    <w:rsid w:val="00004218"/>
    <w:rsid w:val="000051B1"/>
    <w:rsid w:val="0000657C"/>
    <w:rsid w:val="00010218"/>
    <w:rsid w:val="00012818"/>
    <w:rsid w:val="00013864"/>
    <w:rsid w:val="00015D57"/>
    <w:rsid w:val="000166A1"/>
    <w:rsid w:val="00016A5E"/>
    <w:rsid w:val="00016B27"/>
    <w:rsid w:val="000172AE"/>
    <w:rsid w:val="00017772"/>
    <w:rsid w:val="00017D12"/>
    <w:rsid w:val="000218FA"/>
    <w:rsid w:val="000220B2"/>
    <w:rsid w:val="0002227A"/>
    <w:rsid w:val="00023752"/>
    <w:rsid w:val="0002516F"/>
    <w:rsid w:val="00025510"/>
    <w:rsid w:val="0002656A"/>
    <w:rsid w:val="00026D5D"/>
    <w:rsid w:val="00027093"/>
    <w:rsid w:val="00027528"/>
    <w:rsid w:val="0002768E"/>
    <w:rsid w:val="0002773D"/>
    <w:rsid w:val="00030C06"/>
    <w:rsid w:val="00031982"/>
    <w:rsid w:val="00031F2F"/>
    <w:rsid w:val="00034BA3"/>
    <w:rsid w:val="0003539F"/>
    <w:rsid w:val="000401FA"/>
    <w:rsid w:val="00040966"/>
    <w:rsid w:val="000415C5"/>
    <w:rsid w:val="000418F2"/>
    <w:rsid w:val="000425E5"/>
    <w:rsid w:val="0004353D"/>
    <w:rsid w:val="00045D1A"/>
    <w:rsid w:val="000513AC"/>
    <w:rsid w:val="000539F0"/>
    <w:rsid w:val="00057105"/>
    <w:rsid w:val="00060664"/>
    <w:rsid w:val="00060FE7"/>
    <w:rsid w:val="00061A7B"/>
    <w:rsid w:val="00061F23"/>
    <w:rsid w:val="00062752"/>
    <w:rsid w:val="00062CE0"/>
    <w:rsid w:val="00065F82"/>
    <w:rsid w:val="0007205F"/>
    <w:rsid w:val="00073E55"/>
    <w:rsid w:val="00074447"/>
    <w:rsid w:val="00074568"/>
    <w:rsid w:val="00075AD4"/>
    <w:rsid w:val="000766CB"/>
    <w:rsid w:val="000767D0"/>
    <w:rsid w:val="00076A00"/>
    <w:rsid w:val="00076F52"/>
    <w:rsid w:val="00077320"/>
    <w:rsid w:val="00081DA8"/>
    <w:rsid w:val="000823EE"/>
    <w:rsid w:val="00082A59"/>
    <w:rsid w:val="00083230"/>
    <w:rsid w:val="00083FEB"/>
    <w:rsid w:val="000844CF"/>
    <w:rsid w:val="00085A44"/>
    <w:rsid w:val="00086BF0"/>
    <w:rsid w:val="00087CB3"/>
    <w:rsid w:val="00092632"/>
    <w:rsid w:val="000A11D0"/>
    <w:rsid w:val="000A1EAB"/>
    <w:rsid w:val="000A2050"/>
    <w:rsid w:val="000A3D9E"/>
    <w:rsid w:val="000A6662"/>
    <w:rsid w:val="000A7855"/>
    <w:rsid w:val="000B1666"/>
    <w:rsid w:val="000B2BE1"/>
    <w:rsid w:val="000B3EE1"/>
    <w:rsid w:val="000B4044"/>
    <w:rsid w:val="000B5E8B"/>
    <w:rsid w:val="000B75C1"/>
    <w:rsid w:val="000B7844"/>
    <w:rsid w:val="000B7A30"/>
    <w:rsid w:val="000C046C"/>
    <w:rsid w:val="000C07A6"/>
    <w:rsid w:val="000C1BF7"/>
    <w:rsid w:val="000C3F1D"/>
    <w:rsid w:val="000C433F"/>
    <w:rsid w:val="000C46B8"/>
    <w:rsid w:val="000C4E3B"/>
    <w:rsid w:val="000C5A90"/>
    <w:rsid w:val="000C5F06"/>
    <w:rsid w:val="000C61B8"/>
    <w:rsid w:val="000C6252"/>
    <w:rsid w:val="000C6D0B"/>
    <w:rsid w:val="000C6E4E"/>
    <w:rsid w:val="000C72C8"/>
    <w:rsid w:val="000C7904"/>
    <w:rsid w:val="000D0A4E"/>
    <w:rsid w:val="000D1083"/>
    <w:rsid w:val="000D177F"/>
    <w:rsid w:val="000D1BCC"/>
    <w:rsid w:val="000D243D"/>
    <w:rsid w:val="000D26CA"/>
    <w:rsid w:val="000D2861"/>
    <w:rsid w:val="000D2D29"/>
    <w:rsid w:val="000D2E54"/>
    <w:rsid w:val="000D75E5"/>
    <w:rsid w:val="000D76A2"/>
    <w:rsid w:val="000E04C0"/>
    <w:rsid w:val="000E05AD"/>
    <w:rsid w:val="000E0FD2"/>
    <w:rsid w:val="000E10F0"/>
    <w:rsid w:val="000E77E2"/>
    <w:rsid w:val="000F086B"/>
    <w:rsid w:val="000F121C"/>
    <w:rsid w:val="000F1729"/>
    <w:rsid w:val="000F17E6"/>
    <w:rsid w:val="000F1E8D"/>
    <w:rsid w:val="000F45DC"/>
    <w:rsid w:val="000F55CF"/>
    <w:rsid w:val="000F5B9F"/>
    <w:rsid w:val="000F667F"/>
    <w:rsid w:val="000F7102"/>
    <w:rsid w:val="000F788B"/>
    <w:rsid w:val="00102DD0"/>
    <w:rsid w:val="00104792"/>
    <w:rsid w:val="00104FF4"/>
    <w:rsid w:val="00105FDB"/>
    <w:rsid w:val="0010626C"/>
    <w:rsid w:val="00106B55"/>
    <w:rsid w:val="001073B6"/>
    <w:rsid w:val="00107EE0"/>
    <w:rsid w:val="001113F4"/>
    <w:rsid w:val="001118A7"/>
    <w:rsid w:val="00112A90"/>
    <w:rsid w:val="00114A97"/>
    <w:rsid w:val="00115D8E"/>
    <w:rsid w:val="00116A62"/>
    <w:rsid w:val="00116B35"/>
    <w:rsid w:val="00116CBF"/>
    <w:rsid w:val="00124A9B"/>
    <w:rsid w:val="0012553D"/>
    <w:rsid w:val="001264AD"/>
    <w:rsid w:val="0013038C"/>
    <w:rsid w:val="0013096C"/>
    <w:rsid w:val="00130A1E"/>
    <w:rsid w:val="00130B62"/>
    <w:rsid w:val="0013275C"/>
    <w:rsid w:val="00132EE8"/>
    <w:rsid w:val="001331E5"/>
    <w:rsid w:val="0013321D"/>
    <w:rsid w:val="00133335"/>
    <w:rsid w:val="00133B23"/>
    <w:rsid w:val="0013536C"/>
    <w:rsid w:val="001360AF"/>
    <w:rsid w:val="00140B4A"/>
    <w:rsid w:val="00141473"/>
    <w:rsid w:val="00141D93"/>
    <w:rsid w:val="00141E2A"/>
    <w:rsid w:val="00142929"/>
    <w:rsid w:val="00142A5B"/>
    <w:rsid w:val="001433C7"/>
    <w:rsid w:val="00143889"/>
    <w:rsid w:val="00144345"/>
    <w:rsid w:val="001458E0"/>
    <w:rsid w:val="00145D84"/>
    <w:rsid w:val="001476E2"/>
    <w:rsid w:val="0015035A"/>
    <w:rsid w:val="00150667"/>
    <w:rsid w:val="00150CA2"/>
    <w:rsid w:val="00152150"/>
    <w:rsid w:val="00153687"/>
    <w:rsid w:val="0015370F"/>
    <w:rsid w:val="00154D6D"/>
    <w:rsid w:val="001555BB"/>
    <w:rsid w:val="00156A4F"/>
    <w:rsid w:val="001578AB"/>
    <w:rsid w:val="00157B0A"/>
    <w:rsid w:val="0016074A"/>
    <w:rsid w:val="00161AAB"/>
    <w:rsid w:val="00161DC4"/>
    <w:rsid w:val="001622E0"/>
    <w:rsid w:val="001638CE"/>
    <w:rsid w:val="0016495B"/>
    <w:rsid w:val="00164D54"/>
    <w:rsid w:val="001650C9"/>
    <w:rsid w:val="00166E7D"/>
    <w:rsid w:val="00167589"/>
    <w:rsid w:val="00167EDB"/>
    <w:rsid w:val="001712FE"/>
    <w:rsid w:val="001721F4"/>
    <w:rsid w:val="00173338"/>
    <w:rsid w:val="00173654"/>
    <w:rsid w:val="0017415D"/>
    <w:rsid w:val="00174F32"/>
    <w:rsid w:val="00180585"/>
    <w:rsid w:val="00181A51"/>
    <w:rsid w:val="00182899"/>
    <w:rsid w:val="00182C10"/>
    <w:rsid w:val="0018364F"/>
    <w:rsid w:val="00184C4E"/>
    <w:rsid w:val="0018547B"/>
    <w:rsid w:val="00186F48"/>
    <w:rsid w:val="001902A4"/>
    <w:rsid w:val="00190FF3"/>
    <w:rsid w:val="0019117C"/>
    <w:rsid w:val="00191A5C"/>
    <w:rsid w:val="001924A9"/>
    <w:rsid w:val="001946CE"/>
    <w:rsid w:val="001947CC"/>
    <w:rsid w:val="00194FB7"/>
    <w:rsid w:val="001957A8"/>
    <w:rsid w:val="00195A63"/>
    <w:rsid w:val="00196B12"/>
    <w:rsid w:val="001A0D3A"/>
    <w:rsid w:val="001A1437"/>
    <w:rsid w:val="001A1827"/>
    <w:rsid w:val="001A1B59"/>
    <w:rsid w:val="001A1CC4"/>
    <w:rsid w:val="001A34A4"/>
    <w:rsid w:val="001A43E5"/>
    <w:rsid w:val="001B1344"/>
    <w:rsid w:val="001B3A40"/>
    <w:rsid w:val="001B63F3"/>
    <w:rsid w:val="001B6489"/>
    <w:rsid w:val="001B67B2"/>
    <w:rsid w:val="001B7566"/>
    <w:rsid w:val="001B7D7B"/>
    <w:rsid w:val="001C04E7"/>
    <w:rsid w:val="001C0FFE"/>
    <w:rsid w:val="001C14DA"/>
    <w:rsid w:val="001C1A46"/>
    <w:rsid w:val="001C2893"/>
    <w:rsid w:val="001C546C"/>
    <w:rsid w:val="001C6B60"/>
    <w:rsid w:val="001C7506"/>
    <w:rsid w:val="001C7EC3"/>
    <w:rsid w:val="001C7F32"/>
    <w:rsid w:val="001D0F5F"/>
    <w:rsid w:val="001D10B8"/>
    <w:rsid w:val="001D1300"/>
    <w:rsid w:val="001D140A"/>
    <w:rsid w:val="001D20C4"/>
    <w:rsid w:val="001D3E47"/>
    <w:rsid w:val="001D647A"/>
    <w:rsid w:val="001D734A"/>
    <w:rsid w:val="001D76C0"/>
    <w:rsid w:val="001D78F0"/>
    <w:rsid w:val="001D7AD4"/>
    <w:rsid w:val="001E0150"/>
    <w:rsid w:val="001E0FF6"/>
    <w:rsid w:val="001E1B59"/>
    <w:rsid w:val="001E1DC3"/>
    <w:rsid w:val="001E2AE2"/>
    <w:rsid w:val="001E303E"/>
    <w:rsid w:val="001E4481"/>
    <w:rsid w:val="001E44DF"/>
    <w:rsid w:val="001E48E9"/>
    <w:rsid w:val="001E5045"/>
    <w:rsid w:val="001E63FC"/>
    <w:rsid w:val="001F0F6B"/>
    <w:rsid w:val="001F2169"/>
    <w:rsid w:val="001F2684"/>
    <w:rsid w:val="001F4095"/>
    <w:rsid w:val="001F52DA"/>
    <w:rsid w:val="001F54CA"/>
    <w:rsid w:val="001F6BEC"/>
    <w:rsid w:val="001F6E58"/>
    <w:rsid w:val="00200EA3"/>
    <w:rsid w:val="00201C6C"/>
    <w:rsid w:val="00202348"/>
    <w:rsid w:val="002033E5"/>
    <w:rsid w:val="0020349E"/>
    <w:rsid w:val="00204267"/>
    <w:rsid w:val="00204E2E"/>
    <w:rsid w:val="00204F71"/>
    <w:rsid w:val="00204FD8"/>
    <w:rsid w:val="002055DD"/>
    <w:rsid w:val="002063CF"/>
    <w:rsid w:val="00206C6F"/>
    <w:rsid w:val="00210065"/>
    <w:rsid w:val="002105EE"/>
    <w:rsid w:val="00211B40"/>
    <w:rsid w:val="00212C65"/>
    <w:rsid w:val="00212C6F"/>
    <w:rsid w:val="0021424E"/>
    <w:rsid w:val="00214CA1"/>
    <w:rsid w:val="00215F88"/>
    <w:rsid w:val="00216756"/>
    <w:rsid w:val="002169E8"/>
    <w:rsid w:val="00216F40"/>
    <w:rsid w:val="00216F63"/>
    <w:rsid w:val="00217C02"/>
    <w:rsid w:val="00217C59"/>
    <w:rsid w:val="0022089E"/>
    <w:rsid w:val="002214D7"/>
    <w:rsid w:val="002216AA"/>
    <w:rsid w:val="00221CB0"/>
    <w:rsid w:val="00222F02"/>
    <w:rsid w:val="00224ED9"/>
    <w:rsid w:val="00224F55"/>
    <w:rsid w:val="00225A19"/>
    <w:rsid w:val="0022607E"/>
    <w:rsid w:val="00226A49"/>
    <w:rsid w:val="0022741E"/>
    <w:rsid w:val="00227555"/>
    <w:rsid w:val="002300DE"/>
    <w:rsid w:val="0023199D"/>
    <w:rsid w:val="002320AB"/>
    <w:rsid w:val="00232482"/>
    <w:rsid w:val="002329FF"/>
    <w:rsid w:val="0023576E"/>
    <w:rsid w:val="00235D52"/>
    <w:rsid w:val="002365E3"/>
    <w:rsid w:val="0023678D"/>
    <w:rsid w:val="00236F4B"/>
    <w:rsid w:val="002376AD"/>
    <w:rsid w:val="002421D6"/>
    <w:rsid w:val="00242B34"/>
    <w:rsid w:val="00242DB4"/>
    <w:rsid w:val="0024314A"/>
    <w:rsid w:val="00243C93"/>
    <w:rsid w:val="00244A86"/>
    <w:rsid w:val="00244BCD"/>
    <w:rsid w:val="00244F01"/>
    <w:rsid w:val="00245504"/>
    <w:rsid w:val="00245842"/>
    <w:rsid w:val="00250656"/>
    <w:rsid w:val="00251AFE"/>
    <w:rsid w:val="00251F5B"/>
    <w:rsid w:val="00251F75"/>
    <w:rsid w:val="0025363E"/>
    <w:rsid w:val="00254A19"/>
    <w:rsid w:val="00254AB9"/>
    <w:rsid w:val="00254F36"/>
    <w:rsid w:val="00257A43"/>
    <w:rsid w:val="0026047A"/>
    <w:rsid w:val="002614B8"/>
    <w:rsid w:val="002624EE"/>
    <w:rsid w:val="00262BBC"/>
    <w:rsid w:val="002643F4"/>
    <w:rsid w:val="00265171"/>
    <w:rsid w:val="00267356"/>
    <w:rsid w:val="0026772C"/>
    <w:rsid w:val="00270BE0"/>
    <w:rsid w:val="00270D29"/>
    <w:rsid w:val="002724F5"/>
    <w:rsid w:val="00272D0C"/>
    <w:rsid w:val="00273022"/>
    <w:rsid w:val="00273FFE"/>
    <w:rsid w:val="0027566A"/>
    <w:rsid w:val="002813E0"/>
    <w:rsid w:val="0028286E"/>
    <w:rsid w:val="0028449F"/>
    <w:rsid w:val="00285A77"/>
    <w:rsid w:val="00285DCB"/>
    <w:rsid w:val="00285FD3"/>
    <w:rsid w:val="00286D30"/>
    <w:rsid w:val="00290D24"/>
    <w:rsid w:val="00293B98"/>
    <w:rsid w:val="0029732D"/>
    <w:rsid w:val="0029798B"/>
    <w:rsid w:val="002A001A"/>
    <w:rsid w:val="002A0F4C"/>
    <w:rsid w:val="002A108C"/>
    <w:rsid w:val="002A2DF0"/>
    <w:rsid w:val="002A3585"/>
    <w:rsid w:val="002A3882"/>
    <w:rsid w:val="002A4F8B"/>
    <w:rsid w:val="002A5167"/>
    <w:rsid w:val="002A607B"/>
    <w:rsid w:val="002B0685"/>
    <w:rsid w:val="002B0963"/>
    <w:rsid w:val="002B1A14"/>
    <w:rsid w:val="002B2004"/>
    <w:rsid w:val="002B25BA"/>
    <w:rsid w:val="002B4FB5"/>
    <w:rsid w:val="002B6FB5"/>
    <w:rsid w:val="002C0E0F"/>
    <w:rsid w:val="002C1A8B"/>
    <w:rsid w:val="002C1F4F"/>
    <w:rsid w:val="002C2DAF"/>
    <w:rsid w:val="002C3097"/>
    <w:rsid w:val="002C472C"/>
    <w:rsid w:val="002C7ABE"/>
    <w:rsid w:val="002D1AAA"/>
    <w:rsid w:val="002D1E4F"/>
    <w:rsid w:val="002D4D6B"/>
    <w:rsid w:val="002D501F"/>
    <w:rsid w:val="002D6413"/>
    <w:rsid w:val="002E220F"/>
    <w:rsid w:val="002E2472"/>
    <w:rsid w:val="002E25C1"/>
    <w:rsid w:val="002E433D"/>
    <w:rsid w:val="002E5389"/>
    <w:rsid w:val="002E5C02"/>
    <w:rsid w:val="002E6569"/>
    <w:rsid w:val="002F2593"/>
    <w:rsid w:val="002F2972"/>
    <w:rsid w:val="002F31B5"/>
    <w:rsid w:val="002F3403"/>
    <w:rsid w:val="002F4F9D"/>
    <w:rsid w:val="002F64EF"/>
    <w:rsid w:val="002F6CEE"/>
    <w:rsid w:val="002F74A5"/>
    <w:rsid w:val="00300822"/>
    <w:rsid w:val="0030205B"/>
    <w:rsid w:val="00302EB9"/>
    <w:rsid w:val="00303C68"/>
    <w:rsid w:val="00304192"/>
    <w:rsid w:val="00304C33"/>
    <w:rsid w:val="00305926"/>
    <w:rsid w:val="00305D5B"/>
    <w:rsid w:val="00307B7E"/>
    <w:rsid w:val="00307E28"/>
    <w:rsid w:val="003106C3"/>
    <w:rsid w:val="00311CC4"/>
    <w:rsid w:val="0031649C"/>
    <w:rsid w:val="0031718E"/>
    <w:rsid w:val="00320559"/>
    <w:rsid w:val="003205E8"/>
    <w:rsid w:val="0032251D"/>
    <w:rsid w:val="0032309B"/>
    <w:rsid w:val="00323169"/>
    <w:rsid w:val="00323879"/>
    <w:rsid w:val="00323ED7"/>
    <w:rsid w:val="00323F52"/>
    <w:rsid w:val="00325918"/>
    <w:rsid w:val="003262A7"/>
    <w:rsid w:val="00326AB2"/>
    <w:rsid w:val="00326D38"/>
    <w:rsid w:val="00326DCA"/>
    <w:rsid w:val="003273DA"/>
    <w:rsid w:val="00327653"/>
    <w:rsid w:val="00330C9A"/>
    <w:rsid w:val="003312CB"/>
    <w:rsid w:val="0033250F"/>
    <w:rsid w:val="00332512"/>
    <w:rsid w:val="00332566"/>
    <w:rsid w:val="00332CB1"/>
    <w:rsid w:val="00333AA8"/>
    <w:rsid w:val="00334C5C"/>
    <w:rsid w:val="0033539E"/>
    <w:rsid w:val="0033556D"/>
    <w:rsid w:val="0033568C"/>
    <w:rsid w:val="00337547"/>
    <w:rsid w:val="00342027"/>
    <w:rsid w:val="00342A3C"/>
    <w:rsid w:val="0034398C"/>
    <w:rsid w:val="0034436F"/>
    <w:rsid w:val="00344530"/>
    <w:rsid w:val="00344614"/>
    <w:rsid w:val="00344D9E"/>
    <w:rsid w:val="00344FAE"/>
    <w:rsid w:val="003458F9"/>
    <w:rsid w:val="00347326"/>
    <w:rsid w:val="00347DE2"/>
    <w:rsid w:val="00350D4B"/>
    <w:rsid w:val="00350E54"/>
    <w:rsid w:val="003521BC"/>
    <w:rsid w:val="00353A6D"/>
    <w:rsid w:val="00353D4B"/>
    <w:rsid w:val="0035412D"/>
    <w:rsid w:val="0035426D"/>
    <w:rsid w:val="00355109"/>
    <w:rsid w:val="003578A4"/>
    <w:rsid w:val="003600F6"/>
    <w:rsid w:val="003606D9"/>
    <w:rsid w:val="003607BC"/>
    <w:rsid w:val="00360C06"/>
    <w:rsid w:val="00360C8A"/>
    <w:rsid w:val="003612B0"/>
    <w:rsid w:val="003612B9"/>
    <w:rsid w:val="00361AB9"/>
    <w:rsid w:val="00361B1A"/>
    <w:rsid w:val="00362376"/>
    <w:rsid w:val="00362AE6"/>
    <w:rsid w:val="003636DF"/>
    <w:rsid w:val="0036616F"/>
    <w:rsid w:val="003665FF"/>
    <w:rsid w:val="003703D9"/>
    <w:rsid w:val="0037107D"/>
    <w:rsid w:val="003720F7"/>
    <w:rsid w:val="0037318E"/>
    <w:rsid w:val="00373C10"/>
    <w:rsid w:val="0037507C"/>
    <w:rsid w:val="003750C2"/>
    <w:rsid w:val="003762DD"/>
    <w:rsid w:val="00376616"/>
    <w:rsid w:val="00376B13"/>
    <w:rsid w:val="003772FC"/>
    <w:rsid w:val="00377B8A"/>
    <w:rsid w:val="00381112"/>
    <w:rsid w:val="0038395E"/>
    <w:rsid w:val="0038503C"/>
    <w:rsid w:val="00385618"/>
    <w:rsid w:val="0038585C"/>
    <w:rsid w:val="00385E72"/>
    <w:rsid w:val="003860EB"/>
    <w:rsid w:val="00390311"/>
    <w:rsid w:val="003909DB"/>
    <w:rsid w:val="00391503"/>
    <w:rsid w:val="00391F41"/>
    <w:rsid w:val="00392947"/>
    <w:rsid w:val="003942D7"/>
    <w:rsid w:val="003949D0"/>
    <w:rsid w:val="00395B21"/>
    <w:rsid w:val="003961C8"/>
    <w:rsid w:val="00396594"/>
    <w:rsid w:val="00396A8C"/>
    <w:rsid w:val="00396C75"/>
    <w:rsid w:val="00397EB3"/>
    <w:rsid w:val="003A0948"/>
    <w:rsid w:val="003A1EAF"/>
    <w:rsid w:val="003A22D1"/>
    <w:rsid w:val="003A34B9"/>
    <w:rsid w:val="003A3A98"/>
    <w:rsid w:val="003A3D4B"/>
    <w:rsid w:val="003A56E3"/>
    <w:rsid w:val="003A5A9F"/>
    <w:rsid w:val="003A7B7C"/>
    <w:rsid w:val="003B0AD2"/>
    <w:rsid w:val="003B1C90"/>
    <w:rsid w:val="003B24E7"/>
    <w:rsid w:val="003B270E"/>
    <w:rsid w:val="003B287E"/>
    <w:rsid w:val="003B2C05"/>
    <w:rsid w:val="003B2E64"/>
    <w:rsid w:val="003B39C9"/>
    <w:rsid w:val="003B672F"/>
    <w:rsid w:val="003B6CCA"/>
    <w:rsid w:val="003B77E6"/>
    <w:rsid w:val="003B797F"/>
    <w:rsid w:val="003B7B9D"/>
    <w:rsid w:val="003C0DED"/>
    <w:rsid w:val="003C0F55"/>
    <w:rsid w:val="003C1753"/>
    <w:rsid w:val="003C1C66"/>
    <w:rsid w:val="003C3671"/>
    <w:rsid w:val="003C3BCC"/>
    <w:rsid w:val="003C5553"/>
    <w:rsid w:val="003C7200"/>
    <w:rsid w:val="003D4F80"/>
    <w:rsid w:val="003D6FF8"/>
    <w:rsid w:val="003D7B23"/>
    <w:rsid w:val="003E01DC"/>
    <w:rsid w:val="003E050A"/>
    <w:rsid w:val="003E1A81"/>
    <w:rsid w:val="003E2C89"/>
    <w:rsid w:val="003E4210"/>
    <w:rsid w:val="003E6E9B"/>
    <w:rsid w:val="003E7D6A"/>
    <w:rsid w:val="003F0D59"/>
    <w:rsid w:val="003F4B15"/>
    <w:rsid w:val="003F5701"/>
    <w:rsid w:val="00400275"/>
    <w:rsid w:val="004026E3"/>
    <w:rsid w:val="00403682"/>
    <w:rsid w:val="00404B5D"/>
    <w:rsid w:val="00405769"/>
    <w:rsid w:val="00406595"/>
    <w:rsid w:val="004068BA"/>
    <w:rsid w:val="0040727A"/>
    <w:rsid w:val="00407B95"/>
    <w:rsid w:val="00407D73"/>
    <w:rsid w:val="0041041C"/>
    <w:rsid w:val="00412760"/>
    <w:rsid w:val="00413AAA"/>
    <w:rsid w:val="00414B55"/>
    <w:rsid w:val="00414E1C"/>
    <w:rsid w:val="004159F3"/>
    <w:rsid w:val="00415BC9"/>
    <w:rsid w:val="004175DF"/>
    <w:rsid w:val="00417FD4"/>
    <w:rsid w:val="004204C7"/>
    <w:rsid w:val="00420ED0"/>
    <w:rsid w:val="00421428"/>
    <w:rsid w:val="00421C2C"/>
    <w:rsid w:val="00421F3D"/>
    <w:rsid w:val="00422EDD"/>
    <w:rsid w:val="00424387"/>
    <w:rsid w:val="00425681"/>
    <w:rsid w:val="00426337"/>
    <w:rsid w:val="004323B8"/>
    <w:rsid w:val="0043272C"/>
    <w:rsid w:val="00432806"/>
    <w:rsid w:val="0043323C"/>
    <w:rsid w:val="00433C17"/>
    <w:rsid w:val="004343A6"/>
    <w:rsid w:val="004343C3"/>
    <w:rsid w:val="0044164B"/>
    <w:rsid w:val="0044189B"/>
    <w:rsid w:val="00441F30"/>
    <w:rsid w:val="00442B5A"/>
    <w:rsid w:val="00443967"/>
    <w:rsid w:val="00444324"/>
    <w:rsid w:val="00444A32"/>
    <w:rsid w:val="00445821"/>
    <w:rsid w:val="0044658D"/>
    <w:rsid w:val="00446783"/>
    <w:rsid w:val="0044701A"/>
    <w:rsid w:val="004516AD"/>
    <w:rsid w:val="00452D1B"/>
    <w:rsid w:val="00453176"/>
    <w:rsid w:val="00456F25"/>
    <w:rsid w:val="00460B14"/>
    <w:rsid w:val="00460BFF"/>
    <w:rsid w:val="00463D51"/>
    <w:rsid w:val="00464B85"/>
    <w:rsid w:val="00465C22"/>
    <w:rsid w:val="00465DAD"/>
    <w:rsid w:val="00470960"/>
    <w:rsid w:val="00472E06"/>
    <w:rsid w:val="0047416C"/>
    <w:rsid w:val="004741B6"/>
    <w:rsid w:val="004742E8"/>
    <w:rsid w:val="004753B7"/>
    <w:rsid w:val="004754E6"/>
    <w:rsid w:val="00475CBD"/>
    <w:rsid w:val="00475E07"/>
    <w:rsid w:val="00481047"/>
    <w:rsid w:val="00481633"/>
    <w:rsid w:val="00482C1D"/>
    <w:rsid w:val="0048426F"/>
    <w:rsid w:val="00486CAE"/>
    <w:rsid w:val="00486D38"/>
    <w:rsid w:val="00490ADE"/>
    <w:rsid w:val="0049222C"/>
    <w:rsid w:val="004923DD"/>
    <w:rsid w:val="00492D54"/>
    <w:rsid w:val="00493BBE"/>
    <w:rsid w:val="00493F2B"/>
    <w:rsid w:val="00497DDB"/>
    <w:rsid w:val="004A00E1"/>
    <w:rsid w:val="004A066F"/>
    <w:rsid w:val="004A0B2E"/>
    <w:rsid w:val="004A1023"/>
    <w:rsid w:val="004A13FA"/>
    <w:rsid w:val="004A14CC"/>
    <w:rsid w:val="004A16E5"/>
    <w:rsid w:val="004A1BEF"/>
    <w:rsid w:val="004A2A67"/>
    <w:rsid w:val="004A4867"/>
    <w:rsid w:val="004A4E0A"/>
    <w:rsid w:val="004A511E"/>
    <w:rsid w:val="004A53FA"/>
    <w:rsid w:val="004A5C2D"/>
    <w:rsid w:val="004A628B"/>
    <w:rsid w:val="004A7678"/>
    <w:rsid w:val="004A77B4"/>
    <w:rsid w:val="004B18B8"/>
    <w:rsid w:val="004B22E9"/>
    <w:rsid w:val="004B2463"/>
    <w:rsid w:val="004B2E01"/>
    <w:rsid w:val="004B3151"/>
    <w:rsid w:val="004B476F"/>
    <w:rsid w:val="004B65D5"/>
    <w:rsid w:val="004B740E"/>
    <w:rsid w:val="004B74BE"/>
    <w:rsid w:val="004B7CF6"/>
    <w:rsid w:val="004C175B"/>
    <w:rsid w:val="004C1908"/>
    <w:rsid w:val="004C1A19"/>
    <w:rsid w:val="004C506A"/>
    <w:rsid w:val="004C7DC1"/>
    <w:rsid w:val="004D0116"/>
    <w:rsid w:val="004D036F"/>
    <w:rsid w:val="004D0B29"/>
    <w:rsid w:val="004D0BE3"/>
    <w:rsid w:val="004D1192"/>
    <w:rsid w:val="004D1899"/>
    <w:rsid w:val="004D22E8"/>
    <w:rsid w:val="004D3F4E"/>
    <w:rsid w:val="004D4462"/>
    <w:rsid w:val="004D55E5"/>
    <w:rsid w:val="004D6A97"/>
    <w:rsid w:val="004D6F17"/>
    <w:rsid w:val="004E07A0"/>
    <w:rsid w:val="004E4AA2"/>
    <w:rsid w:val="004E5957"/>
    <w:rsid w:val="004E5BC2"/>
    <w:rsid w:val="004E6559"/>
    <w:rsid w:val="004F1936"/>
    <w:rsid w:val="004F1EC9"/>
    <w:rsid w:val="004F2046"/>
    <w:rsid w:val="004F2C63"/>
    <w:rsid w:val="004F322D"/>
    <w:rsid w:val="004F55D1"/>
    <w:rsid w:val="004F5E75"/>
    <w:rsid w:val="004F6996"/>
    <w:rsid w:val="004F6BFF"/>
    <w:rsid w:val="00500729"/>
    <w:rsid w:val="00501093"/>
    <w:rsid w:val="00502A18"/>
    <w:rsid w:val="005033BB"/>
    <w:rsid w:val="00504047"/>
    <w:rsid w:val="0050492F"/>
    <w:rsid w:val="00504D9E"/>
    <w:rsid w:val="00507E7C"/>
    <w:rsid w:val="00507E97"/>
    <w:rsid w:val="0051019D"/>
    <w:rsid w:val="0051077D"/>
    <w:rsid w:val="00510AFA"/>
    <w:rsid w:val="00512B78"/>
    <w:rsid w:val="005149D9"/>
    <w:rsid w:val="00515755"/>
    <w:rsid w:val="00517230"/>
    <w:rsid w:val="00517759"/>
    <w:rsid w:val="00517BF9"/>
    <w:rsid w:val="00521738"/>
    <w:rsid w:val="0052297D"/>
    <w:rsid w:val="00522E3D"/>
    <w:rsid w:val="00522EED"/>
    <w:rsid w:val="00527D7B"/>
    <w:rsid w:val="005311C2"/>
    <w:rsid w:val="005313C8"/>
    <w:rsid w:val="005316DD"/>
    <w:rsid w:val="0053517A"/>
    <w:rsid w:val="0053541E"/>
    <w:rsid w:val="00540B39"/>
    <w:rsid w:val="005426A4"/>
    <w:rsid w:val="0054321B"/>
    <w:rsid w:val="00544027"/>
    <w:rsid w:val="00544C31"/>
    <w:rsid w:val="00545F81"/>
    <w:rsid w:val="00546A98"/>
    <w:rsid w:val="00550D3D"/>
    <w:rsid w:val="0055353C"/>
    <w:rsid w:val="0055382E"/>
    <w:rsid w:val="00554147"/>
    <w:rsid w:val="00555690"/>
    <w:rsid w:val="0055620B"/>
    <w:rsid w:val="00556BDD"/>
    <w:rsid w:val="005578D8"/>
    <w:rsid w:val="005603C7"/>
    <w:rsid w:val="00561401"/>
    <w:rsid w:val="00562709"/>
    <w:rsid w:val="00562927"/>
    <w:rsid w:val="00563B9B"/>
    <w:rsid w:val="00563EB7"/>
    <w:rsid w:val="00565AA1"/>
    <w:rsid w:val="00567109"/>
    <w:rsid w:val="005678DD"/>
    <w:rsid w:val="005718BE"/>
    <w:rsid w:val="00571D9E"/>
    <w:rsid w:val="00572236"/>
    <w:rsid w:val="00573AED"/>
    <w:rsid w:val="00574210"/>
    <w:rsid w:val="00576CD3"/>
    <w:rsid w:val="00577A12"/>
    <w:rsid w:val="0058166F"/>
    <w:rsid w:val="005818B8"/>
    <w:rsid w:val="005826A2"/>
    <w:rsid w:val="00582870"/>
    <w:rsid w:val="0058348A"/>
    <w:rsid w:val="00583751"/>
    <w:rsid w:val="00583ADB"/>
    <w:rsid w:val="00586E3C"/>
    <w:rsid w:val="00587370"/>
    <w:rsid w:val="005910D9"/>
    <w:rsid w:val="00591EC8"/>
    <w:rsid w:val="00592038"/>
    <w:rsid w:val="00592A4F"/>
    <w:rsid w:val="0059427A"/>
    <w:rsid w:val="00594A9D"/>
    <w:rsid w:val="00595C64"/>
    <w:rsid w:val="00596245"/>
    <w:rsid w:val="00596AFA"/>
    <w:rsid w:val="00597C5B"/>
    <w:rsid w:val="005A0EE1"/>
    <w:rsid w:val="005A1ACC"/>
    <w:rsid w:val="005A3922"/>
    <w:rsid w:val="005A4FE5"/>
    <w:rsid w:val="005A50AA"/>
    <w:rsid w:val="005B0643"/>
    <w:rsid w:val="005B0970"/>
    <w:rsid w:val="005B27EF"/>
    <w:rsid w:val="005B5746"/>
    <w:rsid w:val="005B7070"/>
    <w:rsid w:val="005C0C21"/>
    <w:rsid w:val="005C3476"/>
    <w:rsid w:val="005C3983"/>
    <w:rsid w:val="005C4C0E"/>
    <w:rsid w:val="005C543B"/>
    <w:rsid w:val="005C55D1"/>
    <w:rsid w:val="005C5CCA"/>
    <w:rsid w:val="005C6CFB"/>
    <w:rsid w:val="005C77FC"/>
    <w:rsid w:val="005C78C9"/>
    <w:rsid w:val="005D0EA4"/>
    <w:rsid w:val="005D3E88"/>
    <w:rsid w:val="005D5DAC"/>
    <w:rsid w:val="005E0F29"/>
    <w:rsid w:val="005E2DF6"/>
    <w:rsid w:val="005E3B97"/>
    <w:rsid w:val="005E792D"/>
    <w:rsid w:val="005E7FB0"/>
    <w:rsid w:val="005F0337"/>
    <w:rsid w:val="005F06D0"/>
    <w:rsid w:val="005F0C8C"/>
    <w:rsid w:val="005F2283"/>
    <w:rsid w:val="005F230E"/>
    <w:rsid w:val="005F33EB"/>
    <w:rsid w:val="005F4BA6"/>
    <w:rsid w:val="005F6EA8"/>
    <w:rsid w:val="005F6FF0"/>
    <w:rsid w:val="005F7FA5"/>
    <w:rsid w:val="00600266"/>
    <w:rsid w:val="00600D86"/>
    <w:rsid w:val="006013D8"/>
    <w:rsid w:val="00603FB1"/>
    <w:rsid w:val="00603FD8"/>
    <w:rsid w:val="006044AF"/>
    <w:rsid w:val="00604F42"/>
    <w:rsid w:val="00605645"/>
    <w:rsid w:val="00605A88"/>
    <w:rsid w:val="00605D74"/>
    <w:rsid w:val="00605E12"/>
    <w:rsid w:val="00605E9C"/>
    <w:rsid w:val="006108D7"/>
    <w:rsid w:val="00610B24"/>
    <w:rsid w:val="00610E44"/>
    <w:rsid w:val="00612CA1"/>
    <w:rsid w:val="00613688"/>
    <w:rsid w:val="00616995"/>
    <w:rsid w:val="00616ADC"/>
    <w:rsid w:val="00617C5A"/>
    <w:rsid w:val="006202C2"/>
    <w:rsid w:val="0062138F"/>
    <w:rsid w:val="0062143E"/>
    <w:rsid w:val="00622B4F"/>
    <w:rsid w:val="00622EFC"/>
    <w:rsid w:val="00623FEB"/>
    <w:rsid w:val="006244F8"/>
    <w:rsid w:val="00624E3B"/>
    <w:rsid w:val="00627A76"/>
    <w:rsid w:val="006303D1"/>
    <w:rsid w:val="006304F5"/>
    <w:rsid w:val="006310C3"/>
    <w:rsid w:val="006316E4"/>
    <w:rsid w:val="00631B7E"/>
    <w:rsid w:val="00631D2D"/>
    <w:rsid w:val="00633BC4"/>
    <w:rsid w:val="00634454"/>
    <w:rsid w:val="00634AAE"/>
    <w:rsid w:val="006372CC"/>
    <w:rsid w:val="00637D0B"/>
    <w:rsid w:val="00640FB4"/>
    <w:rsid w:val="00642A22"/>
    <w:rsid w:val="0064355B"/>
    <w:rsid w:val="00644B1C"/>
    <w:rsid w:val="00645398"/>
    <w:rsid w:val="00645707"/>
    <w:rsid w:val="00646ACF"/>
    <w:rsid w:val="00647C4A"/>
    <w:rsid w:val="00650456"/>
    <w:rsid w:val="00650D95"/>
    <w:rsid w:val="006539CE"/>
    <w:rsid w:val="00654F05"/>
    <w:rsid w:val="00654F19"/>
    <w:rsid w:val="0065618A"/>
    <w:rsid w:val="00660ACB"/>
    <w:rsid w:val="0066447C"/>
    <w:rsid w:val="00664FC5"/>
    <w:rsid w:val="00665C2B"/>
    <w:rsid w:val="006662A6"/>
    <w:rsid w:val="0066679C"/>
    <w:rsid w:val="00666A57"/>
    <w:rsid w:val="00666BE5"/>
    <w:rsid w:val="00666F9E"/>
    <w:rsid w:val="00670FC3"/>
    <w:rsid w:val="00671465"/>
    <w:rsid w:val="00673053"/>
    <w:rsid w:val="00673DA8"/>
    <w:rsid w:val="0067647C"/>
    <w:rsid w:val="006818A2"/>
    <w:rsid w:val="00684A4A"/>
    <w:rsid w:val="00685DAE"/>
    <w:rsid w:val="00687CDA"/>
    <w:rsid w:val="0069034C"/>
    <w:rsid w:val="00690768"/>
    <w:rsid w:val="00690FA3"/>
    <w:rsid w:val="00691C33"/>
    <w:rsid w:val="00692558"/>
    <w:rsid w:val="00692A0E"/>
    <w:rsid w:val="00693D01"/>
    <w:rsid w:val="00693D27"/>
    <w:rsid w:val="0069553C"/>
    <w:rsid w:val="00695CED"/>
    <w:rsid w:val="006964F4"/>
    <w:rsid w:val="00697C28"/>
    <w:rsid w:val="006A2202"/>
    <w:rsid w:val="006A239F"/>
    <w:rsid w:val="006A2871"/>
    <w:rsid w:val="006A2C87"/>
    <w:rsid w:val="006A3571"/>
    <w:rsid w:val="006A3CFC"/>
    <w:rsid w:val="006A446F"/>
    <w:rsid w:val="006A58A0"/>
    <w:rsid w:val="006A63E5"/>
    <w:rsid w:val="006A69C8"/>
    <w:rsid w:val="006A6C46"/>
    <w:rsid w:val="006B0241"/>
    <w:rsid w:val="006B0CCE"/>
    <w:rsid w:val="006B23FB"/>
    <w:rsid w:val="006B2608"/>
    <w:rsid w:val="006B3D9A"/>
    <w:rsid w:val="006B3FA3"/>
    <w:rsid w:val="006B58A8"/>
    <w:rsid w:val="006B6858"/>
    <w:rsid w:val="006C0316"/>
    <w:rsid w:val="006C1822"/>
    <w:rsid w:val="006C1DC6"/>
    <w:rsid w:val="006C3330"/>
    <w:rsid w:val="006C477F"/>
    <w:rsid w:val="006C56DC"/>
    <w:rsid w:val="006C5785"/>
    <w:rsid w:val="006C64A4"/>
    <w:rsid w:val="006C712D"/>
    <w:rsid w:val="006C74D4"/>
    <w:rsid w:val="006C7F63"/>
    <w:rsid w:val="006D0A3D"/>
    <w:rsid w:val="006D215A"/>
    <w:rsid w:val="006D296A"/>
    <w:rsid w:val="006D39EE"/>
    <w:rsid w:val="006D4A93"/>
    <w:rsid w:val="006D4DE1"/>
    <w:rsid w:val="006D6370"/>
    <w:rsid w:val="006E0634"/>
    <w:rsid w:val="006E0BAC"/>
    <w:rsid w:val="006E1C44"/>
    <w:rsid w:val="006E1F89"/>
    <w:rsid w:val="006E20E7"/>
    <w:rsid w:val="006E28B6"/>
    <w:rsid w:val="006E3604"/>
    <w:rsid w:val="006E3640"/>
    <w:rsid w:val="006E3861"/>
    <w:rsid w:val="006E5ECA"/>
    <w:rsid w:val="006F00AE"/>
    <w:rsid w:val="006F0E87"/>
    <w:rsid w:val="006F16FA"/>
    <w:rsid w:val="006F22CA"/>
    <w:rsid w:val="006F4EC1"/>
    <w:rsid w:val="006F5FB9"/>
    <w:rsid w:val="006F7026"/>
    <w:rsid w:val="00700285"/>
    <w:rsid w:val="0070185E"/>
    <w:rsid w:val="00701960"/>
    <w:rsid w:val="00702B64"/>
    <w:rsid w:val="00702DF6"/>
    <w:rsid w:val="00703CF1"/>
    <w:rsid w:val="007041C3"/>
    <w:rsid w:val="00705177"/>
    <w:rsid w:val="00706CC5"/>
    <w:rsid w:val="007072E4"/>
    <w:rsid w:val="00707ABB"/>
    <w:rsid w:val="00707B4C"/>
    <w:rsid w:val="00707E3A"/>
    <w:rsid w:val="00710800"/>
    <w:rsid w:val="00711D29"/>
    <w:rsid w:val="007125B6"/>
    <w:rsid w:val="00712793"/>
    <w:rsid w:val="0071360F"/>
    <w:rsid w:val="00716317"/>
    <w:rsid w:val="007166AD"/>
    <w:rsid w:val="0071737D"/>
    <w:rsid w:val="0072073B"/>
    <w:rsid w:val="0072182E"/>
    <w:rsid w:val="00721F22"/>
    <w:rsid w:val="00722088"/>
    <w:rsid w:val="007223E5"/>
    <w:rsid w:val="007242E4"/>
    <w:rsid w:val="0072678C"/>
    <w:rsid w:val="00726EFD"/>
    <w:rsid w:val="00727A18"/>
    <w:rsid w:val="007302D8"/>
    <w:rsid w:val="00730964"/>
    <w:rsid w:val="00730F2E"/>
    <w:rsid w:val="007319F2"/>
    <w:rsid w:val="00731FD9"/>
    <w:rsid w:val="0073259F"/>
    <w:rsid w:val="00732E42"/>
    <w:rsid w:val="00735859"/>
    <w:rsid w:val="00736015"/>
    <w:rsid w:val="007363F4"/>
    <w:rsid w:val="0073643D"/>
    <w:rsid w:val="007411EA"/>
    <w:rsid w:val="0074185B"/>
    <w:rsid w:val="0074235B"/>
    <w:rsid w:val="007424A8"/>
    <w:rsid w:val="00742849"/>
    <w:rsid w:val="00743C6F"/>
    <w:rsid w:val="00743E77"/>
    <w:rsid w:val="00743EFE"/>
    <w:rsid w:val="00744237"/>
    <w:rsid w:val="0074438B"/>
    <w:rsid w:val="00744403"/>
    <w:rsid w:val="0074512E"/>
    <w:rsid w:val="00746F56"/>
    <w:rsid w:val="00747F48"/>
    <w:rsid w:val="007518E0"/>
    <w:rsid w:val="007528C4"/>
    <w:rsid w:val="00752F93"/>
    <w:rsid w:val="00757084"/>
    <w:rsid w:val="0075750B"/>
    <w:rsid w:val="00757BE8"/>
    <w:rsid w:val="00757D7C"/>
    <w:rsid w:val="00760975"/>
    <w:rsid w:val="007609C5"/>
    <w:rsid w:val="00760D38"/>
    <w:rsid w:val="0076145D"/>
    <w:rsid w:val="00762DD1"/>
    <w:rsid w:val="00764CBA"/>
    <w:rsid w:val="007701DF"/>
    <w:rsid w:val="00771550"/>
    <w:rsid w:val="007721B1"/>
    <w:rsid w:val="00774401"/>
    <w:rsid w:val="00775F73"/>
    <w:rsid w:val="007768E0"/>
    <w:rsid w:val="00776A55"/>
    <w:rsid w:val="007770C2"/>
    <w:rsid w:val="0078002B"/>
    <w:rsid w:val="00783016"/>
    <w:rsid w:val="007841C6"/>
    <w:rsid w:val="0078542C"/>
    <w:rsid w:val="00786327"/>
    <w:rsid w:val="00790B40"/>
    <w:rsid w:val="00791F2F"/>
    <w:rsid w:val="00792928"/>
    <w:rsid w:val="007941BC"/>
    <w:rsid w:val="0079556A"/>
    <w:rsid w:val="00795730"/>
    <w:rsid w:val="007959C5"/>
    <w:rsid w:val="00795FA0"/>
    <w:rsid w:val="007970D8"/>
    <w:rsid w:val="007A4167"/>
    <w:rsid w:val="007A4B4E"/>
    <w:rsid w:val="007A51D2"/>
    <w:rsid w:val="007A609D"/>
    <w:rsid w:val="007A6631"/>
    <w:rsid w:val="007A6995"/>
    <w:rsid w:val="007B00E7"/>
    <w:rsid w:val="007B0ED7"/>
    <w:rsid w:val="007B1899"/>
    <w:rsid w:val="007B2361"/>
    <w:rsid w:val="007B3269"/>
    <w:rsid w:val="007B3466"/>
    <w:rsid w:val="007B5ECE"/>
    <w:rsid w:val="007B6D8C"/>
    <w:rsid w:val="007C0608"/>
    <w:rsid w:val="007C2431"/>
    <w:rsid w:val="007C259B"/>
    <w:rsid w:val="007C64D4"/>
    <w:rsid w:val="007C740B"/>
    <w:rsid w:val="007C79B6"/>
    <w:rsid w:val="007D03A4"/>
    <w:rsid w:val="007D08DD"/>
    <w:rsid w:val="007D16AB"/>
    <w:rsid w:val="007D198C"/>
    <w:rsid w:val="007D3CD4"/>
    <w:rsid w:val="007D4B39"/>
    <w:rsid w:val="007D5388"/>
    <w:rsid w:val="007D5F82"/>
    <w:rsid w:val="007E0CF7"/>
    <w:rsid w:val="007E315C"/>
    <w:rsid w:val="007E3945"/>
    <w:rsid w:val="007E48B2"/>
    <w:rsid w:val="007E51B0"/>
    <w:rsid w:val="007E5D64"/>
    <w:rsid w:val="007E61A1"/>
    <w:rsid w:val="007E6F05"/>
    <w:rsid w:val="007E7E21"/>
    <w:rsid w:val="007F0CED"/>
    <w:rsid w:val="007F1742"/>
    <w:rsid w:val="007F1BBB"/>
    <w:rsid w:val="007F5163"/>
    <w:rsid w:val="007F625E"/>
    <w:rsid w:val="007F6597"/>
    <w:rsid w:val="007F66AA"/>
    <w:rsid w:val="0080141B"/>
    <w:rsid w:val="0080165D"/>
    <w:rsid w:val="0080237A"/>
    <w:rsid w:val="008027FE"/>
    <w:rsid w:val="00805082"/>
    <w:rsid w:val="008054AC"/>
    <w:rsid w:val="00805F38"/>
    <w:rsid w:val="008078DD"/>
    <w:rsid w:val="00811040"/>
    <w:rsid w:val="00812F6B"/>
    <w:rsid w:val="00813598"/>
    <w:rsid w:val="00813B09"/>
    <w:rsid w:val="00814250"/>
    <w:rsid w:val="008148E1"/>
    <w:rsid w:val="00815AB5"/>
    <w:rsid w:val="00815BF3"/>
    <w:rsid w:val="00816161"/>
    <w:rsid w:val="008164C4"/>
    <w:rsid w:val="00821AF2"/>
    <w:rsid w:val="00821DBB"/>
    <w:rsid w:val="008227FE"/>
    <w:rsid w:val="00823A0D"/>
    <w:rsid w:val="008265C2"/>
    <w:rsid w:val="008277B9"/>
    <w:rsid w:val="00830060"/>
    <w:rsid w:val="00830B13"/>
    <w:rsid w:val="00832A12"/>
    <w:rsid w:val="00833BD8"/>
    <w:rsid w:val="0083478C"/>
    <w:rsid w:val="00834826"/>
    <w:rsid w:val="008360D7"/>
    <w:rsid w:val="00837171"/>
    <w:rsid w:val="00837C28"/>
    <w:rsid w:val="00837EC7"/>
    <w:rsid w:val="00837F2D"/>
    <w:rsid w:val="008401F8"/>
    <w:rsid w:val="0084030A"/>
    <w:rsid w:val="00841F75"/>
    <w:rsid w:val="0084322D"/>
    <w:rsid w:val="008437B9"/>
    <w:rsid w:val="00843D45"/>
    <w:rsid w:val="00843FD9"/>
    <w:rsid w:val="00850140"/>
    <w:rsid w:val="0085106E"/>
    <w:rsid w:val="00851303"/>
    <w:rsid w:val="008522BD"/>
    <w:rsid w:val="008532C8"/>
    <w:rsid w:val="00854C1E"/>
    <w:rsid w:val="00854FA7"/>
    <w:rsid w:val="00855ADF"/>
    <w:rsid w:val="00857704"/>
    <w:rsid w:val="00857AAB"/>
    <w:rsid w:val="00857DB4"/>
    <w:rsid w:val="00860F44"/>
    <w:rsid w:val="00861145"/>
    <w:rsid w:val="00861CCD"/>
    <w:rsid w:val="00862F80"/>
    <w:rsid w:val="008651BB"/>
    <w:rsid w:val="008667E1"/>
    <w:rsid w:val="00866CCF"/>
    <w:rsid w:val="00866ED0"/>
    <w:rsid w:val="008672FA"/>
    <w:rsid w:val="00867F3B"/>
    <w:rsid w:val="008705E0"/>
    <w:rsid w:val="00871CC3"/>
    <w:rsid w:val="0087313F"/>
    <w:rsid w:val="00874EF2"/>
    <w:rsid w:val="008752DA"/>
    <w:rsid w:val="00875916"/>
    <w:rsid w:val="008818B6"/>
    <w:rsid w:val="00881C65"/>
    <w:rsid w:val="00886CB1"/>
    <w:rsid w:val="008875AA"/>
    <w:rsid w:val="00887AB4"/>
    <w:rsid w:val="00887CCF"/>
    <w:rsid w:val="0089090B"/>
    <w:rsid w:val="00891234"/>
    <w:rsid w:val="0089234B"/>
    <w:rsid w:val="00892590"/>
    <w:rsid w:val="0089263E"/>
    <w:rsid w:val="00892D9B"/>
    <w:rsid w:val="008932A2"/>
    <w:rsid w:val="008935E1"/>
    <w:rsid w:val="00894ABF"/>
    <w:rsid w:val="00894C69"/>
    <w:rsid w:val="00894F8C"/>
    <w:rsid w:val="00894FEF"/>
    <w:rsid w:val="00895884"/>
    <w:rsid w:val="008971A8"/>
    <w:rsid w:val="00897A87"/>
    <w:rsid w:val="008A034A"/>
    <w:rsid w:val="008A2381"/>
    <w:rsid w:val="008A2624"/>
    <w:rsid w:val="008A59D3"/>
    <w:rsid w:val="008A695A"/>
    <w:rsid w:val="008A71BC"/>
    <w:rsid w:val="008A741B"/>
    <w:rsid w:val="008A7FAF"/>
    <w:rsid w:val="008B0144"/>
    <w:rsid w:val="008B0FDD"/>
    <w:rsid w:val="008B1D29"/>
    <w:rsid w:val="008B2FD3"/>
    <w:rsid w:val="008B3518"/>
    <w:rsid w:val="008B3A04"/>
    <w:rsid w:val="008B4537"/>
    <w:rsid w:val="008B49F8"/>
    <w:rsid w:val="008B4E0E"/>
    <w:rsid w:val="008B5666"/>
    <w:rsid w:val="008B5F6E"/>
    <w:rsid w:val="008B6756"/>
    <w:rsid w:val="008B7505"/>
    <w:rsid w:val="008C08C1"/>
    <w:rsid w:val="008C15D9"/>
    <w:rsid w:val="008C18DC"/>
    <w:rsid w:val="008C2AE3"/>
    <w:rsid w:val="008C2C52"/>
    <w:rsid w:val="008C4505"/>
    <w:rsid w:val="008C54D3"/>
    <w:rsid w:val="008C6710"/>
    <w:rsid w:val="008C6C8B"/>
    <w:rsid w:val="008D27A2"/>
    <w:rsid w:val="008D2E35"/>
    <w:rsid w:val="008D3DCB"/>
    <w:rsid w:val="008D5E7D"/>
    <w:rsid w:val="008D6BB3"/>
    <w:rsid w:val="008E0E12"/>
    <w:rsid w:val="008E0E5E"/>
    <w:rsid w:val="008E14EC"/>
    <w:rsid w:val="008E22AB"/>
    <w:rsid w:val="008E346E"/>
    <w:rsid w:val="008E449B"/>
    <w:rsid w:val="008E5501"/>
    <w:rsid w:val="008E7F9B"/>
    <w:rsid w:val="008F00F7"/>
    <w:rsid w:val="008F0D96"/>
    <w:rsid w:val="008F11E5"/>
    <w:rsid w:val="008F222E"/>
    <w:rsid w:val="008F2270"/>
    <w:rsid w:val="008F58C2"/>
    <w:rsid w:val="008F6667"/>
    <w:rsid w:val="008F7215"/>
    <w:rsid w:val="00900ABA"/>
    <w:rsid w:val="00900EBF"/>
    <w:rsid w:val="00901D16"/>
    <w:rsid w:val="00902299"/>
    <w:rsid w:val="0090291F"/>
    <w:rsid w:val="009029B4"/>
    <w:rsid w:val="00904EF4"/>
    <w:rsid w:val="00905605"/>
    <w:rsid w:val="00906D31"/>
    <w:rsid w:val="009075A6"/>
    <w:rsid w:val="009079B9"/>
    <w:rsid w:val="00907A78"/>
    <w:rsid w:val="00907B98"/>
    <w:rsid w:val="00910593"/>
    <w:rsid w:val="009105DD"/>
    <w:rsid w:val="00910C35"/>
    <w:rsid w:val="00911A12"/>
    <w:rsid w:val="009133D0"/>
    <w:rsid w:val="00913AE0"/>
    <w:rsid w:val="009159B5"/>
    <w:rsid w:val="00915BCA"/>
    <w:rsid w:val="00916334"/>
    <w:rsid w:val="00916417"/>
    <w:rsid w:val="009168AF"/>
    <w:rsid w:val="00917DEC"/>
    <w:rsid w:val="00920DD7"/>
    <w:rsid w:val="009214CA"/>
    <w:rsid w:val="00925778"/>
    <w:rsid w:val="0092587F"/>
    <w:rsid w:val="00925D80"/>
    <w:rsid w:val="0092726C"/>
    <w:rsid w:val="0093357F"/>
    <w:rsid w:val="00933E1B"/>
    <w:rsid w:val="009356DD"/>
    <w:rsid w:val="00940D77"/>
    <w:rsid w:val="0094374A"/>
    <w:rsid w:val="0094710D"/>
    <w:rsid w:val="009473DC"/>
    <w:rsid w:val="00947512"/>
    <w:rsid w:val="00951819"/>
    <w:rsid w:val="00951A03"/>
    <w:rsid w:val="00952DD7"/>
    <w:rsid w:val="0095377A"/>
    <w:rsid w:val="009567D3"/>
    <w:rsid w:val="009570CB"/>
    <w:rsid w:val="00957ACC"/>
    <w:rsid w:val="00960A9F"/>
    <w:rsid w:val="00965419"/>
    <w:rsid w:val="00965CDC"/>
    <w:rsid w:val="009671EC"/>
    <w:rsid w:val="0097033F"/>
    <w:rsid w:val="00971A50"/>
    <w:rsid w:val="0097378A"/>
    <w:rsid w:val="0097393A"/>
    <w:rsid w:val="00973BBD"/>
    <w:rsid w:val="0097448E"/>
    <w:rsid w:val="009751EB"/>
    <w:rsid w:val="00976BCE"/>
    <w:rsid w:val="009778F6"/>
    <w:rsid w:val="00977ADE"/>
    <w:rsid w:val="009813D1"/>
    <w:rsid w:val="00982334"/>
    <w:rsid w:val="00982CEA"/>
    <w:rsid w:val="00984AFD"/>
    <w:rsid w:val="00986F9C"/>
    <w:rsid w:val="009877E8"/>
    <w:rsid w:val="00987937"/>
    <w:rsid w:val="009908FC"/>
    <w:rsid w:val="0099197F"/>
    <w:rsid w:val="00991B54"/>
    <w:rsid w:val="0099611D"/>
    <w:rsid w:val="0099628D"/>
    <w:rsid w:val="009965BB"/>
    <w:rsid w:val="00996BF6"/>
    <w:rsid w:val="00996C4D"/>
    <w:rsid w:val="00997895"/>
    <w:rsid w:val="00997A5C"/>
    <w:rsid w:val="009A06B5"/>
    <w:rsid w:val="009A082A"/>
    <w:rsid w:val="009A1239"/>
    <w:rsid w:val="009A3587"/>
    <w:rsid w:val="009A4FDD"/>
    <w:rsid w:val="009A706C"/>
    <w:rsid w:val="009A7CA3"/>
    <w:rsid w:val="009B0CC4"/>
    <w:rsid w:val="009B1E8C"/>
    <w:rsid w:val="009B324D"/>
    <w:rsid w:val="009B3502"/>
    <w:rsid w:val="009B48F6"/>
    <w:rsid w:val="009B4F6C"/>
    <w:rsid w:val="009B5BDC"/>
    <w:rsid w:val="009B69CC"/>
    <w:rsid w:val="009B72CD"/>
    <w:rsid w:val="009B7CCC"/>
    <w:rsid w:val="009C04DE"/>
    <w:rsid w:val="009C065B"/>
    <w:rsid w:val="009C0A87"/>
    <w:rsid w:val="009C1265"/>
    <w:rsid w:val="009C2268"/>
    <w:rsid w:val="009C461B"/>
    <w:rsid w:val="009C53F9"/>
    <w:rsid w:val="009C63B6"/>
    <w:rsid w:val="009C6716"/>
    <w:rsid w:val="009C78B5"/>
    <w:rsid w:val="009D03E3"/>
    <w:rsid w:val="009D0954"/>
    <w:rsid w:val="009D0F12"/>
    <w:rsid w:val="009D1882"/>
    <w:rsid w:val="009D23E8"/>
    <w:rsid w:val="009D2609"/>
    <w:rsid w:val="009D2760"/>
    <w:rsid w:val="009D33BF"/>
    <w:rsid w:val="009D3F4F"/>
    <w:rsid w:val="009D53BF"/>
    <w:rsid w:val="009D595F"/>
    <w:rsid w:val="009D5E69"/>
    <w:rsid w:val="009D77BF"/>
    <w:rsid w:val="009D7FAB"/>
    <w:rsid w:val="009E0CA0"/>
    <w:rsid w:val="009E1702"/>
    <w:rsid w:val="009E1C3E"/>
    <w:rsid w:val="009E30AA"/>
    <w:rsid w:val="009E5375"/>
    <w:rsid w:val="009E5762"/>
    <w:rsid w:val="009E71F5"/>
    <w:rsid w:val="009F07E8"/>
    <w:rsid w:val="009F1793"/>
    <w:rsid w:val="009F2FAD"/>
    <w:rsid w:val="009F40C2"/>
    <w:rsid w:val="009F43D0"/>
    <w:rsid w:val="009F6BDA"/>
    <w:rsid w:val="009F78B7"/>
    <w:rsid w:val="009F7E0C"/>
    <w:rsid w:val="00A0070F"/>
    <w:rsid w:val="00A0082E"/>
    <w:rsid w:val="00A00AE7"/>
    <w:rsid w:val="00A01DB9"/>
    <w:rsid w:val="00A02DDA"/>
    <w:rsid w:val="00A041D5"/>
    <w:rsid w:val="00A049EC"/>
    <w:rsid w:val="00A10150"/>
    <w:rsid w:val="00A10446"/>
    <w:rsid w:val="00A11D68"/>
    <w:rsid w:val="00A145BC"/>
    <w:rsid w:val="00A170E8"/>
    <w:rsid w:val="00A204EE"/>
    <w:rsid w:val="00A20EA2"/>
    <w:rsid w:val="00A21878"/>
    <w:rsid w:val="00A21EFD"/>
    <w:rsid w:val="00A23ED8"/>
    <w:rsid w:val="00A24070"/>
    <w:rsid w:val="00A24143"/>
    <w:rsid w:val="00A2634D"/>
    <w:rsid w:val="00A26594"/>
    <w:rsid w:val="00A274C2"/>
    <w:rsid w:val="00A27CA8"/>
    <w:rsid w:val="00A312A7"/>
    <w:rsid w:val="00A33FE4"/>
    <w:rsid w:val="00A34214"/>
    <w:rsid w:val="00A34A60"/>
    <w:rsid w:val="00A34EA5"/>
    <w:rsid w:val="00A35462"/>
    <w:rsid w:val="00A3584A"/>
    <w:rsid w:val="00A35DD7"/>
    <w:rsid w:val="00A378F3"/>
    <w:rsid w:val="00A37E80"/>
    <w:rsid w:val="00A40746"/>
    <w:rsid w:val="00A41E29"/>
    <w:rsid w:val="00A423DA"/>
    <w:rsid w:val="00A428F9"/>
    <w:rsid w:val="00A445E9"/>
    <w:rsid w:val="00A45231"/>
    <w:rsid w:val="00A45ABD"/>
    <w:rsid w:val="00A45B28"/>
    <w:rsid w:val="00A46019"/>
    <w:rsid w:val="00A46FAE"/>
    <w:rsid w:val="00A4713A"/>
    <w:rsid w:val="00A50D10"/>
    <w:rsid w:val="00A51907"/>
    <w:rsid w:val="00A52067"/>
    <w:rsid w:val="00A52DE5"/>
    <w:rsid w:val="00A54EA5"/>
    <w:rsid w:val="00A559B7"/>
    <w:rsid w:val="00A577EA"/>
    <w:rsid w:val="00A607A6"/>
    <w:rsid w:val="00A609EE"/>
    <w:rsid w:val="00A6128B"/>
    <w:rsid w:val="00A61791"/>
    <w:rsid w:val="00A620FA"/>
    <w:rsid w:val="00A62489"/>
    <w:rsid w:val="00A63035"/>
    <w:rsid w:val="00A63E8B"/>
    <w:rsid w:val="00A65A1A"/>
    <w:rsid w:val="00A6605F"/>
    <w:rsid w:val="00A66106"/>
    <w:rsid w:val="00A66943"/>
    <w:rsid w:val="00A66F77"/>
    <w:rsid w:val="00A66FEA"/>
    <w:rsid w:val="00A7044E"/>
    <w:rsid w:val="00A71157"/>
    <w:rsid w:val="00A713C5"/>
    <w:rsid w:val="00A729E8"/>
    <w:rsid w:val="00A736C8"/>
    <w:rsid w:val="00A73E67"/>
    <w:rsid w:val="00A73E91"/>
    <w:rsid w:val="00A74435"/>
    <w:rsid w:val="00A7516D"/>
    <w:rsid w:val="00A75187"/>
    <w:rsid w:val="00A81665"/>
    <w:rsid w:val="00A81CA6"/>
    <w:rsid w:val="00A83A4F"/>
    <w:rsid w:val="00A83D55"/>
    <w:rsid w:val="00A8455A"/>
    <w:rsid w:val="00A8484B"/>
    <w:rsid w:val="00A85077"/>
    <w:rsid w:val="00A85A2B"/>
    <w:rsid w:val="00A8688B"/>
    <w:rsid w:val="00A86C36"/>
    <w:rsid w:val="00A87016"/>
    <w:rsid w:val="00A871AC"/>
    <w:rsid w:val="00A879E8"/>
    <w:rsid w:val="00A87CBB"/>
    <w:rsid w:val="00A90D3B"/>
    <w:rsid w:val="00A915E6"/>
    <w:rsid w:val="00A925FC"/>
    <w:rsid w:val="00A94CF4"/>
    <w:rsid w:val="00A95CFB"/>
    <w:rsid w:val="00A9690E"/>
    <w:rsid w:val="00A97473"/>
    <w:rsid w:val="00AA098C"/>
    <w:rsid w:val="00AA2768"/>
    <w:rsid w:val="00AA2B85"/>
    <w:rsid w:val="00AA31F5"/>
    <w:rsid w:val="00AA36AD"/>
    <w:rsid w:val="00AA4E5B"/>
    <w:rsid w:val="00AA699E"/>
    <w:rsid w:val="00AA6EB6"/>
    <w:rsid w:val="00AA7499"/>
    <w:rsid w:val="00AA7926"/>
    <w:rsid w:val="00AB2596"/>
    <w:rsid w:val="00AB2857"/>
    <w:rsid w:val="00AB5B6A"/>
    <w:rsid w:val="00AB61A1"/>
    <w:rsid w:val="00AC1558"/>
    <w:rsid w:val="00AC4347"/>
    <w:rsid w:val="00AC5DCD"/>
    <w:rsid w:val="00AC774D"/>
    <w:rsid w:val="00AD11C9"/>
    <w:rsid w:val="00AD1689"/>
    <w:rsid w:val="00AD1842"/>
    <w:rsid w:val="00AD2CBF"/>
    <w:rsid w:val="00AD3387"/>
    <w:rsid w:val="00AD4E79"/>
    <w:rsid w:val="00AD59BB"/>
    <w:rsid w:val="00AE02DF"/>
    <w:rsid w:val="00AE0F1B"/>
    <w:rsid w:val="00AE198D"/>
    <w:rsid w:val="00AE1A3A"/>
    <w:rsid w:val="00AE3695"/>
    <w:rsid w:val="00AE4B4F"/>
    <w:rsid w:val="00AE59AF"/>
    <w:rsid w:val="00AE5B15"/>
    <w:rsid w:val="00AE6AE3"/>
    <w:rsid w:val="00AE6D2D"/>
    <w:rsid w:val="00AF0668"/>
    <w:rsid w:val="00AF091B"/>
    <w:rsid w:val="00AF1107"/>
    <w:rsid w:val="00AF1371"/>
    <w:rsid w:val="00AF18EA"/>
    <w:rsid w:val="00AF1ACE"/>
    <w:rsid w:val="00AF3963"/>
    <w:rsid w:val="00AF3E89"/>
    <w:rsid w:val="00AF5212"/>
    <w:rsid w:val="00AF5961"/>
    <w:rsid w:val="00AF64EC"/>
    <w:rsid w:val="00AF6A24"/>
    <w:rsid w:val="00AF73FA"/>
    <w:rsid w:val="00AF7F65"/>
    <w:rsid w:val="00B00B5F"/>
    <w:rsid w:val="00B03882"/>
    <w:rsid w:val="00B066F8"/>
    <w:rsid w:val="00B06C08"/>
    <w:rsid w:val="00B06D50"/>
    <w:rsid w:val="00B07057"/>
    <w:rsid w:val="00B07117"/>
    <w:rsid w:val="00B114C9"/>
    <w:rsid w:val="00B11A07"/>
    <w:rsid w:val="00B11DB3"/>
    <w:rsid w:val="00B122AE"/>
    <w:rsid w:val="00B13797"/>
    <w:rsid w:val="00B1507E"/>
    <w:rsid w:val="00B156DF"/>
    <w:rsid w:val="00B1590E"/>
    <w:rsid w:val="00B16364"/>
    <w:rsid w:val="00B16B29"/>
    <w:rsid w:val="00B16E96"/>
    <w:rsid w:val="00B16F89"/>
    <w:rsid w:val="00B17F17"/>
    <w:rsid w:val="00B210C9"/>
    <w:rsid w:val="00B2475C"/>
    <w:rsid w:val="00B24E27"/>
    <w:rsid w:val="00B25923"/>
    <w:rsid w:val="00B26454"/>
    <w:rsid w:val="00B26B38"/>
    <w:rsid w:val="00B3017A"/>
    <w:rsid w:val="00B30443"/>
    <w:rsid w:val="00B317D8"/>
    <w:rsid w:val="00B3188E"/>
    <w:rsid w:val="00B326A6"/>
    <w:rsid w:val="00B3351F"/>
    <w:rsid w:val="00B3440E"/>
    <w:rsid w:val="00B356FC"/>
    <w:rsid w:val="00B35E94"/>
    <w:rsid w:val="00B3646D"/>
    <w:rsid w:val="00B40619"/>
    <w:rsid w:val="00B41D14"/>
    <w:rsid w:val="00B437E1"/>
    <w:rsid w:val="00B46675"/>
    <w:rsid w:val="00B46D6D"/>
    <w:rsid w:val="00B46D8C"/>
    <w:rsid w:val="00B4750C"/>
    <w:rsid w:val="00B50765"/>
    <w:rsid w:val="00B510B6"/>
    <w:rsid w:val="00B51A96"/>
    <w:rsid w:val="00B5215E"/>
    <w:rsid w:val="00B526C9"/>
    <w:rsid w:val="00B529B3"/>
    <w:rsid w:val="00B52B03"/>
    <w:rsid w:val="00B560AC"/>
    <w:rsid w:val="00B5694A"/>
    <w:rsid w:val="00B56956"/>
    <w:rsid w:val="00B56CF3"/>
    <w:rsid w:val="00B56D2A"/>
    <w:rsid w:val="00B56DF5"/>
    <w:rsid w:val="00B5748D"/>
    <w:rsid w:val="00B57E10"/>
    <w:rsid w:val="00B606A1"/>
    <w:rsid w:val="00B61CD9"/>
    <w:rsid w:val="00B621AD"/>
    <w:rsid w:val="00B63949"/>
    <w:rsid w:val="00B63A7B"/>
    <w:rsid w:val="00B66C98"/>
    <w:rsid w:val="00B66F1D"/>
    <w:rsid w:val="00B672B5"/>
    <w:rsid w:val="00B67623"/>
    <w:rsid w:val="00B67C8F"/>
    <w:rsid w:val="00B67EBE"/>
    <w:rsid w:val="00B706F4"/>
    <w:rsid w:val="00B70F9D"/>
    <w:rsid w:val="00B71354"/>
    <w:rsid w:val="00B73635"/>
    <w:rsid w:val="00B73739"/>
    <w:rsid w:val="00B74884"/>
    <w:rsid w:val="00B74DBD"/>
    <w:rsid w:val="00B7792A"/>
    <w:rsid w:val="00B77C28"/>
    <w:rsid w:val="00B77D4C"/>
    <w:rsid w:val="00B8192C"/>
    <w:rsid w:val="00B84AF5"/>
    <w:rsid w:val="00B8646B"/>
    <w:rsid w:val="00B86EC0"/>
    <w:rsid w:val="00B90C8D"/>
    <w:rsid w:val="00B93E52"/>
    <w:rsid w:val="00B9594B"/>
    <w:rsid w:val="00B96018"/>
    <w:rsid w:val="00B9716E"/>
    <w:rsid w:val="00BA04FC"/>
    <w:rsid w:val="00BA0BBC"/>
    <w:rsid w:val="00BA1264"/>
    <w:rsid w:val="00BA167A"/>
    <w:rsid w:val="00BA36BA"/>
    <w:rsid w:val="00BA462A"/>
    <w:rsid w:val="00BA4FDC"/>
    <w:rsid w:val="00BA50A8"/>
    <w:rsid w:val="00BA55D9"/>
    <w:rsid w:val="00BA5705"/>
    <w:rsid w:val="00BA5C62"/>
    <w:rsid w:val="00BA6208"/>
    <w:rsid w:val="00BA654D"/>
    <w:rsid w:val="00BA7ECB"/>
    <w:rsid w:val="00BA7F68"/>
    <w:rsid w:val="00BB0BFD"/>
    <w:rsid w:val="00BB1694"/>
    <w:rsid w:val="00BB19F7"/>
    <w:rsid w:val="00BB29A8"/>
    <w:rsid w:val="00BB3672"/>
    <w:rsid w:val="00BB5E59"/>
    <w:rsid w:val="00BB77C0"/>
    <w:rsid w:val="00BC0828"/>
    <w:rsid w:val="00BC14B5"/>
    <w:rsid w:val="00BC2FF5"/>
    <w:rsid w:val="00BC360C"/>
    <w:rsid w:val="00BC38C7"/>
    <w:rsid w:val="00BC4062"/>
    <w:rsid w:val="00BC568C"/>
    <w:rsid w:val="00BC5C8F"/>
    <w:rsid w:val="00BC77EC"/>
    <w:rsid w:val="00BC785E"/>
    <w:rsid w:val="00BC7959"/>
    <w:rsid w:val="00BD0FEC"/>
    <w:rsid w:val="00BD1FF3"/>
    <w:rsid w:val="00BD2B3F"/>
    <w:rsid w:val="00BD2D7E"/>
    <w:rsid w:val="00BD3126"/>
    <w:rsid w:val="00BD38E8"/>
    <w:rsid w:val="00BD3C86"/>
    <w:rsid w:val="00BD4708"/>
    <w:rsid w:val="00BD480A"/>
    <w:rsid w:val="00BD4853"/>
    <w:rsid w:val="00BD5D0F"/>
    <w:rsid w:val="00BD5DE5"/>
    <w:rsid w:val="00BD6E40"/>
    <w:rsid w:val="00BD7E83"/>
    <w:rsid w:val="00BE0237"/>
    <w:rsid w:val="00BE1705"/>
    <w:rsid w:val="00BE1BBC"/>
    <w:rsid w:val="00BE30D1"/>
    <w:rsid w:val="00BE39B0"/>
    <w:rsid w:val="00BE3B45"/>
    <w:rsid w:val="00BE3F4F"/>
    <w:rsid w:val="00BE63B4"/>
    <w:rsid w:val="00BE6B20"/>
    <w:rsid w:val="00BE704B"/>
    <w:rsid w:val="00BE7494"/>
    <w:rsid w:val="00BF04CE"/>
    <w:rsid w:val="00BF33E6"/>
    <w:rsid w:val="00BF39CF"/>
    <w:rsid w:val="00BF3C7B"/>
    <w:rsid w:val="00BF51FF"/>
    <w:rsid w:val="00BF5248"/>
    <w:rsid w:val="00BF5703"/>
    <w:rsid w:val="00BF5A5F"/>
    <w:rsid w:val="00BF62AF"/>
    <w:rsid w:val="00BF649C"/>
    <w:rsid w:val="00BF6EDB"/>
    <w:rsid w:val="00BF74F0"/>
    <w:rsid w:val="00C02618"/>
    <w:rsid w:val="00C0278E"/>
    <w:rsid w:val="00C03345"/>
    <w:rsid w:val="00C03A70"/>
    <w:rsid w:val="00C047EA"/>
    <w:rsid w:val="00C05C77"/>
    <w:rsid w:val="00C06BBD"/>
    <w:rsid w:val="00C06E11"/>
    <w:rsid w:val="00C079C2"/>
    <w:rsid w:val="00C07C4A"/>
    <w:rsid w:val="00C10A4E"/>
    <w:rsid w:val="00C11825"/>
    <w:rsid w:val="00C130B4"/>
    <w:rsid w:val="00C13CEA"/>
    <w:rsid w:val="00C144A4"/>
    <w:rsid w:val="00C16556"/>
    <w:rsid w:val="00C166BE"/>
    <w:rsid w:val="00C17757"/>
    <w:rsid w:val="00C21F3F"/>
    <w:rsid w:val="00C22D68"/>
    <w:rsid w:val="00C230FE"/>
    <w:rsid w:val="00C23AAB"/>
    <w:rsid w:val="00C23FAF"/>
    <w:rsid w:val="00C2505D"/>
    <w:rsid w:val="00C25B5F"/>
    <w:rsid w:val="00C267D1"/>
    <w:rsid w:val="00C269B2"/>
    <w:rsid w:val="00C27531"/>
    <w:rsid w:val="00C3161A"/>
    <w:rsid w:val="00C31819"/>
    <w:rsid w:val="00C32730"/>
    <w:rsid w:val="00C34C17"/>
    <w:rsid w:val="00C360E3"/>
    <w:rsid w:val="00C363F0"/>
    <w:rsid w:val="00C40CCF"/>
    <w:rsid w:val="00C41C6B"/>
    <w:rsid w:val="00C430DE"/>
    <w:rsid w:val="00C43381"/>
    <w:rsid w:val="00C44032"/>
    <w:rsid w:val="00C45686"/>
    <w:rsid w:val="00C46823"/>
    <w:rsid w:val="00C47A98"/>
    <w:rsid w:val="00C47FE8"/>
    <w:rsid w:val="00C51B83"/>
    <w:rsid w:val="00C53741"/>
    <w:rsid w:val="00C5393B"/>
    <w:rsid w:val="00C572CD"/>
    <w:rsid w:val="00C57330"/>
    <w:rsid w:val="00C578C3"/>
    <w:rsid w:val="00C57962"/>
    <w:rsid w:val="00C6101E"/>
    <w:rsid w:val="00C61938"/>
    <w:rsid w:val="00C61A48"/>
    <w:rsid w:val="00C65D4C"/>
    <w:rsid w:val="00C65F53"/>
    <w:rsid w:val="00C66FFC"/>
    <w:rsid w:val="00C67757"/>
    <w:rsid w:val="00C67AA6"/>
    <w:rsid w:val="00C71226"/>
    <w:rsid w:val="00C71B89"/>
    <w:rsid w:val="00C71FE5"/>
    <w:rsid w:val="00C723D7"/>
    <w:rsid w:val="00C726C8"/>
    <w:rsid w:val="00C7362E"/>
    <w:rsid w:val="00C73D57"/>
    <w:rsid w:val="00C73F84"/>
    <w:rsid w:val="00C742E2"/>
    <w:rsid w:val="00C74487"/>
    <w:rsid w:val="00C74493"/>
    <w:rsid w:val="00C761A9"/>
    <w:rsid w:val="00C7657B"/>
    <w:rsid w:val="00C765EE"/>
    <w:rsid w:val="00C76B26"/>
    <w:rsid w:val="00C76E80"/>
    <w:rsid w:val="00C77045"/>
    <w:rsid w:val="00C802A7"/>
    <w:rsid w:val="00C82549"/>
    <w:rsid w:val="00C86672"/>
    <w:rsid w:val="00C869F2"/>
    <w:rsid w:val="00C91B6E"/>
    <w:rsid w:val="00C95BB5"/>
    <w:rsid w:val="00C96275"/>
    <w:rsid w:val="00CA05B7"/>
    <w:rsid w:val="00CA25C2"/>
    <w:rsid w:val="00CA294F"/>
    <w:rsid w:val="00CA5242"/>
    <w:rsid w:val="00CA5785"/>
    <w:rsid w:val="00CA6558"/>
    <w:rsid w:val="00CA668D"/>
    <w:rsid w:val="00CA7B35"/>
    <w:rsid w:val="00CB1375"/>
    <w:rsid w:val="00CB1F17"/>
    <w:rsid w:val="00CB249A"/>
    <w:rsid w:val="00CB2A4D"/>
    <w:rsid w:val="00CB5ECB"/>
    <w:rsid w:val="00CB60DB"/>
    <w:rsid w:val="00CB7314"/>
    <w:rsid w:val="00CB7E8C"/>
    <w:rsid w:val="00CB7F77"/>
    <w:rsid w:val="00CC0054"/>
    <w:rsid w:val="00CC06CE"/>
    <w:rsid w:val="00CC1B1C"/>
    <w:rsid w:val="00CC482C"/>
    <w:rsid w:val="00CC4CD9"/>
    <w:rsid w:val="00CC5581"/>
    <w:rsid w:val="00CC5E1D"/>
    <w:rsid w:val="00CC69D5"/>
    <w:rsid w:val="00CC78AD"/>
    <w:rsid w:val="00CC78DE"/>
    <w:rsid w:val="00CC7A91"/>
    <w:rsid w:val="00CC7E08"/>
    <w:rsid w:val="00CD01D9"/>
    <w:rsid w:val="00CD0410"/>
    <w:rsid w:val="00CD10F8"/>
    <w:rsid w:val="00CD226C"/>
    <w:rsid w:val="00CD3A04"/>
    <w:rsid w:val="00CD41A3"/>
    <w:rsid w:val="00CD4F2C"/>
    <w:rsid w:val="00CD582F"/>
    <w:rsid w:val="00CD5FDA"/>
    <w:rsid w:val="00CD5FE6"/>
    <w:rsid w:val="00CD61A0"/>
    <w:rsid w:val="00CD63EC"/>
    <w:rsid w:val="00CD65BD"/>
    <w:rsid w:val="00CD6D6D"/>
    <w:rsid w:val="00CE09F3"/>
    <w:rsid w:val="00CE0D8B"/>
    <w:rsid w:val="00CE19C2"/>
    <w:rsid w:val="00CE2F3D"/>
    <w:rsid w:val="00CE4D47"/>
    <w:rsid w:val="00CE7E0B"/>
    <w:rsid w:val="00CE7FA7"/>
    <w:rsid w:val="00CF1400"/>
    <w:rsid w:val="00CF1B56"/>
    <w:rsid w:val="00CF3EBD"/>
    <w:rsid w:val="00CF3EDD"/>
    <w:rsid w:val="00CF44ED"/>
    <w:rsid w:val="00CF4E4A"/>
    <w:rsid w:val="00CF5065"/>
    <w:rsid w:val="00CF52CF"/>
    <w:rsid w:val="00CF6BA7"/>
    <w:rsid w:val="00CF6D46"/>
    <w:rsid w:val="00CF79B0"/>
    <w:rsid w:val="00D0099A"/>
    <w:rsid w:val="00D01165"/>
    <w:rsid w:val="00D0133A"/>
    <w:rsid w:val="00D01342"/>
    <w:rsid w:val="00D0196A"/>
    <w:rsid w:val="00D033E1"/>
    <w:rsid w:val="00D035DB"/>
    <w:rsid w:val="00D03C47"/>
    <w:rsid w:val="00D05310"/>
    <w:rsid w:val="00D05895"/>
    <w:rsid w:val="00D05F7D"/>
    <w:rsid w:val="00D1089F"/>
    <w:rsid w:val="00D10A2C"/>
    <w:rsid w:val="00D10EAE"/>
    <w:rsid w:val="00D11AA5"/>
    <w:rsid w:val="00D13EA4"/>
    <w:rsid w:val="00D15823"/>
    <w:rsid w:val="00D17459"/>
    <w:rsid w:val="00D1799E"/>
    <w:rsid w:val="00D17EBF"/>
    <w:rsid w:val="00D23D85"/>
    <w:rsid w:val="00D23D92"/>
    <w:rsid w:val="00D2412F"/>
    <w:rsid w:val="00D24F07"/>
    <w:rsid w:val="00D266DC"/>
    <w:rsid w:val="00D276C7"/>
    <w:rsid w:val="00D27E7B"/>
    <w:rsid w:val="00D27EEC"/>
    <w:rsid w:val="00D3092F"/>
    <w:rsid w:val="00D325E0"/>
    <w:rsid w:val="00D33850"/>
    <w:rsid w:val="00D35989"/>
    <w:rsid w:val="00D35B9D"/>
    <w:rsid w:val="00D36BEF"/>
    <w:rsid w:val="00D37855"/>
    <w:rsid w:val="00D42097"/>
    <w:rsid w:val="00D42EE9"/>
    <w:rsid w:val="00D4311D"/>
    <w:rsid w:val="00D434C6"/>
    <w:rsid w:val="00D440A7"/>
    <w:rsid w:val="00D44537"/>
    <w:rsid w:val="00D46D92"/>
    <w:rsid w:val="00D50534"/>
    <w:rsid w:val="00D5127D"/>
    <w:rsid w:val="00D51C7E"/>
    <w:rsid w:val="00D52E80"/>
    <w:rsid w:val="00D55294"/>
    <w:rsid w:val="00D5692A"/>
    <w:rsid w:val="00D6322F"/>
    <w:rsid w:val="00D633D2"/>
    <w:rsid w:val="00D6590E"/>
    <w:rsid w:val="00D65DB4"/>
    <w:rsid w:val="00D6664B"/>
    <w:rsid w:val="00D70551"/>
    <w:rsid w:val="00D72668"/>
    <w:rsid w:val="00D73B03"/>
    <w:rsid w:val="00D74A92"/>
    <w:rsid w:val="00D74AB9"/>
    <w:rsid w:val="00D74FD3"/>
    <w:rsid w:val="00D75B09"/>
    <w:rsid w:val="00D76A61"/>
    <w:rsid w:val="00D81E2D"/>
    <w:rsid w:val="00D81EC2"/>
    <w:rsid w:val="00D82910"/>
    <w:rsid w:val="00D83955"/>
    <w:rsid w:val="00D84DFD"/>
    <w:rsid w:val="00D863AE"/>
    <w:rsid w:val="00D87DFC"/>
    <w:rsid w:val="00D92AFE"/>
    <w:rsid w:val="00D9352D"/>
    <w:rsid w:val="00D93711"/>
    <w:rsid w:val="00D949F6"/>
    <w:rsid w:val="00D94CFC"/>
    <w:rsid w:val="00D95A8F"/>
    <w:rsid w:val="00D97212"/>
    <w:rsid w:val="00DA0238"/>
    <w:rsid w:val="00DA02C9"/>
    <w:rsid w:val="00DA0C61"/>
    <w:rsid w:val="00DA0FDB"/>
    <w:rsid w:val="00DA3F89"/>
    <w:rsid w:val="00DA3FA9"/>
    <w:rsid w:val="00DA756A"/>
    <w:rsid w:val="00DA7C26"/>
    <w:rsid w:val="00DA7F95"/>
    <w:rsid w:val="00DB01B8"/>
    <w:rsid w:val="00DB0758"/>
    <w:rsid w:val="00DB0D00"/>
    <w:rsid w:val="00DB30F1"/>
    <w:rsid w:val="00DB3B71"/>
    <w:rsid w:val="00DB538F"/>
    <w:rsid w:val="00DB546C"/>
    <w:rsid w:val="00DB5A8E"/>
    <w:rsid w:val="00DB5BC5"/>
    <w:rsid w:val="00DB5C77"/>
    <w:rsid w:val="00DB67A5"/>
    <w:rsid w:val="00DB7742"/>
    <w:rsid w:val="00DB7A95"/>
    <w:rsid w:val="00DC0F08"/>
    <w:rsid w:val="00DC4A19"/>
    <w:rsid w:val="00DC5E09"/>
    <w:rsid w:val="00DC6B47"/>
    <w:rsid w:val="00DC76B1"/>
    <w:rsid w:val="00DD086B"/>
    <w:rsid w:val="00DD08A5"/>
    <w:rsid w:val="00DD0C39"/>
    <w:rsid w:val="00DD4150"/>
    <w:rsid w:val="00DD41FE"/>
    <w:rsid w:val="00DD513C"/>
    <w:rsid w:val="00DD61B5"/>
    <w:rsid w:val="00DD74F2"/>
    <w:rsid w:val="00DE00B3"/>
    <w:rsid w:val="00DE05C9"/>
    <w:rsid w:val="00DE0F5A"/>
    <w:rsid w:val="00DE223D"/>
    <w:rsid w:val="00DE259B"/>
    <w:rsid w:val="00DE3263"/>
    <w:rsid w:val="00DE3FAF"/>
    <w:rsid w:val="00DE4B2F"/>
    <w:rsid w:val="00DE5516"/>
    <w:rsid w:val="00DE6C19"/>
    <w:rsid w:val="00DE6F11"/>
    <w:rsid w:val="00DE747C"/>
    <w:rsid w:val="00DF19BE"/>
    <w:rsid w:val="00DF1B23"/>
    <w:rsid w:val="00DF262A"/>
    <w:rsid w:val="00DF2F0F"/>
    <w:rsid w:val="00DF3B82"/>
    <w:rsid w:val="00DF4D4D"/>
    <w:rsid w:val="00DF5A49"/>
    <w:rsid w:val="00DF624B"/>
    <w:rsid w:val="00E0052E"/>
    <w:rsid w:val="00E01C44"/>
    <w:rsid w:val="00E022DC"/>
    <w:rsid w:val="00E02714"/>
    <w:rsid w:val="00E02FBE"/>
    <w:rsid w:val="00E033FA"/>
    <w:rsid w:val="00E03EE3"/>
    <w:rsid w:val="00E03EF4"/>
    <w:rsid w:val="00E0469A"/>
    <w:rsid w:val="00E04793"/>
    <w:rsid w:val="00E05A87"/>
    <w:rsid w:val="00E05D88"/>
    <w:rsid w:val="00E06495"/>
    <w:rsid w:val="00E064B6"/>
    <w:rsid w:val="00E066C9"/>
    <w:rsid w:val="00E07676"/>
    <w:rsid w:val="00E10AD9"/>
    <w:rsid w:val="00E11144"/>
    <w:rsid w:val="00E12357"/>
    <w:rsid w:val="00E12442"/>
    <w:rsid w:val="00E13E70"/>
    <w:rsid w:val="00E155AB"/>
    <w:rsid w:val="00E174F4"/>
    <w:rsid w:val="00E1768A"/>
    <w:rsid w:val="00E17A60"/>
    <w:rsid w:val="00E22F23"/>
    <w:rsid w:val="00E23492"/>
    <w:rsid w:val="00E23B1C"/>
    <w:rsid w:val="00E23D4C"/>
    <w:rsid w:val="00E2487C"/>
    <w:rsid w:val="00E24F7A"/>
    <w:rsid w:val="00E24FAD"/>
    <w:rsid w:val="00E27868"/>
    <w:rsid w:val="00E30F91"/>
    <w:rsid w:val="00E33500"/>
    <w:rsid w:val="00E337B2"/>
    <w:rsid w:val="00E33CEA"/>
    <w:rsid w:val="00E35416"/>
    <w:rsid w:val="00E358C0"/>
    <w:rsid w:val="00E36BF1"/>
    <w:rsid w:val="00E37175"/>
    <w:rsid w:val="00E37618"/>
    <w:rsid w:val="00E41FA7"/>
    <w:rsid w:val="00E43224"/>
    <w:rsid w:val="00E43DFD"/>
    <w:rsid w:val="00E441E3"/>
    <w:rsid w:val="00E44EBF"/>
    <w:rsid w:val="00E4762E"/>
    <w:rsid w:val="00E501C0"/>
    <w:rsid w:val="00E51FA5"/>
    <w:rsid w:val="00E521A1"/>
    <w:rsid w:val="00E537CC"/>
    <w:rsid w:val="00E53BD4"/>
    <w:rsid w:val="00E556CD"/>
    <w:rsid w:val="00E56FCE"/>
    <w:rsid w:val="00E5795C"/>
    <w:rsid w:val="00E6037F"/>
    <w:rsid w:val="00E6072E"/>
    <w:rsid w:val="00E60E6F"/>
    <w:rsid w:val="00E62792"/>
    <w:rsid w:val="00E653A0"/>
    <w:rsid w:val="00E710A6"/>
    <w:rsid w:val="00E7162D"/>
    <w:rsid w:val="00E7191E"/>
    <w:rsid w:val="00E72733"/>
    <w:rsid w:val="00E72D5D"/>
    <w:rsid w:val="00E73C58"/>
    <w:rsid w:val="00E742E2"/>
    <w:rsid w:val="00E74595"/>
    <w:rsid w:val="00E75B70"/>
    <w:rsid w:val="00E75FE4"/>
    <w:rsid w:val="00E766C3"/>
    <w:rsid w:val="00E806C2"/>
    <w:rsid w:val="00E8078A"/>
    <w:rsid w:val="00E80CCE"/>
    <w:rsid w:val="00E8119F"/>
    <w:rsid w:val="00E81476"/>
    <w:rsid w:val="00E81B76"/>
    <w:rsid w:val="00E8297E"/>
    <w:rsid w:val="00E8344D"/>
    <w:rsid w:val="00E84D2C"/>
    <w:rsid w:val="00E856EC"/>
    <w:rsid w:val="00E9062B"/>
    <w:rsid w:val="00E90ACB"/>
    <w:rsid w:val="00E950E2"/>
    <w:rsid w:val="00E95FBC"/>
    <w:rsid w:val="00E96DB5"/>
    <w:rsid w:val="00EA0CBB"/>
    <w:rsid w:val="00EA12C9"/>
    <w:rsid w:val="00EA172A"/>
    <w:rsid w:val="00EA20A5"/>
    <w:rsid w:val="00EA2EF6"/>
    <w:rsid w:val="00EA33B8"/>
    <w:rsid w:val="00EA3664"/>
    <w:rsid w:val="00EA52A6"/>
    <w:rsid w:val="00EA5795"/>
    <w:rsid w:val="00EA6F14"/>
    <w:rsid w:val="00EA7326"/>
    <w:rsid w:val="00EA7740"/>
    <w:rsid w:val="00EA7F08"/>
    <w:rsid w:val="00EA7F3E"/>
    <w:rsid w:val="00EB65EE"/>
    <w:rsid w:val="00EC0712"/>
    <w:rsid w:val="00EC0CF1"/>
    <w:rsid w:val="00EC2172"/>
    <w:rsid w:val="00EC255C"/>
    <w:rsid w:val="00EC2BE6"/>
    <w:rsid w:val="00EC3400"/>
    <w:rsid w:val="00EC50A5"/>
    <w:rsid w:val="00EC747F"/>
    <w:rsid w:val="00EC7BEF"/>
    <w:rsid w:val="00ED0CDC"/>
    <w:rsid w:val="00ED14FD"/>
    <w:rsid w:val="00ED23E2"/>
    <w:rsid w:val="00ED3C3F"/>
    <w:rsid w:val="00ED3E73"/>
    <w:rsid w:val="00ED6903"/>
    <w:rsid w:val="00EE0633"/>
    <w:rsid w:val="00EE2B49"/>
    <w:rsid w:val="00EE4410"/>
    <w:rsid w:val="00EE4E2F"/>
    <w:rsid w:val="00EE6AA0"/>
    <w:rsid w:val="00EF0E00"/>
    <w:rsid w:val="00EF2F3E"/>
    <w:rsid w:val="00EF3AFE"/>
    <w:rsid w:val="00EF3C6D"/>
    <w:rsid w:val="00EF4699"/>
    <w:rsid w:val="00EF5CC4"/>
    <w:rsid w:val="00EF5FDF"/>
    <w:rsid w:val="00EF6264"/>
    <w:rsid w:val="00EF6A6F"/>
    <w:rsid w:val="00EF6D8A"/>
    <w:rsid w:val="00F0297E"/>
    <w:rsid w:val="00F02D04"/>
    <w:rsid w:val="00F03B95"/>
    <w:rsid w:val="00F0729B"/>
    <w:rsid w:val="00F07FDF"/>
    <w:rsid w:val="00F102BD"/>
    <w:rsid w:val="00F105A5"/>
    <w:rsid w:val="00F121E8"/>
    <w:rsid w:val="00F12BAB"/>
    <w:rsid w:val="00F12E4D"/>
    <w:rsid w:val="00F13DC2"/>
    <w:rsid w:val="00F210BD"/>
    <w:rsid w:val="00F218C5"/>
    <w:rsid w:val="00F21A2A"/>
    <w:rsid w:val="00F230AF"/>
    <w:rsid w:val="00F2337D"/>
    <w:rsid w:val="00F25668"/>
    <w:rsid w:val="00F25E82"/>
    <w:rsid w:val="00F271F5"/>
    <w:rsid w:val="00F31614"/>
    <w:rsid w:val="00F31B45"/>
    <w:rsid w:val="00F31E24"/>
    <w:rsid w:val="00F33563"/>
    <w:rsid w:val="00F33A12"/>
    <w:rsid w:val="00F33D4E"/>
    <w:rsid w:val="00F34134"/>
    <w:rsid w:val="00F35DE4"/>
    <w:rsid w:val="00F36698"/>
    <w:rsid w:val="00F37A6B"/>
    <w:rsid w:val="00F41D95"/>
    <w:rsid w:val="00F42135"/>
    <w:rsid w:val="00F4295F"/>
    <w:rsid w:val="00F42D1C"/>
    <w:rsid w:val="00F44787"/>
    <w:rsid w:val="00F45DD0"/>
    <w:rsid w:val="00F45FC4"/>
    <w:rsid w:val="00F46584"/>
    <w:rsid w:val="00F472B7"/>
    <w:rsid w:val="00F47746"/>
    <w:rsid w:val="00F519F6"/>
    <w:rsid w:val="00F52674"/>
    <w:rsid w:val="00F52BAF"/>
    <w:rsid w:val="00F544C6"/>
    <w:rsid w:val="00F571B5"/>
    <w:rsid w:val="00F5743F"/>
    <w:rsid w:val="00F5754F"/>
    <w:rsid w:val="00F57AE2"/>
    <w:rsid w:val="00F6585C"/>
    <w:rsid w:val="00F65B36"/>
    <w:rsid w:val="00F66840"/>
    <w:rsid w:val="00F700B1"/>
    <w:rsid w:val="00F71E1E"/>
    <w:rsid w:val="00F73BD1"/>
    <w:rsid w:val="00F74AFF"/>
    <w:rsid w:val="00F7503D"/>
    <w:rsid w:val="00F75BF7"/>
    <w:rsid w:val="00F76A54"/>
    <w:rsid w:val="00F76E19"/>
    <w:rsid w:val="00F80DF0"/>
    <w:rsid w:val="00F8108C"/>
    <w:rsid w:val="00F81E1A"/>
    <w:rsid w:val="00F81E84"/>
    <w:rsid w:val="00F828D3"/>
    <w:rsid w:val="00F82E1C"/>
    <w:rsid w:val="00F836DD"/>
    <w:rsid w:val="00F83878"/>
    <w:rsid w:val="00F852A0"/>
    <w:rsid w:val="00F90071"/>
    <w:rsid w:val="00F93BF2"/>
    <w:rsid w:val="00F943C6"/>
    <w:rsid w:val="00F9441A"/>
    <w:rsid w:val="00F94612"/>
    <w:rsid w:val="00F95119"/>
    <w:rsid w:val="00F95210"/>
    <w:rsid w:val="00F96304"/>
    <w:rsid w:val="00F9664F"/>
    <w:rsid w:val="00F97160"/>
    <w:rsid w:val="00FA0705"/>
    <w:rsid w:val="00FA0A15"/>
    <w:rsid w:val="00FA0E43"/>
    <w:rsid w:val="00FA25A3"/>
    <w:rsid w:val="00FA2A36"/>
    <w:rsid w:val="00FA32D8"/>
    <w:rsid w:val="00FA34DE"/>
    <w:rsid w:val="00FA3EC0"/>
    <w:rsid w:val="00FA48A8"/>
    <w:rsid w:val="00FA539B"/>
    <w:rsid w:val="00FA564F"/>
    <w:rsid w:val="00FA570F"/>
    <w:rsid w:val="00FA6D82"/>
    <w:rsid w:val="00FA7150"/>
    <w:rsid w:val="00FB0D28"/>
    <w:rsid w:val="00FB2373"/>
    <w:rsid w:val="00FC160B"/>
    <w:rsid w:val="00FC170F"/>
    <w:rsid w:val="00FC2A07"/>
    <w:rsid w:val="00FC2DAC"/>
    <w:rsid w:val="00FC5DD7"/>
    <w:rsid w:val="00FC5E8F"/>
    <w:rsid w:val="00FC66BC"/>
    <w:rsid w:val="00FD085C"/>
    <w:rsid w:val="00FD0F1C"/>
    <w:rsid w:val="00FD2768"/>
    <w:rsid w:val="00FD2C8D"/>
    <w:rsid w:val="00FD4F42"/>
    <w:rsid w:val="00FD5BFB"/>
    <w:rsid w:val="00FD5E69"/>
    <w:rsid w:val="00FD669E"/>
    <w:rsid w:val="00FD6C85"/>
    <w:rsid w:val="00FD7BAF"/>
    <w:rsid w:val="00FE20A5"/>
    <w:rsid w:val="00FE212C"/>
    <w:rsid w:val="00FE225E"/>
    <w:rsid w:val="00FE23D8"/>
    <w:rsid w:val="00FE276E"/>
    <w:rsid w:val="00FE2B90"/>
    <w:rsid w:val="00FE3225"/>
    <w:rsid w:val="00FE3B5F"/>
    <w:rsid w:val="00FE3ED8"/>
    <w:rsid w:val="00FE4AAD"/>
    <w:rsid w:val="00FE5585"/>
    <w:rsid w:val="00FE5E5C"/>
    <w:rsid w:val="00FE7797"/>
    <w:rsid w:val="00FE7FFA"/>
    <w:rsid w:val="00FF0437"/>
    <w:rsid w:val="00FF0BE8"/>
    <w:rsid w:val="00FF177B"/>
    <w:rsid w:val="00FF195C"/>
    <w:rsid w:val="00FF1B1C"/>
    <w:rsid w:val="00FF2998"/>
    <w:rsid w:val="00FF31D0"/>
    <w:rsid w:val="00FF562A"/>
    <w:rsid w:val="00FF5A02"/>
    <w:rsid w:val="00FF7D2D"/>
    <w:rsid w:val="00FF7E80"/>
    <w:rsid w:val="00FF7F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9B6782BD-8551-4B7B-8835-85FE6A10E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Calibri" w:hAnsi="Georg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6F8"/>
    <w:pPr>
      <w:spacing w:line="288" w:lineRule="auto"/>
      <w:jc w:val="both"/>
    </w:pPr>
    <w:rPr>
      <w:rFonts w:eastAsia="Times New Roman"/>
      <w:sz w:val="22"/>
      <w:szCs w:val="24"/>
    </w:rPr>
  </w:style>
  <w:style w:type="paragraph" w:styleId="Heading1">
    <w:name w:val="heading 1"/>
    <w:basedOn w:val="Normal"/>
    <w:next w:val="Normal"/>
    <w:link w:val="Heading1Char"/>
    <w:qFormat/>
    <w:rsid w:val="00AE0F1B"/>
    <w:pPr>
      <w:keepNext/>
      <w:numPr>
        <w:numId w:val="2"/>
      </w:numPr>
      <w:shd w:val="clear" w:color="auto" w:fill="E6E6E6"/>
      <w:spacing w:before="360" w:after="240" w:line="240" w:lineRule="auto"/>
      <w:jc w:val="left"/>
      <w:outlineLvl w:val="0"/>
    </w:pPr>
    <w:rPr>
      <w:rFonts w:ascii="Arial" w:hAnsi="Arial"/>
      <w:b/>
      <w:bCs/>
      <w:w w:val="120"/>
      <w:kern w:val="32"/>
      <w:sz w:val="24"/>
      <w:szCs w:val="32"/>
      <w:lang w:val="hr-H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5795C"/>
    <w:pPr>
      <w:tabs>
        <w:tab w:val="center" w:pos="4320"/>
        <w:tab w:val="right" w:pos="8640"/>
      </w:tabs>
      <w:spacing w:line="240" w:lineRule="auto"/>
    </w:pPr>
    <w:rPr>
      <w:sz w:val="20"/>
      <w:lang w:val="sq-AL" w:eastAsia="x-none"/>
    </w:rPr>
  </w:style>
  <w:style w:type="character" w:customStyle="1" w:styleId="HeaderChar">
    <w:name w:val="Header Char"/>
    <w:link w:val="Header"/>
    <w:uiPriority w:val="99"/>
    <w:rsid w:val="00E5795C"/>
    <w:rPr>
      <w:rFonts w:eastAsia="Times New Roman"/>
      <w:kern w:val="0"/>
      <w:szCs w:val="24"/>
      <w:lang w:val="sq-AL"/>
    </w:rPr>
  </w:style>
  <w:style w:type="paragraph" w:styleId="Footer">
    <w:name w:val="footer"/>
    <w:basedOn w:val="Normal"/>
    <w:link w:val="FooterChar"/>
    <w:uiPriority w:val="99"/>
    <w:rsid w:val="00E5795C"/>
    <w:pPr>
      <w:tabs>
        <w:tab w:val="center" w:pos="4320"/>
        <w:tab w:val="right" w:pos="8640"/>
      </w:tabs>
      <w:spacing w:line="240" w:lineRule="auto"/>
    </w:pPr>
    <w:rPr>
      <w:sz w:val="20"/>
      <w:lang w:val="sq-AL" w:eastAsia="x-none"/>
    </w:rPr>
  </w:style>
  <w:style w:type="character" w:customStyle="1" w:styleId="FooterChar">
    <w:name w:val="Footer Char"/>
    <w:link w:val="Footer"/>
    <w:uiPriority w:val="99"/>
    <w:rsid w:val="00E5795C"/>
    <w:rPr>
      <w:rFonts w:eastAsia="Times New Roman"/>
      <w:kern w:val="0"/>
      <w:sz w:val="20"/>
      <w:szCs w:val="24"/>
      <w:lang w:val="sq-AL"/>
    </w:rPr>
  </w:style>
  <w:style w:type="paragraph" w:styleId="ListParagraph">
    <w:name w:val="List Paragraph"/>
    <w:basedOn w:val="Normal"/>
    <w:link w:val="ListParagraphChar"/>
    <w:uiPriority w:val="34"/>
    <w:qFormat/>
    <w:rsid w:val="00E5795C"/>
    <w:pPr>
      <w:ind w:left="720"/>
    </w:pPr>
    <w:rPr>
      <w:lang w:val="sq-AL" w:eastAsia="x-none"/>
    </w:rPr>
  </w:style>
  <w:style w:type="paragraph" w:styleId="BodyText">
    <w:name w:val="Body Text"/>
    <w:basedOn w:val="Normal"/>
    <w:link w:val="BodyTextChar"/>
    <w:rsid w:val="00E5795C"/>
    <w:pPr>
      <w:suppressAutoHyphens/>
      <w:spacing w:after="120" w:line="240" w:lineRule="auto"/>
      <w:jc w:val="left"/>
    </w:pPr>
    <w:rPr>
      <w:rFonts w:ascii="Times New Roman" w:hAnsi="Times New Roman"/>
      <w:sz w:val="24"/>
      <w:lang w:val="x-none" w:eastAsia="ar-SA"/>
    </w:rPr>
  </w:style>
  <w:style w:type="character" w:customStyle="1" w:styleId="BodyTextChar">
    <w:name w:val="Body Text Char"/>
    <w:link w:val="BodyText"/>
    <w:rsid w:val="00E5795C"/>
    <w:rPr>
      <w:rFonts w:ascii="Times New Roman" w:eastAsia="Times New Roman" w:hAnsi="Times New Roman"/>
      <w:kern w:val="0"/>
      <w:sz w:val="24"/>
      <w:szCs w:val="24"/>
      <w:lang w:eastAsia="ar-SA"/>
    </w:rPr>
  </w:style>
  <w:style w:type="character" w:styleId="FootnoteReference">
    <w:name w:val="footnote reference"/>
    <w:uiPriority w:val="99"/>
    <w:rsid w:val="00E5795C"/>
    <w:rPr>
      <w:vertAlign w:val="superscript"/>
    </w:rPr>
  </w:style>
  <w:style w:type="character" w:customStyle="1" w:styleId="Heading1Char">
    <w:name w:val="Heading 1 Char"/>
    <w:link w:val="Heading1"/>
    <w:rsid w:val="00AE0F1B"/>
    <w:rPr>
      <w:rFonts w:ascii="Arial" w:eastAsia="Times New Roman" w:hAnsi="Arial" w:cs="Arial"/>
      <w:b/>
      <w:bCs/>
      <w:w w:val="120"/>
      <w:kern w:val="32"/>
      <w:sz w:val="24"/>
      <w:szCs w:val="32"/>
      <w:shd w:val="clear" w:color="auto" w:fill="E6E6E6"/>
      <w:lang w:val="hr-HR"/>
    </w:rPr>
  </w:style>
  <w:style w:type="character" w:customStyle="1" w:styleId="ListParagraphChar">
    <w:name w:val="List Paragraph Char"/>
    <w:link w:val="ListParagraph"/>
    <w:uiPriority w:val="34"/>
    <w:locked/>
    <w:rsid w:val="003636DF"/>
    <w:rPr>
      <w:rFonts w:eastAsia="Times New Roman"/>
      <w:sz w:val="22"/>
      <w:szCs w:val="24"/>
      <w:lang w:val="sq-AL"/>
    </w:rPr>
  </w:style>
  <w:style w:type="paragraph" w:styleId="BalloonText">
    <w:name w:val="Balloon Text"/>
    <w:basedOn w:val="Normal"/>
    <w:link w:val="BalloonTextChar"/>
    <w:uiPriority w:val="99"/>
    <w:semiHidden/>
    <w:unhideWhenUsed/>
    <w:rsid w:val="001622E0"/>
    <w:pPr>
      <w:spacing w:line="240" w:lineRule="auto"/>
    </w:pPr>
    <w:rPr>
      <w:rFonts w:ascii="Tahoma" w:hAnsi="Tahoma"/>
      <w:sz w:val="16"/>
      <w:szCs w:val="16"/>
      <w:lang w:val="sq-AL" w:eastAsia="x-none"/>
    </w:rPr>
  </w:style>
  <w:style w:type="character" w:customStyle="1" w:styleId="BalloonTextChar">
    <w:name w:val="Balloon Text Char"/>
    <w:link w:val="BalloonText"/>
    <w:uiPriority w:val="99"/>
    <w:semiHidden/>
    <w:rsid w:val="001622E0"/>
    <w:rPr>
      <w:rFonts w:ascii="Tahoma" w:eastAsia="Times New Roman" w:hAnsi="Tahoma" w:cs="Tahoma"/>
      <w:sz w:val="16"/>
      <w:szCs w:val="16"/>
      <w:lang w:val="sq-AL"/>
    </w:rPr>
  </w:style>
  <w:style w:type="character" w:customStyle="1" w:styleId="hps">
    <w:name w:val="hps"/>
    <w:basedOn w:val="DefaultParagraphFont"/>
    <w:uiPriority w:val="99"/>
    <w:rsid w:val="001C7F32"/>
  </w:style>
  <w:style w:type="character" w:customStyle="1" w:styleId="st">
    <w:name w:val="st"/>
    <w:basedOn w:val="DefaultParagraphFont"/>
    <w:rsid w:val="00DB30F1"/>
  </w:style>
  <w:style w:type="character" w:styleId="CommentReference">
    <w:name w:val="annotation reference"/>
    <w:uiPriority w:val="99"/>
    <w:semiHidden/>
    <w:unhideWhenUsed/>
    <w:rsid w:val="00244F01"/>
    <w:rPr>
      <w:sz w:val="16"/>
      <w:szCs w:val="16"/>
    </w:rPr>
  </w:style>
  <w:style w:type="paragraph" w:styleId="CommentText">
    <w:name w:val="annotation text"/>
    <w:basedOn w:val="Normal"/>
    <w:link w:val="CommentTextChar"/>
    <w:uiPriority w:val="99"/>
    <w:semiHidden/>
    <w:unhideWhenUsed/>
    <w:rsid w:val="00244F01"/>
    <w:rPr>
      <w:sz w:val="20"/>
      <w:szCs w:val="20"/>
      <w:lang w:val="sq-AL" w:eastAsia="x-none"/>
    </w:rPr>
  </w:style>
  <w:style w:type="character" w:customStyle="1" w:styleId="CommentTextChar">
    <w:name w:val="Comment Text Char"/>
    <w:link w:val="CommentText"/>
    <w:uiPriority w:val="99"/>
    <w:semiHidden/>
    <w:rsid w:val="00244F01"/>
    <w:rPr>
      <w:rFonts w:eastAsia="Times New Roman"/>
      <w:lang w:val="sq-AL"/>
    </w:rPr>
  </w:style>
  <w:style w:type="paragraph" w:styleId="CommentSubject">
    <w:name w:val="annotation subject"/>
    <w:basedOn w:val="CommentText"/>
    <w:next w:val="CommentText"/>
    <w:link w:val="CommentSubjectChar"/>
    <w:uiPriority w:val="99"/>
    <w:semiHidden/>
    <w:unhideWhenUsed/>
    <w:rsid w:val="00244F01"/>
    <w:rPr>
      <w:b/>
      <w:bCs/>
    </w:rPr>
  </w:style>
  <w:style w:type="character" w:customStyle="1" w:styleId="CommentSubjectChar">
    <w:name w:val="Comment Subject Char"/>
    <w:link w:val="CommentSubject"/>
    <w:uiPriority w:val="99"/>
    <w:semiHidden/>
    <w:rsid w:val="00244F01"/>
    <w:rPr>
      <w:rFonts w:eastAsia="Times New Roman"/>
      <w:b/>
      <w:bCs/>
      <w:lang w:val="sq-AL"/>
    </w:rPr>
  </w:style>
  <w:style w:type="paragraph" w:styleId="Revision">
    <w:name w:val="Revision"/>
    <w:hidden/>
    <w:uiPriority w:val="99"/>
    <w:semiHidden/>
    <w:rsid w:val="00666F9E"/>
    <w:rPr>
      <w:rFonts w:eastAsia="Times New Roman"/>
      <w:sz w:val="22"/>
      <w:szCs w:val="24"/>
    </w:rPr>
  </w:style>
  <w:style w:type="paragraph" w:styleId="FootnoteText">
    <w:name w:val="footnote text"/>
    <w:basedOn w:val="Normal"/>
    <w:link w:val="FootnoteTextChar"/>
    <w:uiPriority w:val="99"/>
    <w:semiHidden/>
    <w:rsid w:val="00D72668"/>
    <w:pPr>
      <w:spacing w:line="240" w:lineRule="auto"/>
      <w:jc w:val="left"/>
    </w:pPr>
    <w:rPr>
      <w:rFonts w:ascii="Calibri" w:hAnsi="Calibri"/>
      <w:sz w:val="20"/>
      <w:szCs w:val="20"/>
      <w:lang w:val="x-none" w:eastAsia="x-none"/>
    </w:rPr>
  </w:style>
  <w:style w:type="character" w:customStyle="1" w:styleId="FootnoteTextChar">
    <w:name w:val="Footnote Text Char"/>
    <w:link w:val="FootnoteText"/>
    <w:uiPriority w:val="99"/>
    <w:semiHidden/>
    <w:rsid w:val="00D72668"/>
    <w:rPr>
      <w:rFonts w:ascii="Calibri" w:eastAsia="Times New Roman" w:hAnsi="Calibri" w:cs="Calibri"/>
    </w:rPr>
  </w:style>
  <w:style w:type="character" w:styleId="Strong">
    <w:name w:val="Strong"/>
    <w:uiPriority w:val="22"/>
    <w:qFormat/>
    <w:rsid w:val="002E6569"/>
    <w:rPr>
      <w:b/>
      <w:bCs/>
    </w:rPr>
  </w:style>
  <w:style w:type="paragraph" w:styleId="NoSpacing">
    <w:name w:val="No Spacing"/>
    <w:uiPriority w:val="1"/>
    <w:qFormat/>
    <w:rsid w:val="006108D7"/>
    <w:rPr>
      <w:rFonts w:ascii="Calibri" w:hAnsi="Calibri"/>
      <w:sz w:val="22"/>
      <w:szCs w:val="22"/>
    </w:rPr>
  </w:style>
  <w:style w:type="paragraph" w:customStyle="1" w:styleId="Default">
    <w:name w:val="Default"/>
    <w:rsid w:val="00D81E2D"/>
    <w:pPr>
      <w:autoSpaceDE w:val="0"/>
      <w:autoSpaceDN w:val="0"/>
      <w:adjustRightInd w:val="0"/>
    </w:pPr>
    <w:rPr>
      <w:rFonts w:ascii="Arial" w:hAnsi="Arial" w:cs="Arial"/>
      <w:color w:val="000000"/>
      <w:sz w:val="24"/>
      <w:szCs w:val="24"/>
    </w:rPr>
  </w:style>
  <w:style w:type="character" w:customStyle="1" w:styleId="sb8d990e2">
    <w:name w:val="sb8d990e2"/>
    <w:basedOn w:val="DefaultParagraphFont"/>
    <w:rsid w:val="00517BF9"/>
  </w:style>
  <w:style w:type="character" w:customStyle="1" w:styleId="s6b621b36">
    <w:name w:val="s6b621b36"/>
    <w:basedOn w:val="DefaultParagraphFont"/>
    <w:rsid w:val="00517BF9"/>
  </w:style>
  <w:style w:type="character" w:customStyle="1" w:styleId="alt-edited">
    <w:name w:val="alt-edited"/>
    <w:basedOn w:val="DefaultParagraphFont"/>
    <w:rsid w:val="007E6F05"/>
  </w:style>
  <w:style w:type="character" w:styleId="Emphasis">
    <w:name w:val="Emphasis"/>
    <w:uiPriority w:val="20"/>
    <w:qFormat/>
    <w:rsid w:val="009356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52975">
      <w:bodyDiv w:val="1"/>
      <w:marLeft w:val="0"/>
      <w:marRight w:val="0"/>
      <w:marTop w:val="0"/>
      <w:marBottom w:val="0"/>
      <w:divBdr>
        <w:top w:val="none" w:sz="0" w:space="0" w:color="auto"/>
        <w:left w:val="none" w:sz="0" w:space="0" w:color="auto"/>
        <w:bottom w:val="none" w:sz="0" w:space="0" w:color="auto"/>
        <w:right w:val="none" w:sz="0" w:space="0" w:color="auto"/>
      </w:divBdr>
      <w:divsChild>
        <w:div w:id="175586217">
          <w:marLeft w:val="0"/>
          <w:marRight w:val="0"/>
          <w:marTop w:val="0"/>
          <w:marBottom w:val="0"/>
          <w:divBdr>
            <w:top w:val="none" w:sz="0" w:space="0" w:color="auto"/>
            <w:left w:val="none" w:sz="0" w:space="0" w:color="auto"/>
            <w:bottom w:val="none" w:sz="0" w:space="0" w:color="auto"/>
            <w:right w:val="none" w:sz="0" w:space="0" w:color="auto"/>
          </w:divBdr>
        </w:div>
        <w:div w:id="841966593">
          <w:marLeft w:val="0"/>
          <w:marRight w:val="0"/>
          <w:marTop w:val="0"/>
          <w:marBottom w:val="0"/>
          <w:divBdr>
            <w:top w:val="none" w:sz="0" w:space="0" w:color="auto"/>
            <w:left w:val="none" w:sz="0" w:space="0" w:color="auto"/>
            <w:bottom w:val="none" w:sz="0" w:space="0" w:color="auto"/>
            <w:right w:val="none" w:sz="0" w:space="0" w:color="auto"/>
          </w:divBdr>
        </w:div>
        <w:div w:id="1616710888">
          <w:marLeft w:val="0"/>
          <w:marRight w:val="0"/>
          <w:marTop w:val="0"/>
          <w:marBottom w:val="0"/>
          <w:divBdr>
            <w:top w:val="none" w:sz="0" w:space="0" w:color="auto"/>
            <w:left w:val="none" w:sz="0" w:space="0" w:color="auto"/>
            <w:bottom w:val="none" w:sz="0" w:space="0" w:color="auto"/>
            <w:right w:val="none" w:sz="0" w:space="0" w:color="auto"/>
          </w:divBdr>
        </w:div>
      </w:divsChild>
    </w:div>
    <w:div w:id="979194980">
      <w:bodyDiv w:val="1"/>
      <w:marLeft w:val="0"/>
      <w:marRight w:val="0"/>
      <w:marTop w:val="0"/>
      <w:marBottom w:val="0"/>
      <w:divBdr>
        <w:top w:val="none" w:sz="0" w:space="0" w:color="auto"/>
        <w:left w:val="none" w:sz="0" w:space="0" w:color="auto"/>
        <w:bottom w:val="none" w:sz="0" w:space="0" w:color="auto"/>
        <w:right w:val="none" w:sz="0" w:space="0" w:color="auto"/>
      </w:divBdr>
    </w:div>
    <w:div w:id="1666056705">
      <w:bodyDiv w:val="1"/>
      <w:marLeft w:val="0"/>
      <w:marRight w:val="0"/>
      <w:marTop w:val="0"/>
      <w:marBottom w:val="0"/>
      <w:divBdr>
        <w:top w:val="none" w:sz="0" w:space="0" w:color="auto"/>
        <w:left w:val="none" w:sz="0" w:space="0" w:color="auto"/>
        <w:bottom w:val="none" w:sz="0" w:space="0" w:color="auto"/>
        <w:right w:val="none" w:sz="0" w:space="0" w:color="auto"/>
      </w:divBdr>
      <w:divsChild>
        <w:div w:id="275910564">
          <w:marLeft w:val="0"/>
          <w:marRight w:val="0"/>
          <w:marTop w:val="0"/>
          <w:marBottom w:val="0"/>
          <w:divBdr>
            <w:top w:val="none" w:sz="0" w:space="0" w:color="auto"/>
            <w:left w:val="none" w:sz="0" w:space="0" w:color="auto"/>
            <w:bottom w:val="none" w:sz="0" w:space="0" w:color="auto"/>
            <w:right w:val="none" w:sz="0" w:space="0" w:color="auto"/>
          </w:divBdr>
        </w:div>
        <w:div w:id="611865994">
          <w:marLeft w:val="0"/>
          <w:marRight w:val="0"/>
          <w:marTop w:val="0"/>
          <w:marBottom w:val="0"/>
          <w:divBdr>
            <w:top w:val="none" w:sz="0" w:space="0" w:color="auto"/>
            <w:left w:val="none" w:sz="0" w:space="0" w:color="auto"/>
            <w:bottom w:val="none" w:sz="0" w:space="0" w:color="auto"/>
            <w:right w:val="none" w:sz="0" w:space="0" w:color="auto"/>
          </w:divBdr>
        </w:div>
        <w:div w:id="794180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6042</Words>
  <Characters>34445</Characters>
  <Application>Microsoft Office Word</Application>
  <DocSecurity>0</DocSecurity>
  <Lines>287</Lines>
  <Paragraphs>80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home</Company>
  <LinksUpToDate>false</LinksUpToDate>
  <CharactersWithSpaces>40407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suzana.krasniqi</dc:creator>
  <cp:keywords/>
  <cp:lastModifiedBy>Burim Hoxha</cp:lastModifiedBy>
  <cp:revision>2</cp:revision>
  <cp:lastPrinted>2019-07-10T09:24:00Z</cp:lastPrinted>
  <dcterms:created xsi:type="dcterms:W3CDTF">2019-07-12T11:45:00Z</dcterms:created>
  <dcterms:modified xsi:type="dcterms:W3CDTF">2019-07-12T11:45:00Z</dcterms:modified>
</cp:coreProperties>
</file>