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F5" w:rsidRPr="00012C17" w:rsidRDefault="00954465" w:rsidP="001B11C5">
      <w:pPr>
        <w:tabs>
          <w:tab w:val="left" w:pos="540"/>
        </w:tabs>
        <w:spacing w:line="240" w:lineRule="auto"/>
        <w:jc w:val="right"/>
        <w:rPr>
          <w:rFonts w:cs="Arial"/>
          <w:b/>
          <w:bCs/>
          <w:color w:val="000000"/>
          <w:sz w:val="16"/>
          <w:szCs w:val="16"/>
        </w:rPr>
      </w:pPr>
      <w:bookmarkStart w:id="0" w:name="_GoBack"/>
      <w:bookmarkEnd w:id="0"/>
      <w:r>
        <w:rPr>
          <w:rFonts w:cs="Arial"/>
          <w:b/>
          <w:bCs/>
          <w:color w:val="000000"/>
          <w:sz w:val="16"/>
          <w:szCs w:val="16"/>
        </w:rPr>
        <w:t>Prishtina, on 4 February 2019</w:t>
      </w:r>
    </w:p>
    <w:p w:rsidR="00A6162A" w:rsidRPr="00012C17" w:rsidRDefault="00445E56" w:rsidP="001B11C5">
      <w:pPr>
        <w:spacing w:line="240" w:lineRule="auto"/>
        <w:rPr>
          <w:b/>
          <w:bCs/>
          <w:color w:val="000000"/>
          <w:sz w:val="16"/>
          <w:szCs w:val="16"/>
        </w:rPr>
      </w:pP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Pr="00012C17">
        <w:rPr>
          <w:rFonts w:cs="Arial"/>
          <w:color w:val="000000"/>
          <w:sz w:val="16"/>
          <w:szCs w:val="16"/>
        </w:rPr>
        <w:tab/>
      </w:r>
      <w:r w:rsidR="00954465">
        <w:rPr>
          <w:rFonts w:cs="Arial"/>
          <w:color w:val="000000"/>
          <w:sz w:val="16"/>
          <w:szCs w:val="16"/>
        </w:rPr>
        <w:t xml:space="preserve">  </w:t>
      </w:r>
      <w:r w:rsidR="005F3372" w:rsidRPr="00012C17">
        <w:rPr>
          <w:rFonts w:cs="Arial"/>
          <w:b/>
          <w:bCs/>
          <w:color w:val="000000"/>
          <w:sz w:val="16"/>
          <w:szCs w:val="16"/>
        </w:rPr>
        <w:t>Ref. no.</w:t>
      </w:r>
      <w:r w:rsidR="00B80DE6" w:rsidRPr="00012C17">
        <w:rPr>
          <w:rFonts w:cs="Arial"/>
          <w:b/>
          <w:bCs/>
          <w:color w:val="000000"/>
          <w:sz w:val="16"/>
          <w:szCs w:val="16"/>
        </w:rPr>
        <w:t>:</w:t>
      </w:r>
      <w:r w:rsidR="00954465">
        <w:rPr>
          <w:rFonts w:cs="Arial"/>
          <w:b/>
          <w:bCs/>
          <w:color w:val="000000"/>
          <w:sz w:val="16"/>
          <w:szCs w:val="16"/>
        </w:rPr>
        <w:t>AGJ 1322/19</w:t>
      </w:r>
    </w:p>
    <w:p w:rsidR="00A6162A" w:rsidRPr="00012C17" w:rsidRDefault="00A6162A" w:rsidP="00E004B6">
      <w:pPr>
        <w:spacing w:line="240" w:lineRule="auto"/>
        <w:jc w:val="center"/>
        <w:rPr>
          <w:b/>
          <w:bCs/>
          <w:color w:val="000000"/>
          <w:sz w:val="24"/>
        </w:rPr>
      </w:pPr>
    </w:p>
    <w:p w:rsidR="00A6162A" w:rsidRPr="00012C17" w:rsidRDefault="00E004B6" w:rsidP="00E004B6">
      <w:pPr>
        <w:spacing w:line="240" w:lineRule="auto"/>
        <w:jc w:val="center"/>
        <w:rPr>
          <w:b/>
          <w:i/>
          <w:color w:val="000000"/>
          <w:sz w:val="24"/>
        </w:rPr>
      </w:pPr>
      <w:r w:rsidRPr="00012C17">
        <w:rPr>
          <w:b/>
          <w:i/>
          <w:color w:val="000000"/>
        </w:rPr>
        <w:t>[This translation is unofficial and serves for informational purposes only.]</w:t>
      </w:r>
    </w:p>
    <w:p w:rsidR="00A6162A" w:rsidRPr="00012C17" w:rsidRDefault="00A6162A" w:rsidP="001B11C5">
      <w:pPr>
        <w:spacing w:line="240" w:lineRule="auto"/>
        <w:rPr>
          <w:b/>
          <w:color w:val="000000"/>
          <w:sz w:val="24"/>
        </w:rPr>
      </w:pPr>
    </w:p>
    <w:p w:rsidR="00A6162A" w:rsidRPr="00012C17" w:rsidRDefault="003431F5" w:rsidP="001B11C5">
      <w:pPr>
        <w:spacing w:line="240" w:lineRule="auto"/>
        <w:jc w:val="center"/>
        <w:rPr>
          <w:rFonts w:cs="Arial"/>
          <w:color w:val="000000"/>
          <w:sz w:val="32"/>
          <w:szCs w:val="32"/>
        </w:rPr>
      </w:pPr>
      <w:r w:rsidRPr="00012C17">
        <w:rPr>
          <w:rFonts w:cs="Arial"/>
          <w:b/>
          <w:color w:val="000000"/>
          <w:sz w:val="32"/>
          <w:szCs w:val="32"/>
        </w:rPr>
        <w:t>JUDGMENT</w:t>
      </w:r>
    </w:p>
    <w:p w:rsidR="00EC0558" w:rsidRPr="00012C17" w:rsidRDefault="00EC0558" w:rsidP="001B11C5">
      <w:pPr>
        <w:spacing w:line="240" w:lineRule="auto"/>
        <w:jc w:val="center"/>
        <w:rPr>
          <w:rFonts w:cs="Arial"/>
          <w:color w:val="000000"/>
          <w:sz w:val="24"/>
        </w:rPr>
      </w:pPr>
    </w:p>
    <w:p w:rsidR="00A6162A" w:rsidRPr="00012C17" w:rsidRDefault="003B5E1B" w:rsidP="001B11C5">
      <w:pPr>
        <w:spacing w:line="240" w:lineRule="auto"/>
        <w:jc w:val="center"/>
        <w:rPr>
          <w:rFonts w:cs="Arial"/>
          <w:color w:val="000000"/>
          <w:sz w:val="24"/>
        </w:rPr>
      </w:pPr>
      <w:r w:rsidRPr="00012C17">
        <w:rPr>
          <w:rFonts w:cs="Arial"/>
          <w:color w:val="000000"/>
          <w:sz w:val="24"/>
        </w:rPr>
        <w:t>in</w:t>
      </w:r>
    </w:p>
    <w:p w:rsidR="00A6162A" w:rsidRPr="00012C17" w:rsidRDefault="00A6162A" w:rsidP="001B11C5">
      <w:pPr>
        <w:spacing w:line="240" w:lineRule="auto"/>
        <w:rPr>
          <w:rFonts w:cs="Arial"/>
          <w:color w:val="000000"/>
          <w:sz w:val="24"/>
        </w:rPr>
      </w:pPr>
    </w:p>
    <w:p w:rsidR="00A6162A" w:rsidRPr="00012C17" w:rsidRDefault="00EC0558" w:rsidP="001B11C5">
      <w:pPr>
        <w:spacing w:line="240" w:lineRule="auto"/>
        <w:jc w:val="center"/>
        <w:rPr>
          <w:rFonts w:cs="Arial"/>
          <w:b/>
          <w:color w:val="000000"/>
          <w:sz w:val="24"/>
        </w:rPr>
      </w:pPr>
      <w:r w:rsidRPr="00012C17">
        <w:rPr>
          <w:rFonts w:cs="Arial"/>
          <w:b/>
          <w:color w:val="000000"/>
          <w:sz w:val="24"/>
        </w:rPr>
        <w:t>Case No</w:t>
      </w:r>
      <w:r w:rsidR="00A6162A" w:rsidRPr="00012C17">
        <w:rPr>
          <w:rFonts w:cs="Arial"/>
          <w:b/>
          <w:color w:val="000000"/>
          <w:sz w:val="24"/>
        </w:rPr>
        <w:t>. KI48/18</w:t>
      </w:r>
    </w:p>
    <w:p w:rsidR="00A6162A" w:rsidRPr="00012C17" w:rsidRDefault="00A6162A" w:rsidP="001B11C5">
      <w:pPr>
        <w:spacing w:line="240" w:lineRule="auto"/>
        <w:jc w:val="center"/>
        <w:rPr>
          <w:rFonts w:cs="Arial"/>
          <w:b/>
          <w:color w:val="000000"/>
          <w:sz w:val="24"/>
        </w:rPr>
      </w:pPr>
    </w:p>
    <w:p w:rsidR="00A6162A" w:rsidRPr="00012C17" w:rsidRDefault="00EC0558" w:rsidP="001B11C5">
      <w:pPr>
        <w:spacing w:line="240" w:lineRule="auto"/>
        <w:jc w:val="center"/>
        <w:rPr>
          <w:rFonts w:cs="Arial"/>
          <w:color w:val="000000"/>
          <w:sz w:val="24"/>
        </w:rPr>
      </w:pPr>
      <w:r w:rsidRPr="00012C17">
        <w:rPr>
          <w:rFonts w:cs="Arial"/>
          <w:color w:val="000000"/>
          <w:sz w:val="24"/>
        </w:rPr>
        <w:t>Applicant</w:t>
      </w:r>
    </w:p>
    <w:p w:rsidR="00A6162A" w:rsidRPr="00012C17" w:rsidRDefault="00A6162A" w:rsidP="001B11C5">
      <w:pPr>
        <w:spacing w:line="240" w:lineRule="auto"/>
        <w:jc w:val="center"/>
        <w:rPr>
          <w:rFonts w:cs="Arial"/>
          <w:b/>
          <w:color w:val="000000"/>
          <w:sz w:val="24"/>
        </w:rPr>
      </w:pPr>
    </w:p>
    <w:p w:rsidR="00A6162A" w:rsidRPr="00012C17" w:rsidRDefault="00A6162A" w:rsidP="001B11C5">
      <w:pPr>
        <w:spacing w:line="240" w:lineRule="auto"/>
        <w:jc w:val="center"/>
        <w:rPr>
          <w:rFonts w:cs="Arial"/>
          <w:b/>
          <w:color w:val="000000"/>
          <w:sz w:val="24"/>
        </w:rPr>
      </w:pPr>
      <w:r w:rsidRPr="00012C17">
        <w:rPr>
          <w:rFonts w:cs="Arial"/>
          <w:b/>
          <w:color w:val="000000"/>
          <w:sz w:val="24"/>
        </w:rPr>
        <w:t xml:space="preserve">Arban Abrashi </w:t>
      </w:r>
      <w:r w:rsidR="00EC0558" w:rsidRPr="00012C17">
        <w:rPr>
          <w:rFonts w:cs="Arial"/>
          <w:b/>
          <w:color w:val="000000"/>
          <w:sz w:val="24"/>
        </w:rPr>
        <w:t>and the Democratic League of Kosovo</w:t>
      </w:r>
      <w:r w:rsidRPr="00012C17">
        <w:rPr>
          <w:rFonts w:cs="Arial"/>
          <w:b/>
          <w:color w:val="000000"/>
          <w:sz w:val="24"/>
        </w:rPr>
        <w:t xml:space="preserve"> </w:t>
      </w:r>
    </w:p>
    <w:p w:rsidR="00A6162A" w:rsidRPr="00012C17" w:rsidRDefault="00A6162A" w:rsidP="001B11C5">
      <w:pPr>
        <w:spacing w:line="240" w:lineRule="auto"/>
        <w:jc w:val="center"/>
        <w:rPr>
          <w:rFonts w:cs="Arial"/>
          <w:b/>
          <w:color w:val="000000"/>
          <w:sz w:val="24"/>
        </w:rPr>
      </w:pPr>
    </w:p>
    <w:p w:rsidR="001777F9" w:rsidRPr="00012C17" w:rsidRDefault="001777F9" w:rsidP="001B11C5">
      <w:pPr>
        <w:spacing w:line="240" w:lineRule="auto"/>
        <w:jc w:val="center"/>
        <w:rPr>
          <w:rFonts w:cs="Arial"/>
          <w:b/>
          <w:color w:val="000000"/>
          <w:sz w:val="24"/>
        </w:rPr>
      </w:pPr>
    </w:p>
    <w:p w:rsidR="00B80DE6" w:rsidRPr="00012C17" w:rsidRDefault="00EC0558" w:rsidP="001B11C5">
      <w:pPr>
        <w:spacing w:line="240" w:lineRule="auto"/>
        <w:jc w:val="center"/>
        <w:rPr>
          <w:rFonts w:cs="Arial"/>
          <w:b/>
          <w:color w:val="000000"/>
          <w:sz w:val="24"/>
        </w:rPr>
      </w:pPr>
      <w:r w:rsidRPr="00012C17">
        <w:rPr>
          <w:rFonts w:cs="Arial"/>
          <w:b/>
          <w:color w:val="000000"/>
          <w:sz w:val="24"/>
        </w:rPr>
        <w:t xml:space="preserve">Constitutional review </w:t>
      </w:r>
    </w:p>
    <w:p w:rsidR="00B80DE6" w:rsidRPr="00012C17" w:rsidRDefault="00EC0558" w:rsidP="001B11C5">
      <w:pPr>
        <w:spacing w:line="240" w:lineRule="auto"/>
        <w:jc w:val="center"/>
        <w:rPr>
          <w:rFonts w:cs="Arial"/>
          <w:b/>
          <w:color w:val="000000"/>
          <w:sz w:val="24"/>
        </w:rPr>
      </w:pPr>
      <w:r w:rsidRPr="00012C17">
        <w:rPr>
          <w:rFonts w:cs="Arial"/>
          <w:b/>
          <w:color w:val="000000"/>
          <w:sz w:val="24"/>
        </w:rPr>
        <w:t>of Decision</w:t>
      </w:r>
      <w:r w:rsidR="00CF3821" w:rsidRPr="00012C17">
        <w:rPr>
          <w:rFonts w:cs="Arial"/>
          <w:b/>
          <w:color w:val="000000"/>
          <w:sz w:val="24"/>
        </w:rPr>
        <w:t xml:space="preserve"> AA. </w:t>
      </w:r>
      <w:r w:rsidRPr="00012C17">
        <w:rPr>
          <w:rFonts w:cs="Arial"/>
          <w:b/>
          <w:color w:val="000000"/>
          <w:sz w:val="24"/>
        </w:rPr>
        <w:t>No</w:t>
      </w:r>
      <w:r w:rsidR="00CF3821" w:rsidRPr="00012C17">
        <w:rPr>
          <w:rFonts w:cs="Arial"/>
          <w:b/>
          <w:color w:val="000000"/>
          <w:sz w:val="24"/>
        </w:rPr>
        <w:t xml:space="preserve">. 52/2017 </w:t>
      </w:r>
      <w:r w:rsidRPr="00012C17">
        <w:rPr>
          <w:rFonts w:cs="Arial"/>
          <w:b/>
          <w:color w:val="000000"/>
          <w:sz w:val="24"/>
        </w:rPr>
        <w:t>of the</w:t>
      </w:r>
      <w:r w:rsidR="00CF3821" w:rsidRPr="00012C17">
        <w:rPr>
          <w:rFonts w:cs="Arial"/>
          <w:b/>
          <w:color w:val="000000"/>
          <w:sz w:val="24"/>
        </w:rPr>
        <w:t xml:space="preserve"> Supreme </w:t>
      </w:r>
      <w:r w:rsidRPr="00012C17">
        <w:rPr>
          <w:rFonts w:cs="Arial"/>
          <w:b/>
          <w:color w:val="000000"/>
          <w:sz w:val="24"/>
        </w:rPr>
        <w:t>Court of the Republic of</w:t>
      </w:r>
      <w:r w:rsidR="00CF3821" w:rsidRPr="00012C17">
        <w:rPr>
          <w:rFonts w:cs="Arial"/>
          <w:b/>
          <w:color w:val="000000"/>
          <w:sz w:val="24"/>
        </w:rPr>
        <w:t xml:space="preserve"> </w:t>
      </w:r>
      <w:r w:rsidRPr="00012C17">
        <w:rPr>
          <w:rFonts w:cs="Arial"/>
          <w:b/>
          <w:color w:val="000000"/>
          <w:sz w:val="24"/>
        </w:rPr>
        <w:t>Kosovo</w:t>
      </w:r>
      <w:r w:rsidR="00CF3821" w:rsidRPr="00012C17">
        <w:rPr>
          <w:rFonts w:cs="Arial"/>
          <w:b/>
          <w:color w:val="000000"/>
          <w:sz w:val="24"/>
        </w:rPr>
        <w:t xml:space="preserve"> </w:t>
      </w:r>
      <w:r w:rsidRPr="00012C17">
        <w:rPr>
          <w:rFonts w:cs="Arial"/>
          <w:b/>
          <w:color w:val="000000"/>
          <w:sz w:val="24"/>
        </w:rPr>
        <w:t>of</w:t>
      </w:r>
      <w:r w:rsidR="00CF3821" w:rsidRPr="00012C17">
        <w:rPr>
          <w:rFonts w:cs="Arial"/>
          <w:b/>
          <w:color w:val="000000"/>
          <w:sz w:val="24"/>
        </w:rPr>
        <w:t xml:space="preserve"> 25 </w:t>
      </w:r>
      <w:r w:rsidRPr="00012C17">
        <w:rPr>
          <w:rFonts w:cs="Arial"/>
          <w:b/>
          <w:color w:val="000000"/>
          <w:sz w:val="24"/>
        </w:rPr>
        <w:t>November</w:t>
      </w:r>
      <w:r w:rsidR="00CF3821" w:rsidRPr="00012C17">
        <w:rPr>
          <w:rFonts w:cs="Arial"/>
          <w:b/>
          <w:color w:val="000000"/>
          <w:sz w:val="24"/>
        </w:rPr>
        <w:t xml:space="preserve"> 2017 </w:t>
      </w:r>
      <w:r w:rsidRPr="00012C17">
        <w:rPr>
          <w:rFonts w:cs="Arial"/>
          <w:b/>
          <w:color w:val="000000"/>
          <w:sz w:val="24"/>
        </w:rPr>
        <w:t>and</w:t>
      </w:r>
      <w:r w:rsidR="00CF3821" w:rsidRPr="00012C17">
        <w:rPr>
          <w:rFonts w:cs="Arial"/>
          <w:b/>
          <w:color w:val="000000"/>
          <w:sz w:val="24"/>
        </w:rPr>
        <w:t xml:space="preserve"> </w:t>
      </w:r>
      <w:r w:rsidRPr="00012C17">
        <w:rPr>
          <w:rFonts w:cs="Arial"/>
          <w:b/>
          <w:color w:val="000000"/>
          <w:sz w:val="24"/>
        </w:rPr>
        <w:t>Judgment</w:t>
      </w:r>
      <w:r w:rsidR="00A6162A" w:rsidRPr="00012C17">
        <w:rPr>
          <w:rFonts w:cs="Arial"/>
          <w:b/>
          <w:color w:val="000000"/>
          <w:sz w:val="24"/>
        </w:rPr>
        <w:t xml:space="preserve"> A.A. U.ZH. </w:t>
      </w:r>
      <w:r w:rsidRPr="00012C17">
        <w:rPr>
          <w:rFonts w:cs="Arial"/>
          <w:b/>
          <w:color w:val="000000"/>
          <w:sz w:val="24"/>
        </w:rPr>
        <w:t>No</w:t>
      </w:r>
      <w:r w:rsidR="00A6162A" w:rsidRPr="00012C17">
        <w:rPr>
          <w:rFonts w:cs="Arial"/>
          <w:b/>
          <w:color w:val="000000"/>
          <w:sz w:val="24"/>
        </w:rPr>
        <w:t xml:space="preserve">. 62/2017 </w:t>
      </w:r>
      <w:r w:rsidR="00925892" w:rsidRPr="00012C17">
        <w:rPr>
          <w:rFonts w:cs="Arial"/>
          <w:b/>
          <w:color w:val="000000"/>
          <w:sz w:val="24"/>
        </w:rPr>
        <w:t xml:space="preserve">of </w:t>
      </w:r>
      <w:r w:rsidRPr="00012C17">
        <w:rPr>
          <w:rFonts w:cs="Arial"/>
          <w:b/>
          <w:color w:val="000000"/>
          <w:sz w:val="24"/>
        </w:rPr>
        <w:t>the Supreme Court of the Republic of Kosovo of</w:t>
      </w:r>
      <w:r w:rsidR="00A6162A" w:rsidRPr="00012C17">
        <w:rPr>
          <w:rFonts w:cs="Arial"/>
          <w:b/>
          <w:color w:val="000000"/>
          <w:sz w:val="24"/>
        </w:rPr>
        <w:t xml:space="preserve"> </w:t>
      </w:r>
    </w:p>
    <w:p w:rsidR="00A6162A" w:rsidRPr="00012C17" w:rsidRDefault="00A6162A" w:rsidP="001B11C5">
      <w:pPr>
        <w:spacing w:line="240" w:lineRule="auto"/>
        <w:jc w:val="center"/>
        <w:rPr>
          <w:rFonts w:cs="Arial"/>
          <w:b/>
          <w:color w:val="000000"/>
          <w:sz w:val="24"/>
        </w:rPr>
      </w:pPr>
      <w:r w:rsidRPr="00012C17">
        <w:rPr>
          <w:rFonts w:cs="Arial"/>
          <w:b/>
          <w:color w:val="000000"/>
          <w:sz w:val="24"/>
        </w:rPr>
        <w:t xml:space="preserve">7 </w:t>
      </w:r>
      <w:r w:rsidR="00EC0558" w:rsidRPr="00012C17">
        <w:rPr>
          <w:rFonts w:cs="Arial"/>
          <w:b/>
          <w:color w:val="000000"/>
          <w:sz w:val="24"/>
        </w:rPr>
        <w:t>December</w:t>
      </w:r>
      <w:r w:rsidRPr="00012C17">
        <w:rPr>
          <w:rFonts w:cs="Arial"/>
          <w:b/>
          <w:color w:val="000000"/>
          <w:sz w:val="24"/>
        </w:rPr>
        <w:t xml:space="preserve"> 2017 </w:t>
      </w:r>
    </w:p>
    <w:p w:rsidR="00A6162A" w:rsidRPr="00012C17" w:rsidRDefault="00A6162A" w:rsidP="001B11C5">
      <w:pPr>
        <w:spacing w:line="240" w:lineRule="auto"/>
        <w:jc w:val="center"/>
        <w:rPr>
          <w:rFonts w:cs="Arial"/>
          <w:b/>
          <w:color w:val="000000"/>
          <w:sz w:val="24"/>
        </w:rPr>
      </w:pPr>
    </w:p>
    <w:p w:rsidR="00A6162A" w:rsidRPr="00012C17" w:rsidRDefault="007C3A35" w:rsidP="001B11C5">
      <w:pPr>
        <w:spacing w:line="240" w:lineRule="auto"/>
        <w:jc w:val="center"/>
        <w:rPr>
          <w:rFonts w:cs="Arial"/>
          <w:b/>
          <w:bCs/>
          <w:color w:val="000000"/>
          <w:sz w:val="24"/>
        </w:rPr>
      </w:pPr>
      <w:r w:rsidRPr="00012C17">
        <w:rPr>
          <w:rFonts w:cs="Arial"/>
          <w:b/>
          <w:bCs/>
          <w:color w:val="000000"/>
          <w:sz w:val="24"/>
        </w:rPr>
        <w:t>THE CONSTITUTIONAL COURT OF THE REPUBLIC OF KOSOVO</w:t>
      </w:r>
    </w:p>
    <w:p w:rsidR="007C3A35" w:rsidRPr="00012C17" w:rsidRDefault="007C3A35" w:rsidP="001B11C5">
      <w:pPr>
        <w:spacing w:line="240" w:lineRule="auto"/>
        <w:jc w:val="center"/>
        <w:rPr>
          <w:rFonts w:cs="Arial"/>
          <w:b/>
          <w:bCs/>
          <w:color w:val="000000"/>
          <w:sz w:val="24"/>
        </w:rPr>
      </w:pPr>
    </w:p>
    <w:p w:rsidR="00A6162A" w:rsidRPr="00012C17" w:rsidRDefault="00C460AD" w:rsidP="001B11C5">
      <w:pPr>
        <w:spacing w:line="240" w:lineRule="auto"/>
        <w:rPr>
          <w:rFonts w:cs="Arial"/>
          <w:color w:val="000000"/>
          <w:sz w:val="24"/>
        </w:rPr>
      </w:pPr>
      <w:r w:rsidRPr="00012C17">
        <w:rPr>
          <w:bCs/>
          <w:color w:val="000000"/>
          <w:sz w:val="24"/>
        </w:rPr>
        <w:t xml:space="preserve">composed </w:t>
      </w:r>
      <w:r w:rsidR="00EC0558" w:rsidRPr="00012C17">
        <w:rPr>
          <w:bCs/>
          <w:color w:val="000000"/>
          <w:sz w:val="24"/>
        </w:rPr>
        <w:t>of</w:t>
      </w:r>
      <w:r w:rsidR="007C3A35" w:rsidRPr="00012C17">
        <w:rPr>
          <w:bCs/>
          <w:color w:val="000000"/>
          <w:sz w:val="24"/>
        </w:rPr>
        <w:t>:</w:t>
      </w:r>
    </w:p>
    <w:p w:rsidR="007C3A35" w:rsidRPr="00012C17" w:rsidRDefault="007C3A35" w:rsidP="001B11C5">
      <w:pPr>
        <w:spacing w:line="240" w:lineRule="auto"/>
        <w:rPr>
          <w:rFonts w:cs="Arial"/>
          <w:color w:val="000000"/>
          <w:sz w:val="24"/>
        </w:rPr>
      </w:pPr>
    </w:p>
    <w:p w:rsidR="00C01019" w:rsidRPr="00012C17" w:rsidRDefault="007C3A35" w:rsidP="001B11C5">
      <w:pPr>
        <w:spacing w:line="240" w:lineRule="auto"/>
        <w:rPr>
          <w:rFonts w:cs="Arial"/>
          <w:color w:val="000000"/>
          <w:sz w:val="24"/>
        </w:rPr>
      </w:pPr>
      <w:r w:rsidRPr="00012C17">
        <w:rPr>
          <w:color w:val="000000"/>
          <w:sz w:val="24"/>
        </w:rPr>
        <w:t>Arta Rama-Hajrizi, P</w:t>
      </w:r>
      <w:r w:rsidR="00C01019" w:rsidRPr="00012C17">
        <w:rPr>
          <w:color w:val="000000"/>
          <w:sz w:val="24"/>
        </w:rPr>
        <w:t>resident</w:t>
      </w:r>
    </w:p>
    <w:p w:rsidR="00C01019" w:rsidRPr="00012C17" w:rsidRDefault="007C3A35" w:rsidP="001B11C5">
      <w:pPr>
        <w:spacing w:line="240" w:lineRule="auto"/>
        <w:rPr>
          <w:rFonts w:cs="Arial"/>
          <w:color w:val="000000"/>
          <w:sz w:val="24"/>
        </w:rPr>
      </w:pPr>
      <w:r w:rsidRPr="00012C17">
        <w:rPr>
          <w:rFonts w:cs="Arial"/>
          <w:color w:val="000000"/>
          <w:sz w:val="24"/>
        </w:rPr>
        <w:t>Bekim Sejdiu, J</w:t>
      </w:r>
      <w:r w:rsidR="00C01019" w:rsidRPr="00012C17">
        <w:rPr>
          <w:rFonts w:cs="Arial"/>
          <w:color w:val="000000"/>
          <w:sz w:val="24"/>
        </w:rPr>
        <w:t>udge</w:t>
      </w:r>
    </w:p>
    <w:p w:rsidR="00C01019" w:rsidRPr="00012C17" w:rsidRDefault="007C3A35" w:rsidP="001B11C5">
      <w:pPr>
        <w:spacing w:line="240" w:lineRule="auto"/>
        <w:rPr>
          <w:rFonts w:cs="Arial"/>
          <w:color w:val="000000"/>
          <w:sz w:val="24"/>
        </w:rPr>
      </w:pPr>
      <w:r w:rsidRPr="00012C17">
        <w:rPr>
          <w:rFonts w:cs="Arial"/>
          <w:color w:val="000000"/>
          <w:sz w:val="24"/>
        </w:rPr>
        <w:t>Selvete Gërxhaliu-Krasniqi, J</w:t>
      </w:r>
      <w:r w:rsidR="00C01019" w:rsidRPr="00012C17">
        <w:rPr>
          <w:rFonts w:cs="Arial"/>
          <w:color w:val="000000"/>
          <w:sz w:val="24"/>
        </w:rPr>
        <w:t>udge</w:t>
      </w:r>
    </w:p>
    <w:p w:rsidR="00C01019" w:rsidRPr="00012C17" w:rsidRDefault="007C3A35" w:rsidP="001B11C5">
      <w:pPr>
        <w:spacing w:line="240" w:lineRule="auto"/>
        <w:rPr>
          <w:rFonts w:cs="Arial"/>
          <w:color w:val="000000"/>
          <w:sz w:val="24"/>
        </w:rPr>
      </w:pPr>
      <w:r w:rsidRPr="00012C17">
        <w:rPr>
          <w:rFonts w:cs="Arial"/>
          <w:color w:val="000000"/>
          <w:sz w:val="24"/>
        </w:rPr>
        <w:t>Gresa Caka-Nimani, J</w:t>
      </w:r>
      <w:r w:rsidR="00C01019" w:rsidRPr="00012C17">
        <w:rPr>
          <w:rFonts w:cs="Arial"/>
          <w:color w:val="000000"/>
          <w:sz w:val="24"/>
        </w:rPr>
        <w:t>udge</w:t>
      </w:r>
    </w:p>
    <w:p w:rsidR="00C01019" w:rsidRPr="00012C17" w:rsidRDefault="007C3A35" w:rsidP="001B11C5">
      <w:pPr>
        <w:spacing w:line="240" w:lineRule="auto"/>
        <w:rPr>
          <w:rFonts w:cs="Arial"/>
          <w:color w:val="000000"/>
          <w:sz w:val="24"/>
        </w:rPr>
      </w:pPr>
      <w:r w:rsidRPr="00012C17">
        <w:rPr>
          <w:rFonts w:cs="Arial"/>
          <w:color w:val="000000"/>
          <w:sz w:val="24"/>
        </w:rPr>
        <w:t>Safet Hoxha, J</w:t>
      </w:r>
      <w:r w:rsidR="00C01019" w:rsidRPr="00012C17">
        <w:rPr>
          <w:rFonts w:cs="Arial"/>
          <w:color w:val="000000"/>
          <w:sz w:val="24"/>
        </w:rPr>
        <w:t>udge</w:t>
      </w:r>
    </w:p>
    <w:p w:rsidR="00B80DE6" w:rsidRPr="00012C17" w:rsidRDefault="00E004B6" w:rsidP="001B11C5">
      <w:pPr>
        <w:spacing w:line="240" w:lineRule="auto"/>
        <w:rPr>
          <w:rFonts w:cs="Arial"/>
          <w:color w:val="000000"/>
          <w:sz w:val="24"/>
        </w:rPr>
      </w:pPr>
      <w:r w:rsidRPr="00012C17">
        <w:rPr>
          <w:rFonts w:cs="Arial"/>
          <w:color w:val="000000"/>
          <w:sz w:val="24"/>
        </w:rPr>
        <w:t>Radomir Laban,</w:t>
      </w:r>
      <w:r w:rsidR="00B80DE6" w:rsidRPr="00012C17">
        <w:rPr>
          <w:rFonts w:cs="Arial"/>
          <w:color w:val="000000"/>
          <w:sz w:val="24"/>
        </w:rPr>
        <w:t xml:space="preserve"> Judge </w:t>
      </w:r>
    </w:p>
    <w:p w:rsidR="00C01019" w:rsidRPr="00012C17" w:rsidRDefault="00C01019" w:rsidP="001B11C5">
      <w:pPr>
        <w:spacing w:line="240" w:lineRule="auto"/>
        <w:rPr>
          <w:rFonts w:cs="Arial"/>
          <w:color w:val="000000"/>
          <w:sz w:val="24"/>
        </w:rPr>
      </w:pPr>
      <w:r w:rsidRPr="00012C17">
        <w:rPr>
          <w:rFonts w:cs="Arial"/>
          <w:color w:val="000000"/>
          <w:sz w:val="24"/>
        </w:rPr>
        <w:t xml:space="preserve">Remzije Istrefi-Peci, </w:t>
      </w:r>
      <w:r w:rsidR="007C3A35" w:rsidRPr="00012C17">
        <w:rPr>
          <w:rFonts w:cs="Arial"/>
          <w:color w:val="000000"/>
          <w:sz w:val="24"/>
        </w:rPr>
        <w:t>J</w:t>
      </w:r>
      <w:r w:rsidRPr="00012C17">
        <w:rPr>
          <w:rFonts w:cs="Arial"/>
          <w:color w:val="000000"/>
          <w:sz w:val="24"/>
        </w:rPr>
        <w:t>udge</w:t>
      </w:r>
      <w:r w:rsidRPr="00012C17">
        <w:rPr>
          <w:color w:val="000000"/>
          <w:sz w:val="24"/>
        </w:rPr>
        <w:t xml:space="preserve"> </w:t>
      </w:r>
      <w:r w:rsidRPr="00012C17">
        <w:rPr>
          <w:rFonts w:cs="Arial"/>
          <w:color w:val="000000"/>
          <w:sz w:val="24"/>
        </w:rPr>
        <w:t xml:space="preserve">and </w:t>
      </w:r>
    </w:p>
    <w:p w:rsidR="00C01019" w:rsidRPr="00012C17" w:rsidRDefault="007C3A35" w:rsidP="001B11C5">
      <w:pPr>
        <w:spacing w:line="240" w:lineRule="auto"/>
        <w:rPr>
          <w:rFonts w:cs="Arial"/>
          <w:color w:val="000000"/>
          <w:sz w:val="24"/>
        </w:rPr>
      </w:pPr>
      <w:r w:rsidRPr="00012C17">
        <w:rPr>
          <w:rFonts w:cs="Arial"/>
          <w:color w:val="000000"/>
          <w:sz w:val="24"/>
        </w:rPr>
        <w:t>Nexhmi Rexhepi, J</w:t>
      </w:r>
      <w:r w:rsidR="00C01019" w:rsidRPr="00012C17">
        <w:rPr>
          <w:rFonts w:cs="Arial"/>
          <w:color w:val="000000"/>
          <w:sz w:val="24"/>
        </w:rPr>
        <w:t>udge</w:t>
      </w:r>
    </w:p>
    <w:p w:rsidR="00A6162A" w:rsidRPr="00012C17" w:rsidRDefault="00A6162A" w:rsidP="001B11C5">
      <w:pPr>
        <w:spacing w:line="240" w:lineRule="auto"/>
        <w:rPr>
          <w:rFonts w:cs="Arial"/>
          <w:color w:val="000000"/>
          <w:sz w:val="24"/>
        </w:rPr>
      </w:pPr>
    </w:p>
    <w:p w:rsidR="0030777F" w:rsidRPr="00012C17" w:rsidRDefault="0030777F" w:rsidP="001B11C5">
      <w:pPr>
        <w:spacing w:line="240" w:lineRule="auto"/>
        <w:rPr>
          <w:rFonts w:cs="Arial"/>
          <w:b/>
          <w:color w:val="000000"/>
          <w:sz w:val="24"/>
        </w:rPr>
      </w:pPr>
    </w:p>
    <w:p w:rsidR="00A6162A" w:rsidRPr="00012C17" w:rsidRDefault="00BD10F1" w:rsidP="001B11C5">
      <w:pPr>
        <w:spacing w:line="240" w:lineRule="auto"/>
        <w:rPr>
          <w:b/>
          <w:color w:val="000000"/>
          <w:sz w:val="24"/>
        </w:rPr>
      </w:pPr>
      <w:r w:rsidRPr="00012C17">
        <w:rPr>
          <w:rFonts w:cs="Arial"/>
          <w:b/>
          <w:color w:val="000000"/>
          <w:sz w:val="24"/>
        </w:rPr>
        <w:t>Applicants</w:t>
      </w:r>
    </w:p>
    <w:p w:rsidR="00A6162A" w:rsidRPr="00012C17" w:rsidRDefault="00A6162A" w:rsidP="001B11C5">
      <w:pPr>
        <w:spacing w:line="240" w:lineRule="auto"/>
        <w:rPr>
          <w:rFonts w:cs="Arial"/>
          <w:b/>
          <w:color w:val="000000"/>
          <w:sz w:val="24"/>
        </w:rPr>
      </w:pPr>
    </w:p>
    <w:p w:rsidR="001B11C5" w:rsidRPr="00012C17" w:rsidRDefault="00BD10F1" w:rsidP="001B11C5">
      <w:pPr>
        <w:numPr>
          <w:ilvl w:val="0"/>
          <w:numId w:val="1"/>
        </w:numPr>
        <w:spacing w:line="240" w:lineRule="auto"/>
        <w:ind w:left="630" w:hanging="630"/>
        <w:rPr>
          <w:rFonts w:cs="Arial"/>
          <w:color w:val="000000"/>
          <w:sz w:val="24"/>
        </w:rPr>
      </w:pPr>
      <w:r w:rsidRPr="00012C17">
        <w:rPr>
          <w:bCs/>
          <w:iCs/>
          <w:color w:val="000000"/>
          <w:sz w:val="24"/>
        </w:rPr>
        <w:t>The Referral was submitted by Mr</w:t>
      </w:r>
      <w:r w:rsidR="00A6162A" w:rsidRPr="00012C17">
        <w:rPr>
          <w:rFonts w:cs="Arial"/>
          <w:color w:val="000000"/>
          <w:sz w:val="24"/>
        </w:rPr>
        <w:t xml:space="preserve">. Arban Abrashi, </w:t>
      </w:r>
      <w:r w:rsidRPr="00012C17">
        <w:rPr>
          <w:rFonts w:cs="Arial"/>
          <w:color w:val="000000"/>
          <w:sz w:val="24"/>
        </w:rPr>
        <w:t xml:space="preserve">a </w:t>
      </w:r>
      <w:r w:rsidR="003B5E1B" w:rsidRPr="00012C17">
        <w:rPr>
          <w:rFonts w:cs="Arial"/>
          <w:color w:val="000000"/>
          <w:sz w:val="24"/>
        </w:rPr>
        <w:t>c</w:t>
      </w:r>
      <w:r w:rsidRPr="00012C17">
        <w:rPr>
          <w:rFonts w:cs="Arial"/>
          <w:color w:val="000000"/>
          <w:sz w:val="24"/>
        </w:rPr>
        <w:t xml:space="preserve">andidate for </w:t>
      </w:r>
      <w:r w:rsidR="00634AB3" w:rsidRPr="00012C17">
        <w:rPr>
          <w:rFonts w:cs="Arial"/>
          <w:color w:val="000000"/>
          <w:sz w:val="24"/>
        </w:rPr>
        <w:t>M</w:t>
      </w:r>
      <w:r w:rsidR="00C61EF0" w:rsidRPr="00012C17">
        <w:rPr>
          <w:rFonts w:cs="Arial"/>
          <w:color w:val="000000"/>
          <w:sz w:val="24"/>
        </w:rPr>
        <w:t>ayor</w:t>
      </w:r>
      <w:r w:rsidR="00A6162A" w:rsidRPr="00012C17">
        <w:rPr>
          <w:rFonts w:cs="Arial"/>
          <w:color w:val="000000"/>
          <w:sz w:val="24"/>
        </w:rPr>
        <w:t xml:space="preserve"> </w:t>
      </w:r>
      <w:r w:rsidRPr="00012C17">
        <w:rPr>
          <w:rFonts w:cs="Arial"/>
          <w:color w:val="000000"/>
          <w:sz w:val="24"/>
        </w:rPr>
        <w:t>of the Municipality of</w:t>
      </w:r>
      <w:r w:rsidR="00A6162A" w:rsidRPr="00012C17">
        <w:rPr>
          <w:rFonts w:cs="Arial"/>
          <w:color w:val="000000"/>
          <w:sz w:val="24"/>
        </w:rPr>
        <w:t xml:space="preserve"> Prishtin</w:t>
      </w:r>
      <w:r w:rsidRPr="00012C17">
        <w:rPr>
          <w:rFonts w:cs="Arial"/>
          <w:color w:val="000000"/>
          <w:sz w:val="24"/>
        </w:rPr>
        <w:t>a</w:t>
      </w:r>
      <w:r w:rsidR="00A6162A" w:rsidRPr="00012C17">
        <w:rPr>
          <w:rFonts w:cs="Arial"/>
          <w:color w:val="000000"/>
          <w:sz w:val="24"/>
        </w:rPr>
        <w:t xml:space="preserve"> </w:t>
      </w:r>
      <w:r w:rsidRPr="00012C17">
        <w:rPr>
          <w:rFonts w:cs="Arial"/>
          <w:color w:val="000000"/>
          <w:sz w:val="24"/>
        </w:rPr>
        <w:t>in the lo</w:t>
      </w:r>
      <w:r w:rsidR="00AD7156" w:rsidRPr="00012C17">
        <w:rPr>
          <w:rFonts w:cs="Arial"/>
          <w:color w:val="000000"/>
          <w:sz w:val="24"/>
        </w:rPr>
        <w:t>c</w:t>
      </w:r>
      <w:r w:rsidRPr="00012C17">
        <w:rPr>
          <w:rFonts w:cs="Arial"/>
          <w:color w:val="000000"/>
          <w:sz w:val="24"/>
        </w:rPr>
        <w:t>al elections of</w:t>
      </w:r>
      <w:r w:rsidR="00A6162A" w:rsidRPr="00012C17">
        <w:rPr>
          <w:rFonts w:cs="Arial"/>
          <w:color w:val="000000"/>
          <w:sz w:val="24"/>
        </w:rPr>
        <w:t xml:space="preserve"> 2017 (</w:t>
      </w:r>
      <w:r w:rsidR="00AD7156" w:rsidRPr="00012C17">
        <w:rPr>
          <w:color w:val="000000"/>
          <w:sz w:val="24"/>
        </w:rPr>
        <w:t xml:space="preserve">hereinafter: the </w:t>
      </w:r>
      <w:r w:rsidR="006634E8" w:rsidRPr="00012C17">
        <w:rPr>
          <w:color w:val="000000"/>
          <w:sz w:val="24"/>
        </w:rPr>
        <w:t>f</w:t>
      </w:r>
      <w:r w:rsidR="00AD7156" w:rsidRPr="00012C17">
        <w:rPr>
          <w:color w:val="000000"/>
          <w:sz w:val="24"/>
        </w:rPr>
        <w:t>irs</w:t>
      </w:r>
      <w:r w:rsidRPr="00012C17">
        <w:rPr>
          <w:color w:val="000000"/>
          <w:sz w:val="24"/>
        </w:rPr>
        <w:t>t Applicant</w:t>
      </w:r>
      <w:r w:rsidR="00A6162A" w:rsidRPr="00012C17">
        <w:rPr>
          <w:rFonts w:cs="Arial"/>
          <w:color w:val="000000"/>
          <w:sz w:val="24"/>
        </w:rPr>
        <w:t xml:space="preserve">), </w:t>
      </w:r>
      <w:r w:rsidR="00AD7156" w:rsidRPr="00012C17">
        <w:rPr>
          <w:rFonts w:cs="Arial"/>
          <w:color w:val="000000"/>
          <w:sz w:val="24"/>
        </w:rPr>
        <w:t>as well as by the political entity</w:t>
      </w:r>
      <w:r w:rsidR="00A6162A" w:rsidRPr="00012C17">
        <w:rPr>
          <w:rFonts w:cs="Arial"/>
          <w:color w:val="000000"/>
          <w:sz w:val="24"/>
        </w:rPr>
        <w:t xml:space="preserve"> </w:t>
      </w:r>
      <w:r w:rsidR="00AD7156" w:rsidRPr="00012C17">
        <w:rPr>
          <w:rFonts w:cs="Arial"/>
          <w:color w:val="000000"/>
          <w:sz w:val="24"/>
        </w:rPr>
        <w:t>the Democratic League of Kosovo</w:t>
      </w:r>
      <w:r w:rsidR="00A6162A" w:rsidRPr="00012C17">
        <w:rPr>
          <w:rFonts w:cs="Arial"/>
          <w:color w:val="000000"/>
          <w:sz w:val="24"/>
        </w:rPr>
        <w:t xml:space="preserve"> (LDK) (</w:t>
      </w:r>
      <w:r w:rsidR="00AD7156" w:rsidRPr="00012C17">
        <w:rPr>
          <w:color w:val="000000"/>
          <w:sz w:val="24"/>
        </w:rPr>
        <w:t xml:space="preserve">hereinafter: the </w:t>
      </w:r>
      <w:r w:rsidR="006634E8" w:rsidRPr="00012C17">
        <w:rPr>
          <w:color w:val="000000"/>
          <w:sz w:val="24"/>
        </w:rPr>
        <w:t>s</w:t>
      </w:r>
      <w:r w:rsidR="00AD7156" w:rsidRPr="00012C17">
        <w:rPr>
          <w:color w:val="000000"/>
          <w:sz w:val="24"/>
        </w:rPr>
        <w:t>econd Applicant</w:t>
      </w:r>
      <w:r w:rsidR="00A6162A" w:rsidRPr="00012C17">
        <w:rPr>
          <w:rFonts w:cs="Arial"/>
          <w:color w:val="000000"/>
          <w:sz w:val="24"/>
        </w:rPr>
        <w:t>).</w:t>
      </w:r>
    </w:p>
    <w:p w:rsidR="00A6162A" w:rsidRPr="00012C17" w:rsidRDefault="001B11C5" w:rsidP="001B11C5">
      <w:pPr>
        <w:numPr>
          <w:ilvl w:val="0"/>
          <w:numId w:val="1"/>
        </w:numPr>
        <w:spacing w:line="240" w:lineRule="auto"/>
        <w:ind w:left="630" w:hanging="630"/>
        <w:rPr>
          <w:rFonts w:cs="Arial"/>
          <w:color w:val="000000"/>
          <w:sz w:val="24"/>
        </w:rPr>
      </w:pPr>
      <w:r w:rsidRPr="00012C17">
        <w:rPr>
          <w:rFonts w:cs="Arial"/>
          <w:color w:val="000000"/>
          <w:sz w:val="24"/>
        </w:rPr>
        <w:br w:type="page"/>
      </w:r>
      <w:r w:rsidR="00AD7156" w:rsidRPr="00012C17">
        <w:rPr>
          <w:rFonts w:cs="Arial"/>
          <w:color w:val="000000"/>
          <w:sz w:val="24"/>
        </w:rPr>
        <w:lastRenderedPageBreak/>
        <w:t xml:space="preserve">The first Applicant </w:t>
      </w:r>
      <w:r w:rsidR="00AD7156" w:rsidRPr="00012C17">
        <w:rPr>
          <w:bCs/>
          <w:iCs/>
          <w:color w:val="000000"/>
          <w:sz w:val="24"/>
        </w:rPr>
        <w:t>and</w:t>
      </w:r>
      <w:r w:rsidR="00AD7156" w:rsidRPr="00012C17">
        <w:rPr>
          <w:rFonts w:cs="Arial"/>
          <w:color w:val="000000"/>
          <w:sz w:val="24"/>
        </w:rPr>
        <w:t xml:space="preserve"> the second </w:t>
      </w:r>
      <w:r w:rsidR="00AD7156" w:rsidRPr="00012C17">
        <w:rPr>
          <w:bCs/>
          <w:iCs/>
          <w:color w:val="000000"/>
          <w:sz w:val="24"/>
        </w:rPr>
        <w:t>Applicant</w:t>
      </w:r>
      <w:r w:rsidR="00AD7156" w:rsidRPr="00012C17">
        <w:rPr>
          <w:rFonts w:cs="Arial"/>
          <w:color w:val="000000"/>
          <w:sz w:val="24"/>
        </w:rPr>
        <w:t xml:space="preserve"> (h</w:t>
      </w:r>
      <w:r w:rsidR="00E56373" w:rsidRPr="00012C17">
        <w:rPr>
          <w:rFonts w:cs="Arial"/>
          <w:color w:val="000000"/>
          <w:sz w:val="24"/>
        </w:rPr>
        <w:t>ereinafter when the Court refer</w:t>
      </w:r>
      <w:r w:rsidR="00AD7156" w:rsidRPr="00012C17">
        <w:rPr>
          <w:rFonts w:cs="Arial"/>
          <w:color w:val="000000"/>
          <w:sz w:val="24"/>
        </w:rPr>
        <w:t xml:space="preserve">s to </w:t>
      </w:r>
      <w:r w:rsidR="003B5E1B" w:rsidRPr="00012C17">
        <w:rPr>
          <w:rFonts w:cs="Arial"/>
          <w:color w:val="000000"/>
          <w:sz w:val="24"/>
        </w:rPr>
        <w:t>them</w:t>
      </w:r>
      <w:r w:rsidR="00C460AD" w:rsidRPr="00012C17">
        <w:rPr>
          <w:rFonts w:cs="Arial"/>
          <w:color w:val="000000"/>
          <w:sz w:val="24"/>
        </w:rPr>
        <w:t xml:space="preserve"> jointly</w:t>
      </w:r>
      <w:r w:rsidR="00AD7156" w:rsidRPr="00012C17">
        <w:rPr>
          <w:rFonts w:cs="Arial"/>
          <w:color w:val="000000"/>
          <w:sz w:val="24"/>
        </w:rPr>
        <w:t>: the Applicants) are represented by Mr. Durim Berisha</w:t>
      </w:r>
      <w:r w:rsidR="00A6162A" w:rsidRPr="00012C17">
        <w:rPr>
          <w:rFonts w:cs="Arial"/>
          <w:color w:val="000000"/>
          <w:sz w:val="24"/>
        </w:rPr>
        <w:t xml:space="preserve">. </w:t>
      </w:r>
    </w:p>
    <w:p w:rsidR="00A6162A" w:rsidRPr="00012C17" w:rsidRDefault="00A6162A" w:rsidP="001B11C5">
      <w:pPr>
        <w:spacing w:line="240" w:lineRule="auto"/>
        <w:rPr>
          <w:rFonts w:cs="Arial"/>
          <w:b/>
          <w:color w:val="000000"/>
          <w:sz w:val="24"/>
        </w:rPr>
      </w:pPr>
    </w:p>
    <w:p w:rsidR="00AD7156" w:rsidRPr="00012C17" w:rsidRDefault="00AD7156" w:rsidP="001B11C5">
      <w:pPr>
        <w:spacing w:line="240" w:lineRule="auto"/>
        <w:jc w:val="left"/>
        <w:rPr>
          <w:b/>
          <w:color w:val="000000"/>
          <w:sz w:val="24"/>
        </w:rPr>
      </w:pPr>
      <w:r w:rsidRPr="00012C17">
        <w:rPr>
          <w:b/>
          <w:color w:val="000000"/>
          <w:sz w:val="24"/>
        </w:rPr>
        <w:t>Challenged decision</w:t>
      </w:r>
    </w:p>
    <w:p w:rsidR="00A6162A" w:rsidRPr="00012C17" w:rsidRDefault="00A6162A" w:rsidP="001B11C5">
      <w:pPr>
        <w:spacing w:line="240" w:lineRule="auto"/>
        <w:rPr>
          <w:rFonts w:cs="Arial"/>
          <w:b/>
          <w:color w:val="000000"/>
          <w:sz w:val="24"/>
        </w:rPr>
      </w:pPr>
    </w:p>
    <w:p w:rsidR="00A6162A" w:rsidRPr="00012C17" w:rsidRDefault="00AD7156" w:rsidP="001B11C5">
      <w:pPr>
        <w:numPr>
          <w:ilvl w:val="0"/>
          <w:numId w:val="1"/>
        </w:numPr>
        <w:spacing w:line="240" w:lineRule="auto"/>
        <w:ind w:left="630" w:hanging="630"/>
        <w:rPr>
          <w:rFonts w:cs="Arial"/>
          <w:b/>
          <w:color w:val="000000"/>
          <w:sz w:val="24"/>
        </w:rPr>
      </w:pPr>
      <w:r w:rsidRPr="00012C17">
        <w:rPr>
          <w:rFonts w:cs="Arial"/>
          <w:color w:val="000000"/>
          <w:sz w:val="24"/>
        </w:rPr>
        <w:t>The Applicants challenge</w:t>
      </w:r>
      <w:r w:rsidR="00A6162A" w:rsidRPr="00012C17">
        <w:rPr>
          <w:rFonts w:cs="Arial"/>
          <w:color w:val="000000"/>
          <w:sz w:val="24"/>
        </w:rPr>
        <w:t xml:space="preserve"> </w:t>
      </w:r>
      <w:r w:rsidRPr="00012C17">
        <w:rPr>
          <w:rFonts w:cs="Arial"/>
          <w:color w:val="000000"/>
          <w:sz w:val="24"/>
        </w:rPr>
        <w:t>Decision</w:t>
      </w:r>
      <w:r w:rsidR="008B6FB4" w:rsidRPr="00012C17">
        <w:rPr>
          <w:rFonts w:cs="Arial"/>
          <w:color w:val="000000"/>
          <w:sz w:val="24"/>
        </w:rPr>
        <w:t xml:space="preserve"> [AA.</w:t>
      </w:r>
      <w:r w:rsidRPr="00012C17">
        <w:rPr>
          <w:rFonts w:cs="Arial"/>
          <w:color w:val="000000"/>
          <w:sz w:val="24"/>
        </w:rPr>
        <w:t xml:space="preserve"> No</w:t>
      </w:r>
      <w:r w:rsidR="008B6FB4" w:rsidRPr="00012C17">
        <w:rPr>
          <w:rFonts w:cs="Arial"/>
          <w:color w:val="000000"/>
          <w:sz w:val="24"/>
        </w:rPr>
        <w:t>.</w:t>
      </w:r>
      <w:r w:rsidRPr="00012C17">
        <w:rPr>
          <w:rFonts w:cs="Arial"/>
          <w:color w:val="000000"/>
          <w:sz w:val="24"/>
        </w:rPr>
        <w:t xml:space="preserve"> </w:t>
      </w:r>
      <w:r w:rsidR="008B6FB4" w:rsidRPr="00012C17">
        <w:rPr>
          <w:rFonts w:cs="Arial"/>
          <w:color w:val="000000"/>
          <w:sz w:val="24"/>
        </w:rPr>
        <w:t xml:space="preserve">52/2017] </w:t>
      </w:r>
      <w:r w:rsidRPr="00012C17">
        <w:rPr>
          <w:rFonts w:cs="Arial"/>
          <w:color w:val="000000"/>
          <w:sz w:val="24"/>
        </w:rPr>
        <w:t>of</w:t>
      </w:r>
      <w:r w:rsidR="009D0BAA" w:rsidRPr="00012C17">
        <w:rPr>
          <w:rFonts w:cs="Arial"/>
          <w:color w:val="000000"/>
          <w:sz w:val="24"/>
        </w:rPr>
        <w:t xml:space="preserve"> </w:t>
      </w:r>
      <w:r w:rsidR="008B6FB4" w:rsidRPr="00012C17">
        <w:rPr>
          <w:rFonts w:cs="Arial"/>
          <w:color w:val="000000"/>
          <w:sz w:val="24"/>
        </w:rPr>
        <w:t xml:space="preserve">25 </w:t>
      </w:r>
      <w:r w:rsidRPr="00012C17">
        <w:rPr>
          <w:rFonts w:cs="Arial"/>
          <w:color w:val="000000"/>
          <w:sz w:val="24"/>
        </w:rPr>
        <w:t>November</w:t>
      </w:r>
      <w:r w:rsidR="008B6FB4" w:rsidRPr="00012C17">
        <w:rPr>
          <w:rFonts w:cs="Arial"/>
          <w:color w:val="000000"/>
          <w:sz w:val="24"/>
        </w:rPr>
        <w:t xml:space="preserve"> 2017</w:t>
      </w:r>
      <w:r w:rsidR="003B5E1B" w:rsidRPr="00012C17">
        <w:rPr>
          <w:rFonts w:cs="Arial"/>
          <w:color w:val="000000"/>
          <w:sz w:val="24"/>
        </w:rPr>
        <w:t>,</w:t>
      </w:r>
      <w:r w:rsidR="008B6FB4" w:rsidRPr="00012C17">
        <w:rPr>
          <w:rFonts w:cs="Arial"/>
          <w:color w:val="000000"/>
          <w:sz w:val="24"/>
        </w:rPr>
        <w:t xml:space="preserve"> </w:t>
      </w:r>
      <w:r w:rsidR="00D70EF9" w:rsidRPr="00012C17">
        <w:rPr>
          <w:rFonts w:cs="Arial"/>
          <w:color w:val="000000"/>
          <w:sz w:val="24"/>
        </w:rPr>
        <w:t>and</w:t>
      </w:r>
      <w:r w:rsidR="008B6FB4" w:rsidRPr="00012C17">
        <w:rPr>
          <w:rFonts w:cs="Arial"/>
          <w:color w:val="000000"/>
          <w:sz w:val="24"/>
        </w:rPr>
        <w:t xml:space="preserve"> </w:t>
      </w:r>
      <w:r w:rsidR="00D70EF9" w:rsidRPr="00012C17">
        <w:rPr>
          <w:rFonts w:cs="Arial"/>
          <w:color w:val="000000"/>
          <w:sz w:val="24"/>
        </w:rPr>
        <w:t>Judgment</w:t>
      </w:r>
      <w:r w:rsidR="00A6162A" w:rsidRPr="00012C17">
        <w:rPr>
          <w:rFonts w:cs="Arial"/>
          <w:color w:val="000000"/>
          <w:sz w:val="24"/>
        </w:rPr>
        <w:t xml:space="preserve"> [A.A.</w:t>
      </w:r>
      <w:r w:rsidR="006634E8" w:rsidRPr="00012C17">
        <w:rPr>
          <w:rFonts w:cs="Arial"/>
          <w:color w:val="000000"/>
          <w:sz w:val="24"/>
        </w:rPr>
        <w:t xml:space="preserve"> </w:t>
      </w:r>
      <w:r w:rsidR="00A6162A" w:rsidRPr="00012C17">
        <w:rPr>
          <w:rFonts w:cs="Arial"/>
          <w:color w:val="000000"/>
          <w:sz w:val="24"/>
        </w:rPr>
        <w:t xml:space="preserve">U.ZH. </w:t>
      </w:r>
      <w:r w:rsidR="00D70EF9" w:rsidRPr="00012C17">
        <w:rPr>
          <w:rFonts w:cs="Arial"/>
          <w:color w:val="000000"/>
          <w:sz w:val="24"/>
        </w:rPr>
        <w:t>No</w:t>
      </w:r>
      <w:r w:rsidR="00A6162A" w:rsidRPr="00012C17">
        <w:rPr>
          <w:rFonts w:cs="Arial"/>
          <w:color w:val="000000"/>
          <w:sz w:val="24"/>
        </w:rPr>
        <w:t xml:space="preserve">. 62/2017] </w:t>
      </w:r>
      <w:r w:rsidR="00D70EF9" w:rsidRPr="00012C17">
        <w:rPr>
          <w:rFonts w:cs="Arial"/>
          <w:color w:val="000000"/>
          <w:sz w:val="24"/>
        </w:rPr>
        <w:t>of</w:t>
      </w:r>
      <w:r w:rsidR="00A6162A" w:rsidRPr="00012C17">
        <w:rPr>
          <w:rFonts w:cs="Arial"/>
          <w:color w:val="000000"/>
          <w:sz w:val="24"/>
        </w:rPr>
        <w:t xml:space="preserve"> 7 </w:t>
      </w:r>
      <w:r w:rsidR="00D70EF9" w:rsidRPr="00012C17">
        <w:rPr>
          <w:rFonts w:cs="Arial"/>
          <w:color w:val="000000"/>
          <w:sz w:val="24"/>
        </w:rPr>
        <w:t>December</w:t>
      </w:r>
      <w:r w:rsidR="00A6162A" w:rsidRPr="00012C17">
        <w:rPr>
          <w:rFonts w:cs="Arial"/>
          <w:color w:val="000000"/>
          <w:sz w:val="24"/>
        </w:rPr>
        <w:t xml:space="preserve"> 2017 </w:t>
      </w:r>
      <w:r w:rsidR="00D70EF9" w:rsidRPr="00012C17">
        <w:rPr>
          <w:rFonts w:cs="Arial"/>
          <w:color w:val="000000"/>
          <w:sz w:val="24"/>
        </w:rPr>
        <w:t>of the Supreme Court of the Republic of Kosovo</w:t>
      </w:r>
      <w:r w:rsidR="00A6162A" w:rsidRPr="00012C17">
        <w:rPr>
          <w:rFonts w:cs="Arial"/>
          <w:color w:val="000000"/>
          <w:sz w:val="24"/>
        </w:rPr>
        <w:t xml:space="preserve"> (</w:t>
      </w:r>
      <w:r w:rsidR="00D70EF9" w:rsidRPr="00012C17">
        <w:rPr>
          <w:rFonts w:cs="Arial"/>
          <w:color w:val="000000"/>
          <w:sz w:val="24"/>
        </w:rPr>
        <w:t>hereinafter</w:t>
      </w:r>
      <w:r w:rsidR="00A6162A" w:rsidRPr="00012C17">
        <w:rPr>
          <w:rFonts w:cs="Arial"/>
          <w:color w:val="000000"/>
          <w:sz w:val="24"/>
        </w:rPr>
        <w:t xml:space="preserve">: </w:t>
      </w:r>
      <w:r w:rsidR="00D70EF9" w:rsidRPr="00012C17">
        <w:rPr>
          <w:rFonts w:cs="Arial"/>
          <w:color w:val="000000"/>
          <w:sz w:val="24"/>
        </w:rPr>
        <w:t>the</w:t>
      </w:r>
      <w:r w:rsidR="00A6162A" w:rsidRPr="00012C17">
        <w:rPr>
          <w:rFonts w:cs="Arial"/>
          <w:color w:val="000000"/>
          <w:sz w:val="24"/>
        </w:rPr>
        <w:t xml:space="preserve"> Supreme</w:t>
      </w:r>
      <w:r w:rsidR="00D70EF9" w:rsidRPr="00012C17">
        <w:rPr>
          <w:rFonts w:cs="Arial"/>
          <w:color w:val="000000"/>
          <w:sz w:val="24"/>
        </w:rPr>
        <w:t xml:space="preserve"> Court</w:t>
      </w:r>
      <w:r w:rsidR="00A6162A" w:rsidRPr="00012C17">
        <w:rPr>
          <w:rFonts w:cs="Arial"/>
          <w:color w:val="000000"/>
          <w:sz w:val="24"/>
        </w:rPr>
        <w:t xml:space="preserve">). </w:t>
      </w:r>
    </w:p>
    <w:p w:rsidR="001777F9" w:rsidRPr="00012C17" w:rsidRDefault="001777F9" w:rsidP="001B11C5">
      <w:pPr>
        <w:spacing w:line="240" w:lineRule="auto"/>
        <w:ind w:left="630"/>
        <w:rPr>
          <w:rFonts w:cs="Arial"/>
          <w:b/>
          <w:color w:val="000000"/>
          <w:sz w:val="24"/>
        </w:rPr>
      </w:pPr>
    </w:p>
    <w:p w:rsidR="00A6162A" w:rsidRPr="00012C17" w:rsidRDefault="00D70EF9" w:rsidP="001B11C5">
      <w:pPr>
        <w:numPr>
          <w:ilvl w:val="0"/>
          <w:numId w:val="1"/>
        </w:numPr>
        <w:spacing w:line="240" w:lineRule="auto"/>
        <w:ind w:left="630" w:hanging="630"/>
        <w:rPr>
          <w:rFonts w:cs="Arial"/>
          <w:b/>
          <w:color w:val="000000"/>
          <w:sz w:val="24"/>
        </w:rPr>
      </w:pPr>
      <w:r w:rsidRPr="00012C17">
        <w:rPr>
          <w:rFonts w:cs="Arial"/>
          <w:color w:val="000000"/>
          <w:sz w:val="24"/>
        </w:rPr>
        <w:t xml:space="preserve">By </w:t>
      </w:r>
      <w:r w:rsidR="003B5E1B" w:rsidRPr="00012C17">
        <w:rPr>
          <w:rFonts w:cs="Arial"/>
          <w:color w:val="000000"/>
          <w:sz w:val="24"/>
        </w:rPr>
        <w:t>Decision</w:t>
      </w:r>
      <w:r w:rsidR="00997A44" w:rsidRPr="00012C17">
        <w:rPr>
          <w:rFonts w:cs="Arial"/>
          <w:color w:val="000000"/>
          <w:sz w:val="24"/>
        </w:rPr>
        <w:t xml:space="preserve"> [AA. </w:t>
      </w:r>
      <w:r w:rsidRPr="00012C17">
        <w:rPr>
          <w:rFonts w:cs="Arial"/>
          <w:color w:val="000000"/>
          <w:sz w:val="24"/>
        </w:rPr>
        <w:t>No</w:t>
      </w:r>
      <w:r w:rsidR="00997A44" w:rsidRPr="00012C17">
        <w:rPr>
          <w:rFonts w:cs="Arial"/>
          <w:color w:val="000000"/>
          <w:sz w:val="24"/>
        </w:rPr>
        <w:t xml:space="preserve">. 52/2017] </w:t>
      </w:r>
      <w:r w:rsidRPr="00012C17">
        <w:rPr>
          <w:rFonts w:cs="Arial"/>
          <w:color w:val="000000"/>
          <w:sz w:val="24"/>
        </w:rPr>
        <w:t>of</w:t>
      </w:r>
      <w:r w:rsidR="00997A44" w:rsidRPr="00012C17">
        <w:rPr>
          <w:rFonts w:cs="Arial"/>
          <w:color w:val="000000"/>
          <w:sz w:val="24"/>
        </w:rPr>
        <w:t xml:space="preserve"> 25 </w:t>
      </w:r>
      <w:r w:rsidRPr="00012C17">
        <w:rPr>
          <w:rFonts w:cs="Arial"/>
          <w:color w:val="000000"/>
          <w:sz w:val="24"/>
        </w:rPr>
        <w:t>November</w:t>
      </w:r>
      <w:r w:rsidR="00997A44" w:rsidRPr="00012C17">
        <w:rPr>
          <w:rFonts w:cs="Arial"/>
          <w:color w:val="000000"/>
          <w:sz w:val="24"/>
        </w:rPr>
        <w:t xml:space="preserve"> 2017 </w:t>
      </w:r>
      <w:r w:rsidRPr="00012C17">
        <w:rPr>
          <w:rFonts w:cs="Arial"/>
          <w:color w:val="000000"/>
          <w:sz w:val="24"/>
        </w:rPr>
        <w:t>of the</w:t>
      </w:r>
      <w:r w:rsidR="00997A44" w:rsidRPr="00012C17">
        <w:rPr>
          <w:rFonts w:cs="Arial"/>
          <w:color w:val="000000"/>
          <w:sz w:val="24"/>
        </w:rPr>
        <w:t xml:space="preserve"> Supreme </w:t>
      </w:r>
      <w:r w:rsidRPr="00012C17">
        <w:rPr>
          <w:rFonts w:cs="Arial"/>
          <w:color w:val="000000"/>
          <w:sz w:val="24"/>
        </w:rPr>
        <w:t xml:space="preserve">Court </w:t>
      </w:r>
      <w:r w:rsidR="00997A44" w:rsidRPr="00012C17">
        <w:rPr>
          <w:rFonts w:cs="Arial"/>
          <w:color w:val="000000"/>
          <w:sz w:val="24"/>
        </w:rPr>
        <w:t>(</w:t>
      </w:r>
      <w:r w:rsidRPr="00012C17">
        <w:rPr>
          <w:rFonts w:cs="Arial"/>
          <w:color w:val="000000"/>
          <w:sz w:val="24"/>
        </w:rPr>
        <w:t>hereinafter</w:t>
      </w:r>
      <w:r w:rsidR="00997A44" w:rsidRPr="00012C17">
        <w:rPr>
          <w:rFonts w:cs="Arial"/>
          <w:color w:val="000000"/>
          <w:sz w:val="24"/>
        </w:rPr>
        <w:t xml:space="preserve">: </w:t>
      </w:r>
      <w:r w:rsidRPr="00012C17">
        <w:rPr>
          <w:rFonts w:cs="Arial"/>
          <w:color w:val="000000"/>
          <w:sz w:val="24"/>
        </w:rPr>
        <w:t xml:space="preserve">First </w:t>
      </w:r>
      <w:r w:rsidRPr="00012C17">
        <w:rPr>
          <w:bCs/>
          <w:iCs/>
          <w:color w:val="000000"/>
          <w:sz w:val="24"/>
        </w:rPr>
        <w:t>Decision</w:t>
      </w:r>
      <w:r w:rsidRPr="00012C17">
        <w:rPr>
          <w:rFonts w:cs="Arial"/>
          <w:color w:val="000000"/>
          <w:sz w:val="24"/>
        </w:rPr>
        <w:t xml:space="preserve"> of the </w:t>
      </w:r>
      <w:r w:rsidR="00997A44" w:rsidRPr="00012C17">
        <w:rPr>
          <w:rFonts w:cs="Arial"/>
          <w:color w:val="000000"/>
          <w:sz w:val="24"/>
        </w:rPr>
        <w:t>Supreme</w:t>
      </w:r>
      <w:r w:rsidRPr="00012C17">
        <w:rPr>
          <w:rFonts w:cs="Arial"/>
          <w:color w:val="000000"/>
          <w:sz w:val="24"/>
        </w:rPr>
        <w:t xml:space="preserve"> Court</w:t>
      </w:r>
      <w:r w:rsidR="00997A44" w:rsidRPr="00012C17">
        <w:rPr>
          <w:rFonts w:cs="Arial"/>
          <w:color w:val="000000"/>
          <w:sz w:val="24"/>
        </w:rPr>
        <w:t xml:space="preserve">) </w:t>
      </w:r>
      <w:r w:rsidRPr="00012C17">
        <w:rPr>
          <w:rFonts w:cs="Arial"/>
          <w:color w:val="000000"/>
          <w:sz w:val="24"/>
        </w:rPr>
        <w:t>the appeal of the political entity</w:t>
      </w:r>
      <w:r w:rsidR="00997A44" w:rsidRPr="00012C17">
        <w:rPr>
          <w:rFonts w:cs="Arial"/>
          <w:color w:val="000000"/>
          <w:sz w:val="24"/>
        </w:rPr>
        <w:t xml:space="preserve"> </w:t>
      </w:r>
      <w:r w:rsidR="00F05E0A" w:rsidRPr="00012C17">
        <w:rPr>
          <w:rFonts w:cs="Arial"/>
          <w:color w:val="000000"/>
          <w:sz w:val="24"/>
        </w:rPr>
        <w:t>VETËVENDOSJE! Movement</w:t>
      </w:r>
      <w:r w:rsidRPr="00012C17">
        <w:rPr>
          <w:rFonts w:cs="Arial"/>
          <w:color w:val="000000"/>
          <w:sz w:val="24"/>
        </w:rPr>
        <w:t xml:space="preserve"> </w:t>
      </w:r>
      <w:r w:rsidR="00C460AD" w:rsidRPr="00012C17">
        <w:rPr>
          <w:rFonts w:cs="Arial"/>
          <w:color w:val="000000"/>
          <w:sz w:val="24"/>
        </w:rPr>
        <w:t xml:space="preserve">was approved as grounded </w:t>
      </w:r>
      <w:r w:rsidRPr="00012C17">
        <w:rPr>
          <w:rFonts w:cs="Arial"/>
          <w:color w:val="000000"/>
          <w:sz w:val="24"/>
        </w:rPr>
        <w:t>and</w:t>
      </w:r>
      <w:r w:rsidR="00997A44" w:rsidRPr="00012C17">
        <w:rPr>
          <w:rFonts w:cs="Arial"/>
          <w:color w:val="000000"/>
          <w:sz w:val="24"/>
        </w:rPr>
        <w:t xml:space="preserve"> </w:t>
      </w:r>
      <w:r w:rsidRPr="00012C17">
        <w:rPr>
          <w:rFonts w:cs="Arial"/>
          <w:color w:val="000000"/>
          <w:sz w:val="24"/>
        </w:rPr>
        <w:t>Decision</w:t>
      </w:r>
      <w:r w:rsidR="00997A44" w:rsidRPr="00012C17">
        <w:rPr>
          <w:rFonts w:cs="Arial"/>
          <w:color w:val="000000"/>
          <w:sz w:val="24"/>
        </w:rPr>
        <w:t xml:space="preserve"> [ZL.</w:t>
      </w:r>
      <w:r w:rsidRPr="00012C17">
        <w:rPr>
          <w:rFonts w:cs="Arial"/>
          <w:color w:val="000000"/>
          <w:sz w:val="24"/>
        </w:rPr>
        <w:t xml:space="preserve"> </w:t>
      </w:r>
      <w:r w:rsidR="00997A44" w:rsidRPr="00012C17">
        <w:rPr>
          <w:rFonts w:cs="Arial"/>
          <w:color w:val="000000"/>
          <w:sz w:val="24"/>
        </w:rPr>
        <w:t>A.</w:t>
      </w:r>
      <w:r w:rsidRPr="00012C17">
        <w:rPr>
          <w:rFonts w:cs="Arial"/>
          <w:color w:val="000000"/>
          <w:sz w:val="24"/>
        </w:rPr>
        <w:t xml:space="preserve"> No</w:t>
      </w:r>
      <w:r w:rsidR="00997A44" w:rsidRPr="00012C17">
        <w:rPr>
          <w:rFonts w:cs="Arial"/>
          <w:color w:val="000000"/>
          <w:sz w:val="24"/>
        </w:rPr>
        <w:t>.</w:t>
      </w:r>
      <w:r w:rsidRPr="00012C17">
        <w:rPr>
          <w:rFonts w:cs="Arial"/>
          <w:color w:val="000000"/>
          <w:sz w:val="24"/>
        </w:rPr>
        <w:t xml:space="preserve"> </w:t>
      </w:r>
      <w:r w:rsidR="00997A44" w:rsidRPr="00012C17">
        <w:rPr>
          <w:rFonts w:cs="Arial"/>
          <w:color w:val="000000"/>
          <w:sz w:val="24"/>
        </w:rPr>
        <w:t xml:space="preserve">1102/2017] </w:t>
      </w:r>
      <w:r w:rsidRPr="00012C17">
        <w:rPr>
          <w:rFonts w:cs="Arial"/>
          <w:color w:val="000000"/>
          <w:sz w:val="24"/>
        </w:rPr>
        <w:t>of</w:t>
      </w:r>
      <w:r w:rsidR="00997A44" w:rsidRPr="00012C17">
        <w:rPr>
          <w:rFonts w:cs="Arial"/>
          <w:color w:val="000000"/>
          <w:sz w:val="24"/>
        </w:rPr>
        <w:t xml:space="preserve"> 22 </w:t>
      </w:r>
      <w:r w:rsidRPr="00012C17">
        <w:rPr>
          <w:rFonts w:cs="Arial"/>
          <w:color w:val="000000"/>
          <w:sz w:val="24"/>
        </w:rPr>
        <w:t>November</w:t>
      </w:r>
      <w:r w:rsidR="00997A44" w:rsidRPr="00012C17">
        <w:rPr>
          <w:rFonts w:cs="Arial"/>
          <w:color w:val="000000"/>
          <w:sz w:val="24"/>
        </w:rPr>
        <w:t xml:space="preserve"> 2017 </w:t>
      </w:r>
      <w:r w:rsidRPr="00012C17">
        <w:rPr>
          <w:rFonts w:cs="Arial"/>
          <w:color w:val="000000"/>
          <w:sz w:val="24"/>
        </w:rPr>
        <w:t>of the Election Complaints and Appeals Panel</w:t>
      </w:r>
      <w:r w:rsidR="00567298" w:rsidRPr="00012C17">
        <w:rPr>
          <w:rFonts w:cs="Arial"/>
          <w:color w:val="000000"/>
          <w:sz w:val="24"/>
        </w:rPr>
        <w:t xml:space="preserve"> (</w:t>
      </w:r>
      <w:r w:rsidRPr="00012C17">
        <w:rPr>
          <w:rFonts w:cs="Arial"/>
          <w:color w:val="000000"/>
          <w:sz w:val="24"/>
        </w:rPr>
        <w:t>hereinafter</w:t>
      </w:r>
      <w:r w:rsidR="00567298" w:rsidRPr="00012C17">
        <w:rPr>
          <w:rFonts w:cs="Arial"/>
          <w:color w:val="000000"/>
          <w:sz w:val="24"/>
        </w:rPr>
        <w:t xml:space="preserve">: </w:t>
      </w:r>
      <w:r w:rsidRPr="00012C17">
        <w:rPr>
          <w:rFonts w:cs="Arial"/>
          <w:color w:val="000000"/>
          <w:sz w:val="24"/>
        </w:rPr>
        <w:t>the ECAP</w:t>
      </w:r>
      <w:r w:rsidR="00567298" w:rsidRPr="00012C17">
        <w:rPr>
          <w:rFonts w:cs="Arial"/>
          <w:color w:val="000000"/>
          <w:sz w:val="24"/>
        </w:rPr>
        <w:t>)</w:t>
      </w:r>
      <w:r w:rsidR="00443628" w:rsidRPr="00012C17">
        <w:rPr>
          <w:rFonts w:cs="Arial"/>
          <w:color w:val="000000"/>
          <w:sz w:val="24"/>
        </w:rPr>
        <w:t xml:space="preserve"> was modified</w:t>
      </w:r>
      <w:r w:rsidR="00997A44" w:rsidRPr="00012C17">
        <w:rPr>
          <w:rFonts w:cs="Arial"/>
          <w:color w:val="000000"/>
          <w:sz w:val="24"/>
        </w:rPr>
        <w:t xml:space="preserve">, </w:t>
      </w:r>
      <w:r w:rsidR="00443628" w:rsidRPr="00012C17">
        <w:rPr>
          <w:rFonts w:cs="Arial"/>
          <w:color w:val="000000"/>
          <w:sz w:val="24"/>
        </w:rPr>
        <w:t>in which the party to the proceedings was only the political entity</w:t>
      </w:r>
      <w:r w:rsidR="00997A44" w:rsidRPr="00012C17">
        <w:rPr>
          <w:rFonts w:cs="Arial"/>
          <w:color w:val="000000"/>
          <w:sz w:val="24"/>
        </w:rPr>
        <w:t xml:space="preserve"> LDK, </w:t>
      </w:r>
      <w:r w:rsidR="00443628" w:rsidRPr="00012C17">
        <w:rPr>
          <w:rFonts w:cs="Arial"/>
          <w:color w:val="000000"/>
          <w:sz w:val="24"/>
        </w:rPr>
        <w:t>namely the second Applicant</w:t>
      </w:r>
      <w:r w:rsidR="00997A44" w:rsidRPr="00012C17">
        <w:rPr>
          <w:rFonts w:cs="Arial"/>
          <w:color w:val="000000"/>
          <w:sz w:val="24"/>
        </w:rPr>
        <w:t xml:space="preserve">; </w:t>
      </w:r>
      <w:r w:rsidR="00443628" w:rsidRPr="00012C17">
        <w:rPr>
          <w:rFonts w:cs="Arial"/>
          <w:color w:val="000000"/>
          <w:sz w:val="24"/>
        </w:rPr>
        <w:t>whereas</w:t>
      </w:r>
      <w:r w:rsidR="00752325" w:rsidRPr="00012C17">
        <w:rPr>
          <w:rFonts w:cs="Arial"/>
          <w:color w:val="000000"/>
          <w:sz w:val="24"/>
        </w:rPr>
        <w:t>,</w:t>
      </w:r>
      <w:r w:rsidR="00997A44" w:rsidRPr="00012C17">
        <w:rPr>
          <w:rFonts w:cs="Arial"/>
          <w:color w:val="000000"/>
          <w:sz w:val="24"/>
        </w:rPr>
        <w:t xml:space="preserve"> </w:t>
      </w:r>
      <w:r w:rsidR="00443628" w:rsidRPr="00012C17">
        <w:rPr>
          <w:rFonts w:cs="Arial"/>
          <w:color w:val="000000"/>
          <w:sz w:val="24"/>
        </w:rPr>
        <w:t>Judgment</w:t>
      </w:r>
      <w:r w:rsidR="00A6162A" w:rsidRPr="00012C17">
        <w:rPr>
          <w:rFonts w:cs="Arial"/>
          <w:color w:val="000000"/>
          <w:sz w:val="24"/>
        </w:rPr>
        <w:t xml:space="preserve"> [A.A.</w:t>
      </w:r>
      <w:r w:rsidR="006634E8" w:rsidRPr="00012C17">
        <w:rPr>
          <w:rFonts w:cs="Arial"/>
          <w:color w:val="000000"/>
          <w:sz w:val="24"/>
        </w:rPr>
        <w:t xml:space="preserve"> </w:t>
      </w:r>
      <w:r w:rsidR="00A6162A" w:rsidRPr="00012C17">
        <w:rPr>
          <w:rFonts w:cs="Arial"/>
          <w:color w:val="000000"/>
          <w:sz w:val="24"/>
        </w:rPr>
        <w:t>U.ZH.</w:t>
      </w:r>
      <w:r w:rsidR="00443628" w:rsidRPr="00012C17">
        <w:rPr>
          <w:rFonts w:cs="Arial"/>
          <w:color w:val="000000"/>
          <w:sz w:val="24"/>
        </w:rPr>
        <w:t xml:space="preserve"> No</w:t>
      </w:r>
      <w:r w:rsidR="00A6162A" w:rsidRPr="00012C17">
        <w:rPr>
          <w:rFonts w:cs="Arial"/>
          <w:color w:val="000000"/>
          <w:sz w:val="24"/>
        </w:rPr>
        <w:t>.</w:t>
      </w:r>
      <w:r w:rsidR="00443628" w:rsidRPr="00012C17">
        <w:rPr>
          <w:rFonts w:cs="Arial"/>
          <w:color w:val="000000"/>
          <w:sz w:val="24"/>
        </w:rPr>
        <w:t xml:space="preserve"> </w:t>
      </w:r>
      <w:r w:rsidR="00A6162A" w:rsidRPr="00012C17">
        <w:rPr>
          <w:rFonts w:cs="Arial"/>
          <w:color w:val="000000"/>
          <w:sz w:val="24"/>
        </w:rPr>
        <w:t xml:space="preserve">62/2017] </w:t>
      </w:r>
      <w:r w:rsidR="00443628" w:rsidRPr="00012C17">
        <w:rPr>
          <w:rFonts w:cs="Arial"/>
          <w:color w:val="000000"/>
          <w:sz w:val="24"/>
        </w:rPr>
        <w:t>of</w:t>
      </w:r>
      <w:r w:rsidR="00A6162A" w:rsidRPr="00012C17">
        <w:rPr>
          <w:rFonts w:cs="Arial"/>
          <w:color w:val="000000"/>
          <w:sz w:val="24"/>
        </w:rPr>
        <w:t xml:space="preserve"> 7 </w:t>
      </w:r>
      <w:r w:rsidR="00443628" w:rsidRPr="00012C17">
        <w:rPr>
          <w:rFonts w:cs="Arial"/>
          <w:color w:val="000000"/>
          <w:sz w:val="24"/>
        </w:rPr>
        <w:t>December</w:t>
      </w:r>
      <w:r w:rsidR="00A6162A" w:rsidRPr="00012C17">
        <w:rPr>
          <w:rFonts w:cs="Arial"/>
          <w:color w:val="000000"/>
          <w:sz w:val="24"/>
        </w:rPr>
        <w:t xml:space="preserve"> 2017 </w:t>
      </w:r>
      <w:r w:rsidR="00443628" w:rsidRPr="00012C17">
        <w:rPr>
          <w:rFonts w:cs="Arial"/>
          <w:color w:val="000000"/>
          <w:sz w:val="24"/>
        </w:rPr>
        <w:t>of the Supreme Court</w:t>
      </w:r>
      <w:r w:rsidR="00A6162A" w:rsidRPr="00012C17">
        <w:rPr>
          <w:rFonts w:cs="Arial"/>
          <w:color w:val="000000"/>
          <w:sz w:val="24"/>
        </w:rPr>
        <w:t xml:space="preserve"> </w:t>
      </w:r>
      <w:r w:rsidR="00997A44" w:rsidRPr="00012C17">
        <w:rPr>
          <w:rFonts w:cs="Arial"/>
          <w:color w:val="000000"/>
          <w:sz w:val="24"/>
        </w:rPr>
        <w:t>(</w:t>
      </w:r>
      <w:r w:rsidR="00443628" w:rsidRPr="00012C17">
        <w:rPr>
          <w:rFonts w:cs="Arial"/>
          <w:color w:val="000000"/>
          <w:sz w:val="24"/>
        </w:rPr>
        <w:t>hereinafter</w:t>
      </w:r>
      <w:r w:rsidR="00997A44" w:rsidRPr="00012C17">
        <w:rPr>
          <w:rFonts w:cs="Arial"/>
          <w:color w:val="000000"/>
          <w:sz w:val="24"/>
        </w:rPr>
        <w:t xml:space="preserve">: </w:t>
      </w:r>
      <w:r w:rsidR="00443628" w:rsidRPr="00012C17">
        <w:rPr>
          <w:rFonts w:cs="Arial"/>
          <w:color w:val="000000"/>
          <w:sz w:val="24"/>
        </w:rPr>
        <w:t>Second Decision</w:t>
      </w:r>
      <w:r w:rsidR="00997A44" w:rsidRPr="00012C17">
        <w:rPr>
          <w:rFonts w:cs="Arial"/>
          <w:color w:val="000000"/>
          <w:sz w:val="24"/>
        </w:rPr>
        <w:t xml:space="preserve"> </w:t>
      </w:r>
      <w:r w:rsidR="00443628" w:rsidRPr="00012C17">
        <w:rPr>
          <w:rFonts w:cs="Arial"/>
          <w:color w:val="000000"/>
          <w:sz w:val="24"/>
        </w:rPr>
        <w:t>of the</w:t>
      </w:r>
      <w:r w:rsidR="00997A44" w:rsidRPr="00012C17">
        <w:rPr>
          <w:rFonts w:cs="Arial"/>
          <w:color w:val="000000"/>
          <w:sz w:val="24"/>
        </w:rPr>
        <w:t xml:space="preserve"> Supreme</w:t>
      </w:r>
      <w:r w:rsidR="00443628" w:rsidRPr="00012C17">
        <w:rPr>
          <w:rFonts w:cs="Arial"/>
          <w:color w:val="000000"/>
          <w:sz w:val="24"/>
        </w:rPr>
        <w:t xml:space="preserve"> Court</w:t>
      </w:r>
      <w:r w:rsidR="00997A44" w:rsidRPr="00012C17">
        <w:rPr>
          <w:rFonts w:cs="Arial"/>
          <w:color w:val="000000"/>
          <w:sz w:val="24"/>
        </w:rPr>
        <w:t xml:space="preserve">) </w:t>
      </w:r>
      <w:r w:rsidR="00443628" w:rsidRPr="00012C17">
        <w:rPr>
          <w:rFonts w:cs="Arial"/>
          <w:color w:val="000000"/>
          <w:sz w:val="24"/>
        </w:rPr>
        <w:t xml:space="preserve">rejected as ungrounded the appeal of </w:t>
      </w:r>
      <w:r w:rsidR="003B5E1B" w:rsidRPr="00012C17">
        <w:rPr>
          <w:rFonts w:cs="Arial"/>
          <w:color w:val="000000"/>
          <w:sz w:val="24"/>
        </w:rPr>
        <w:t>both</w:t>
      </w:r>
      <w:r w:rsidR="00443628" w:rsidRPr="00012C17">
        <w:rPr>
          <w:rFonts w:cs="Arial"/>
          <w:color w:val="000000"/>
          <w:sz w:val="24"/>
        </w:rPr>
        <w:t xml:space="preserve"> Applicants</w:t>
      </w:r>
      <w:r w:rsidR="00997A44" w:rsidRPr="00012C17">
        <w:rPr>
          <w:rFonts w:cs="Arial"/>
          <w:color w:val="000000"/>
          <w:sz w:val="24"/>
        </w:rPr>
        <w:t xml:space="preserve"> </w:t>
      </w:r>
      <w:r w:rsidR="00443628" w:rsidRPr="00012C17">
        <w:rPr>
          <w:rFonts w:cs="Arial"/>
          <w:color w:val="000000"/>
          <w:sz w:val="24"/>
        </w:rPr>
        <w:t>filed against</w:t>
      </w:r>
      <w:r w:rsidR="00A6162A" w:rsidRPr="00012C17">
        <w:rPr>
          <w:rFonts w:cs="Arial"/>
          <w:color w:val="000000"/>
          <w:sz w:val="24"/>
        </w:rPr>
        <w:t xml:space="preserve"> </w:t>
      </w:r>
      <w:r w:rsidR="00443628" w:rsidRPr="00012C17">
        <w:rPr>
          <w:rFonts w:cs="Arial"/>
          <w:color w:val="000000"/>
          <w:sz w:val="24"/>
        </w:rPr>
        <w:t>Decision</w:t>
      </w:r>
      <w:r w:rsidR="00A6162A" w:rsidRPr="00012C17">
        <w:rPr>
          <w:rFonts w:cs="Arial"/>
          <w:color w:val="000000"/>
          <w:sz w:val="24"/>
        </w:rPr>
        <w:t xml:space="preserve"> [ZL. A</w:t>
      </w:r>
      <w:r w:rsidR="003B5E1B" w:rsidRPr="00012C17">
        <w:rPr>
          <w:rFonts w:cs="Arial"/>
          <w:color w:val="000000"/>
          <w:sz w:val="24"/>
        </w:rPr>
        <w:t>no</w:t>
      </w:r>
      <w:r w:rsidR="00A6162A" w:rsidRPr="00012C17">
        <w:rPr>
          <w:rFonts w:cs="Arial"/>
          <w:color w:val="000000"/>
          <w:sz w:val="24"/>
        </w:rPr>
        <w:t xml:space="preserve">. 1125/2017] </w:t>
      </w:r>
      <w:r w:rsidR="00443628" w:rsidRPr="00012C17">
        <w:rPr>
          <w:rFonts w:cs="Arial"/>
          <w:color w:val="000000"/>
          <w:sz w:val="24"/>
        </w:rPr>
        <w:t>of</w:t>
      </w:r>
      <w:r w:rsidR="00A6162A" w:rsidRPr="00012C17">
        <w:rPr>
          <w:rFonts w:cs="Arial"/>
          <w:color w:val="000000"/>
          <w:sz w:val="24"/>
        </w:rPr>
        <w:t xml:space="preserve"> 1 </w:t>
      </w:r>
      <w:r w:rsidR="00443628" w:rsidRPr="00012C17">
        <w:rPr>
          <w:rFonts w:cs="Arial"/>
          <w:color w:val="000000"/>
          <w:sz w:val="24"/>
        </w:rPr>
        <w:t>December</w:t>
      </w:r>
      <w:r w:rsidR="00A6162A" w:rsidRPr="00012C17">
        <w:rPr>
          <w:rFonts w:cs="Arial"/>
          <w:color w:val="000000"/>
          <w:sz w:val="24"/>
        </w:rPr>
        <w:t xml:space="preserve"> 2017 </w:t>
      </w:r>
      <w:r w:rsidR="00443628" w:rsidRPr="00012C17">
        <w:rPr>
          <w:rFonts w:cs="Arial"/>
          <w:color w:val="000000"/>
          <w:sz w:val="24"/>
        </w:rPr>
        <w:t>of</w:t>
      </w:r>
      <w:r w:rsidR="00A6162A" w:rsidRPr="00012C17">
        <w:rPr>
          <w:rFonts w:cs="Arial"/>
          <w:color w:val="000000"/>
          <w:sz w:val="24"/>
        </w:rPr>
        <w:t xml:space="preserve"> </w:t>
      </w:r>
      <w:r w:rsidR="003B5E1B" w:rsidRPr="00012C17">
        <w:rPr>
          <w:rFonts w:cs="Arial"/>
          <w:color w:val="000000"/>
          <w:sz w:val="24"/>
        </w:rPr>
        <w:t xml:space="preserve">the </w:t>
      </w:r>
      <w:r w:rsidR="00443628" w:rsidRPr="00012C17">
        <w:rPr>
          <w:rFonts w:cs="Arial"/>
          <w:color w:val="000000"/>
          <w:sz w:val="24"/>
        </w:rPr>
        <w:t>ECAP</w:t>
      </w:r>
      <w:r w:rsidR="00997A44" w:rsidRPr="00012C17">
        <w:rPr>
          <w:rFonts w:cs="Arial"/>
          <w:color w:val="000000"/>
          <w:sz w:val="24"/>
        </w:rPr>
        <w:t>.</w:t>
      </w:r>
    </w:p>
    <w:p w:rsidR="00A6162A" w:rsidRPr="00012C17" w:rsidRDefault="00A6162A" w:rsidP="001B11C5">
      <w:pPr>
        <w:spacing w:line="240" w:lineRule="auto"/>
        <w:rPr>
          <w:rFonts w:cs="Arial"/>
          <w:b/>
          <w:color w:val="000000"/>
          <w:sz w:val="24"/>
        </w:rPr>
      </w:pPr>
    </w:p>
    <w:p w:rsidR="00443628" w:rsidRPr="00012C17" w:rsidRDefault="00443628" w:rsidP="001B11C5">
      <w:pPr>
        <w:spacing w:line="240" w:lineRule="auto"/>
        <w:jc w:val="left"/>
        <w:rPr>
          <w:b/>
          <w:color w:val="000000"/>
          <w:sz w:val="24"/>
        </w:rPr>
      </w:pPr>
      <w:r w:rsidRPr="00012C17">
        <w:rPr>
          <w:b/>
          <w:color w:val="000000"/>
          <w:sz w:val="24"/>
        </w:rPr>
        <w:t>Subject matter</w:t>
      </w:r>
    </w:p>
    <w:p w:rsidR="00A6162A" w:rsidRPr="00012C17" w:rsidRDefault="00A6162A" w:rsidP="001B11C5">
      <w:pPr>
        <w:spacing w:line="240" w:lineRule="auto"/>
        <w:rPr>
          <w:rFonts w:cs="Arial"/>
          <w:b/>
          <w:color w:val="000000"/>
          <w:sz w:val="24"/>
        </w:rPr>
      </w:pPr>
    </w:p>
    <w:p w:rsidR="00A6162A" w:rsidRPr="00012C17" w:rsidRDefault="00443628" w:rsidP="001B11C5">
      <w:pPr>
        <w:numPr>
          <w:ilvl w:val="0"/>
          <w:numId w:val="1"/>
        </w:numPr>
        <w:spacing w:line="240" w:lineRule="auto"/>
        <w:ind w:left="630" w:hanging="630"/>
        <w:rPr>
          <w:color w:val="000000"/>
          <w:sz w:val="24"/>
        </w:rPr>
      </w:pPr>
      <w:r w:rsidRPr="00012C17">
        <w:rPr>
          <w:bCs/>
          <w:color w:val="000000"/>
          <w:sz w:val="24"/>
        </w:rPr>
        <w:t xml:space="preserve">The subject matter </w:t>
      </w:r>
      <w:r w:rsidRPr="00012C17">
        <w:rPr>
          <w:color w:val="000000"/>
          <w:sz w:val="24"/>
        </w:rPr>
        <w:t>is the constitutional review of the aforementioned decisions</w:t>
      </w:r>
      <w:r w:rsidR="00A6162A" w:rsidRPr="00012C17">
        <w:rPr>
          <w:color w:val="000000"/>
          <w:sz w:val="24"/>
        </w:rPr>
        <w:t xml:space="preserve">, </w:t>
      </w:r>
      <w:r w:rsidRPr="00012C17">
        <w:rPr>
          <w:color w:val="000000"/>
          <w:sz w:val="24"/>
        </w:rPr>
        <w:t>which</w:t>
      </w:r>
      <w:r w:rsidR="00A6162A" w:rsidRPr="00012C17">
        <w:rPr>
          <w:color w:val="000000"/>
          <w:sz w:val="24"/>
        </w:rPr>
        <w:t xml:space="preserve">, </w:t>
      </w:r>
      <w:r w:rsidR="003B5E1B" w:rsidRPr="00012C17">
        <w:rPr>
          <w:rFonts w:cs="Arial"/>
          <w:color w:val="000000"/>
          <w:sz w:val="24"/>
        </w:rPr>
        <w:t>allegedly</w:t>
      </w:r>
      <w:r w:rsidR="003B5E1B" w:rsidRPr="00012C17">
        <w:rPr>
          <w:color w:val="000000"/>
          <w:sz w:val="24"/>
        </w:rPr>
        <w:t xml:space="preserve"> </w:t>
      </w:r>
      <w:r w:rsidR="003B5E1B" w:rsidRPr="00012C17">
        <w:rPr>
          <w:rFonts w:cs="Arial"/>
          <w:color w:val="000000"/>
          <w:sz w:val="24"/>
        </w:rPr>
        <w:t>violate</w:t>
      </w:r>
      <w:r w:rsidRPr="00012C17">
        <w:rPr>
          <w:color w:val="000000"/>
          <w:sz w:val="24"/>
        </w:rPr>
        <w:t xml:space="preserve"> the Applicants’ rights</w:t>
      </w:r>
      <w:r w:rsidR="00A6162A" w:rsidRPr="00012C17">
        <w:rPr>
          <w:color w:val="000000"/>
          <w:sz w:val="24"/>
        </w:rPr>
        <w:t xml:space="preserve"> </w:t>
      </w:r>
      <w:r w:rsidRPr="00012C17">
        <w:rPr>
          <w:color w:val="000000"/>
          <w:sz w:val="24"/>
        </w:rPr>
        <w:t>guaranteed by Article</w:t>
      </w:r>
      <w:r w:rsidR="00A6162A" w:rsidRPr="00012C17">
        <w:rPr>
          <w:color w:val="000000"/>
          <w:sz w:val="24"/>
        </w:rPr>
        <w:t xml:space="preserve"> 45 [</w:t>
      </w:r>
      <w:r w:rsidRPr="00012C17">
        <w:rPr>
          <w:color w:val="000000"/>
          <w:sz w:val="24"/>
        </w:rPr>
        <w:t>Freedom of Election and Participation</w:t>
      </w:r>
      <w:r w:rsidR="00A6162A" w:rsidRPr="00012C17">
        <w:rPr>
          <w:color w:val="000000"/>
          <w:sz w:val="24"/>
        </w:rPr>
        <w:t xml:space="preserve">] </w:t>
      </w:r>
      <w:r w:rsidRPr="00012C17">
        <w:rPr>
          <w:color w:val="000000"/>
          <w:sz w:val="24"/>
        </w:rPr>
        <w:t>and Article</w:t>
      </w:r>
      <w:r w:rsidR="00A6162A" w:rsidRPr="00012C17">
        <w:rPr>
          <w:color w:val="000000"/>
          <w:sz w:val="24"/>
        </w:rPr>
        <w:t xml:space="preserve"> 54 [</w:t>
      </w:r>
      <w:r w:rsidRPr="00012C17">
        <w:rPr>
          <w:color w:val="000000"/>
          <w:sz w:val="24"/>
        </w:rPr>
        <w:t>Judicial Protection of Rights</w:t>
      </w:r>
      <w:r w:rsidR="00A6162A" w:rsidRPr="00012C17">
        <w:rPr>
          <w:color w:val="000000"/>
          <w:sz w:val="24"/>
        </w:rPr>
        <w:t xml:space="preserve">] </w:t>
      </w:r>
      <w:r w:rsidRPr="00012C17">
        <w:rPr>
          <w:color w:val="000000"/>
          <w:sz w:val="24"/>
        </w:rPr>
        <w:t>of the Constitution of the Republic of Kosovo</w:t>
      </w:r>
      <w:r w:rsidR="00A6162A" w:rsidRPr="00012C17">
        <w:rPr>
          <w:color w:val="000000"/>
          <w:sz w:val="24"/>
        </w:rPr>
        <w:t xml:space="preserve"> (</w:t>
      </w:r>
      <w:r w:rsidRPr="00012C17">
        <w:rPr>
          <w:color w:val="000000"/>
          <w:sz w:val="24"/>
        </w:rPr>
        <w:t>hereinafter</w:t>
      </w:r>
      <w:r w:rsidR="00A6162A" w:rsidRPr="00012C17">
        <w:rPr>
          <w:color w:val="000000"/>
          <w:sz w:val="24"/>
        </w:rPr>
        <w:t xml:space="preserve">: </w:t>
      </w:r>
      <w:r w:rsidRPr="00012C17">
        <w:rPr>
          <w:color w:val="000000"/>
          <w:sz w:val="24"/>
        </w:rPr>
        <w:t>the Constitution</w:t>
      </w:r>
      <w:r w:rsidR="00A6162A" w:rsidRPr="00012C17">
        <w:rPr>
          <w:color w:val="000000"/>
          <w:sz w:val="24"/>
        </w:rPr>
        <w:t>).</w:t>
      </w:r>
    </w:p>
    <w:p w:rsidR="00A6162A" w:rsidRPr="00012C17" w:rsidRDefault="00A6162A" w:rsidP="001B11C5">
      <w:pPr>
        <w:spacing w:line="240" w:lineRule="auto"/>
        <w:rPr>
          <w:rFonts w:cs="Arial"/>
          <w:b/>
          <w:color w:val="000000"/>
          <w:sz w:val="24"/>
        </w:rPr>
      </w:pPr>
    </w:p>
    <w:p w:rsidR="007A7272" w:rsidRPr="00012C17" w:rsidRDefault="007A7272" w:rsidP="001B11C5">
      <w:pPr>
        <w:spacing w:line="240" w:lineRule="auto"/>
        <w:rPr>
          <w:b/>
          <w:color w:val="000000"/>
          <w:sz w:val="24"/>
        </w:rPr>
      </w:pPr>
      <w:r w:rsidRPr="00012C17">
        <w:rPr>
          <w:b/>
          <w:color w:val="000000"/>
          <w:sz w:val="24"/>
        </w:rPr>
        <w:t>Legal basis</w:t>
      </w:r>
    </w:p>
    <w:p w:rsidR="00A6162A" w:rsidRPr="00012C17" w:rsidRDefault="00A6162A" w:rsidP="001B11C5">
      <w:pPr>
        <w:spacing w:line="240" w:lineRule="auto"/>
        <w:ind w:left="630"/>
        <w:rPr>
          <w:rFonts w:cs="Arial"/>
          <w:color w:val="000000"/>
          <w:sz w:val="24"/>
        </w:rPr>
      </w:pPr>
    </w:p>
    <w:p w:rsidR="00A6162A" w:rsidRPr="00012C17" w:rsidRDefault="007A7272" w:rsidP="001B11C5">
      <w:pPr>
        <w:numPr>
          <w:ilvl w:val="0"/>
          <w:numId w:val="1"/>
        </w:numPr>
        <w:spacing w:line="240" w:lineRule="auto"/>
        <w:ind w:left="630" w:hanging="630"/>
        <w:rPr>
          <w:rFonts w:cs="Arial"/>
          <w:color w:val="000000"/>
          <w:sz w:val="24"/>
        </w:rPr>
      </w:pPr>
      <w:r w:rsidRPr="00012C17">
        <w:rPr>
          <w:color w:val="000000"/>
          <w:sz w:val="24"/>
        </w:rPr>
        <w:t xml:space="preserve">The Referral is based on paragraph </w:t>
      </w:r>
      <w:r w:rsidR="00A6162A" w:rsidRPr="00012C17">
        <w:rPr>
          <w:rFonts w:cs="Arial"/>
          <w:color w:val="000000"/>
          <w:sz w:val="24"/>
        </w:rPr>
        <w:t xml:space="preserve">4 </w:t>
      </w:r>
      <w:r w:rsidRPr="00012C17">
        <w:rPr>
          <w:color w:val="000000"/>
          <w:sz w:val="24"/>
        </w:rPr>
        <w:t xml:space="preserve">of Article </w:t>
      </w:r>
      <w:r w:rsidR="00A6162A" w:rsidRPr="00012C17">
        <w:rPr>
          <w:rFonts w:cs="Arial"/>
          <w:color w:val="000000"/>
          <w:sz w:val="24"/>
        </w:rPr>
        <w:t>21 [</w:t>
      </w:r>
      <w:r w:rsidRPr="00012C17">
        <w:rPr>
          <w:rFonts w:cs="Arial"/>
          <w:color w:val="000000"/>
          <w:sz w:val="24"/>
        </w:rPr>
        <w:t>General Principles</w:t>
      </w:r>
      <w:r w:rsidR="00A6162A" w:rsidRPr="00012C17">
        <w:rPr>
          <w:rFonts w:cs="Arial"/>
          <w:color w:val="000000"/>
          <w:sz w:val="24"/>
        </w:rPr>
        <w:t xml:space="preserve">] </w:t>
      </w:r>
      <w:r w:rsidRPr="00012C17">
        <w:rPr>
          <w:rFonts w:cs="Arial"/>
          <w:color w:val="000000"/>
          <w:sz w:val="24"/>
        </w:rPr>
        <w:t>and</w:t>
      </w:r>
      <w:r w:rsidR="00A6162A" w:rsidRPr="00012C17">
        <w:rPr>
          <w:rFonts w:cs="Arial"/>
          <w:color w:val="000000"/>
          <w:sz w:val="24"/>
        </w:rPr>
        <w:t xml:space="preserve"> </w:t>
      </w:r>
      <w:r w:rsidRPr="00012C17">
        <w:rPr>
          <w:color w:val="000000"/>
          <w:sz w:val="24"/>
        </w:rPr>
        <w:t xml:space="preserve">paragraph 7 of </w:t>
      </w:r>
      <w:r w:rsidRPr="00012C17">
        <w:rPr>
          <w:rFonts w:cs="Arial"/>
          <w:color w:val="000000"/>
          <w:sz w:val="24"/>
        </w:rPr>
        <w:t>Article</w:t>
      </w:r>
      <w:r w:rsidRPr="00012C17">
        <w:rPr>
          <w:color w:val="000000"/>
          <w:sz w:val="24"/>
        </w:rPr>
        <w:t xml:space="preserve"> 113 [Jurisdiction and Authorized Parties] of the Constitution</w:t>
      </w:r>
      <w:r w:rsidR="00A6162A" w:rsidRPr="00012C17">
        <w:rPr>
          <w:rFonts w:cs="Arial"/>
          <w:color w:val="000000"/>
          <w:sz w:val="24"/>
        </w:rPr>
        <w:t xml:space="preserve">, </w:t>
      </w:r>
      <w:r w:rsidRPr="00012C17">
        <w:rPr>
          <w:rFonts w:cs="Arial"/>
          <w:color w:val="000000"/>
          <w:sz w:val="24"/>
        </w:rPr>
        <w:t>Article</w:t>
      </w:r>
      <w:r w:rsidR="00A6162A" w:rsidRPr="00012C17">
        <w:rPr>
          <w:rFonts w:cs="Arial"/>
          <w:color w:val="000000"/>
          <w:sz w:val="24"/>
        </w:rPr>
        <w:t xml:space="preserve"> 47 [</w:t>
      </w:r>
      <w:r w:rsidRPr="00012C17">
        <w:rPr>
          <w:rFonts w:cs="Arial"/>
          <w:color w:val="000000"/>
          <w:sz w:val="24"/>
        </w:rPr>
        <w:t>Individual Requests</w:t>
      </w:r>
      <w:r w:rsidR="00A6162A" w:rsidRPr="00012C17">
        <w:rPr>
          <w:rFonts w:cs="Arial"/>
          <w:color w:val="000000"/>
          <w:sz w:val="24"/>
        </w:rPr>
        <w:t xml:space="preserve">] </w:t>
      </w:r>
      <w:r w:rsidRPr="00012C17">
        <w:rPr>
          <w:color w:val="000000"/>
          <w:sz w:val="24"/>
        </w:rPr>
        <w:t xml:space="preserve">of the Law No. 03/L-121 on the Constitutional </w:t>
      </w:r>
      <w:r w:rsidR="003B5E1B" w:rsidRPr="00012C17">
        <w:rPr>
          <w:color w:val="000000"/>
          <w:sz w:val="24"/>
        </w:rPr>
        <w:t>Court of the Republic of Kosovo</w:t>
      </w:r>
      <w:r w:rsidRPr="00012C17">
        <w:rPr>
          <w:color w:val="000000"/>
          <w:sz w:val="24"/>
        </w:rPr>
        <w:t xml:space="preserve"> (hereinafter: the Law) and Rule</w:t>
      </w:r>
      <w:r w:rsidR="00A6162A" w:rsidRPr="00012C17">
        <w:rPr>
          <w:rFonts w:cs="Arial"/>
          <w:color w:val="000000"/>
          <w:sz w:val="24"/>
        </w:rPr>
        <w:t xml:space="preserve"> 32 [</w:t>
      </w:r>
      <w:r w:rsidRPr="00012C17">
        <w:rPr>
          <w:rFonts w:cs="Arial"/>
          <w:color w:val="000000"/>
          <w:sz w:val="24"/>
        </w:rPr>
        <w:t>Filing of Referrals and Replies</w:t>
      </w:r>
      <w:r w:rsidR="00A6162A" w:rsidRPr="00012C17">
        <w:rPr>
          <w:rFonts w:cs="Arial"/>
          <w:color w:val="000000"/>
          <w:sz w:val="24"/>
        </w:rPr>
        <w:t xml:space="preserve">] </w:t>
      </w:r>
      <w:r w:rsidRPr="00012C17">
        <w:rPr>
          <w:color w:val="000000"/>
          <w:sz w:val="24"/>
        </w:rPr>
        <w:t>of the Rules of Procedure of the Constitutional Court of the Republic of Kosovo (hereinafter: the Rules of Procedure</w:t>
      </w:r>
      <w:r w:rsidR="00A6162A" w:rsidRPr="00012C17">
        <w:rPr>
          <w:rFonts w:cs="Arial"/>
          <w:color w:val="000000"/>
          <w:sz w:val="24"/>
        </w:rPr>
        <w:t xml:space="preserve">). </w:t>
      </w:r>
    </w:p>
    <w:p w:rsidR="00A6162A" w:rsidRPr="00012C17" w:rsidRDefault="00A6162A" w:rsidP="001B11C5">
      <w:pPr>
        <w:spacing w:line="240" w:lineRule="auto"/>
        <w:ind w:left="630"/>
        <w:rPr>
          <w:rFonts w:cs="Arial"/>
          <w:color w:val="000000"/>
          <w:sz w:val="24"/>
        </w:rPr>
      </w:pPr>
    </w:p>
    <w:p w:rsidR="00567298" w:rsidRPr="00012C17" w:rsidRDefault="000623F8" w:rsidP="001B11C5">
      <w:pPr>
        <w:numPr>
          <w:ilvl w:val="0"/>
          <w:numId w:val="1"/>
        </w:numPr>
        <w:spacing w:line="240" w:lineRule="auto"/>
        <w:ind w:left="630" w:hanging="630"/>
        <w:rPr>
          <w:color w:val="000000"/>
          <w:sz w:val="24"/>
        </w:rPr>
      </w:pPr>
      <w:r w:rsidRPr="00012C17">
        <w:rPr>
          <w:color w:val="000000"/>
          <w:sz w:val="24"/>
        </w:rPr>
        <w:t xml:space="preserve">On 31 May 2018, the Constitutional Court of the Republic of Kosovo (hereinafter: the </w:t>
      </w:r>
      <w:r w:rsidRPr="00012C17">
        <w:rPr>
          <w:rFonts w:cs="Arial"/>
          <w:color w:val="000000"/>
          <w:sz w:val="24"/>
        </w:rPr>
        <w:t>Court</w:t>
      </w:r>
      <w:r w:rsidRPr="00012C17">
        <w:rPr>
          <w:color w:val="000000"/>
          <w:sz w:val="24"/>
        </w:rPr>
        <w:t xml:space="preserve">) adopted in the administrative session the amendments and supplementation to the Rules of </w:t>
      </w:r>
      <w:r w:rsidRPr="00012C17">
        <w:rPr>
          <w:rFonts w:cs="Arial"/>
          <w:color w:val="000000"/>
          <w:sz w:val="24"/>
        </w:rPr>
        <w:t>Procedure</w:t>
      </w:r>
      <w:r w:rsidRPr="00012C17">
        <w:rPr>
          <w:color w:val="000000"/>
          <w:sz w:val="24"/>
        </w:rPr>
        <w:t>, which was published in the Official Gazette of the Republic of Kosovo on 21 June 2018 and entered into force 15 days after its publication. Accordingly, in reviewing the Referral, the Court refers to the legal provisions of the new Rules of Procedure in force</w:t>
      </w:r>
      <w:r w:rsidR="00A6162A" w:rsidRPr="00012C17">
        <w:rPr>
          <w:color w:val="000000"/>
          <w:sz w:val="24"/>
        </w:rPr>
        <w:t>.</w:t>
      </w:r>
    </w:p>
    <w:p w:rsidR="009D0BAA" w:rsidRPr="00012C17" w:rsidRDefault="009D0BAA" w:rsidP="001B11C5">
      <w:pPr>
        <w:pStyle w:val="ListParagraph"/>
        <w:spacing w:after="0" w:line="240" w:lineRule="auto"/>
        <w:rPr>
          <w:rFonts w:ascii="Georgia" w:hAnsi="Georgia"/>
          <w:color w:val="000000"/>
          <w:sz w:val="24"/>
          <w:szCs w:val="24"/>
          <w:lang w:val="en-US"/>
        </w:rPr>
      </w:pPr>
    </w:p>
    <w:p w:rsidR="000623F8" w:rsidRPr="00012C17" w:rsidRDefault="000623F8" w:rsidP="001B11C5">
      <w:pPr>
        <w:tabs>
          <w:tab w:val="left" w:pos="630"/>
        </w:tabs>
        <w:spacing w:line="240" w:lineRule="auto"/>
        <w:rPr>
          <w:b/>
          <w:bCs/>
          <w:color w:val="000000"/>
          <w:sz w:val="24"/>
        </w:rPr>
      </w:pPr>
      <w:r w:rsidRPr="00012C17">
        <w:rPr>
          <w:b/>
          <w:bCs/>
          <w:color w:val="000000"/>
          <w:sz w:val="24"/>
        </w:rPr>
        <w:t>Proceedings before the Court</w:t>
      </w:r>
    </w:p>
    <w:p w:rsidR="00A6162A" w:rsidRPr="00012C17" w:rsidRDefault="00A6162A" w:rsidP="001B11C5">
      <w:pPr>
        <w:spacing w:line="240" w:lineRule="auto"/>
        <w:rPr>
          <w:rFonts w:cs="Arial"/>
          <w:b/>
          <w:color w:val="000000"/>
          <w:sz w:val="24"/>
        </w:rPr>
      </w:pPr>
    </w:p>
    <w:p w:rsidR="00A6162A" w:rsidRPr="00012C17" w:rsidRDefault="000623F8" w:rsidP="001B11C5">
      <w:pPr>
        <w:numPr>
          <w:ilvl w:val="0"/>
          <w:numId w:val="1"/>
        </w:numPr>
        <w:spacing w:line="240" w:lineRule="auto"/>
        <w:ind w:left="630" w:hanging="630"/>
        <w:rPr>
          <w:rFonts w:cs="Arial"/>
          <w:color w:val="000000"/>
          <w:sz w:val="24"/>
        </w:rPr>
      </w:pPr>
      <w:r w:rsidRPr="00012C17">
        <w:rPr>
          <w:rFonts w:cs="Arial"/>
          <w:color w:val="000000"/>
          <w:sz w:val="24"/>
        </w:rPr>
        <w:t>On</w:t>
      </w:r>
      <w:r w:rsidR="00A6162A" w:rsidRPr="00012C17">
        <w:rPr>
          <w:rFonts w:cs="Arial"/>
          <w:color w:val="000000"/>
          <w:sz w:val="24"/>
        </w:rPr>
        <w:t xml:space="preserve"> 29 </w:t>
      </w:r>
      <w:r w:rsidRPr="00012C17">
        <w:rPr>
          <w:rFonts w:cs="Arial"/>
          <w:color w:val="000000"/>
          <w:sz w:val="24"/>
        </w:rPr>
        <w:t>March</w:t>
      </w:r>
      <w:r w:rsidR="00A6162A" w:rsidRPr="00012C17">
        <w:rPr>
          <w:rFonts w:cs="Arial"/>
          <w:color w:val="000000"/>
          <w:sz w:val="24"/>
        </w:rPr>
        <w:t xml:space="preserve"> 2018, </w:t>
      </w:r>
      <w:r w:rsidRPr="00012C17">
        <w:rPr>
          <w:rFonts w:cs="Arial"/>
          <w:color w:val="000000"/>
          <w:sz w:val="24"/>
        </w:rPr>
        <w:t>the Applicants submitted the Referral to the Court</w:t>
      </w:r>
      <w:r w:rsidR="00A6162A" w:rsidRPr="00012C17">
        <w:rPr>
          <w:rFonts w:cs="Arial"/>
          <w:color w:val="000000"/>
          <w:sz w:val="24"/>
        </w:rPr>
        <w:t xml:space="preserve">. </w:t>
      </w:r>
    </w:p>
    <w:p w:rsidR="00A6162A" w:rsidRPr="00012C17" w:rsidRDefault="000623F8" w:rsidP="001B11C5">
      <w:pPr>
        <w:numPr>
          <w:ilvl w:val="0"/>
          <w:numId w:val="1"/>
        </w:numPr>
        <w:spacing w:line="240" w:lineRule="auto"/>
        <w:ind w:left="630" w:hanging="630"/>
        <w:rPr>
          <w:rFonts w:cs="Arial"/>
          <w:color w:val="000000"/>
          <w:sz w:val="24"/>
        </w:rPr>
      </w:pPr>
      <w:r w:rsidRPr="00012C17">
        <w:rPr>
          <w:rFonts w:cs="Arial"/>
          <w:color w:val="000000"/>
          <w:sz w:val="24"/>
        </w:rPr>
        <w:t>On</w:t>
      </w:r>
      <w:r w:rsidR="00A6162A" w:rsidRPr="00012C17">
        <w:rPr>
          <w:rFonts w:cs="Arial"/>
          <w:color w:val="000000"/>
          <w:sz w:val="24"/>
        </w:rPr>
        <w:t xml:space="preserve"> 30 </w:t>
      </w:r>
      <w:r w:rsidRPr="00012C17">
        <w:rPr>
          <w:rFonts w:cs="Arial"/>
          <w:color w:val="000000"/>
          <w:sz w:val="24"/>
        </w:rPr>
        <w:t>March</w:t>
      </w:r>
      <w:r w:rsidR="00A6162A" w:rsidRPr="00012C17">
        <w:rPr>
          <w:rFonts w:cs="Arial"/>
          <w:color w:val="000000"/>
          <w:sz w:val="24"/>
        </w:rPr>
        <w:t xml:space="preserve"> 2018, </w:t>
      </w:r>
      <w:r w:rsidRPr="00012C17">
        <w:rPr>
          <w:color w:val="000000"/>
          <w:sz w:val="24"/>
        </w:rPr>
        <w:t xml:space="preserve">the </w:t>
      </w:r>
      <w:r w:rsidRPr="00012C17">
        <w:rPr>
          <w:rFonts w:cs="Arial"/>
          <w:color w:val="000000"/>
          <w:sz w:val="24"/>
        </w:rPr>
        <w:t>President</w:t>
      </w:r>
      <w:r w:rsidRPr="00012C17">
        <w:rPr>
          <w:color w:val="000000"/>
          <w:sz w:val="24"/>
        </w:rPr>
        <w:t xml:space="preserve"> of the Court appointed Judge </w:t>
      </w:r>
      <w:r w:rsidR="00A6162A" w:rsidRPr="00012C17">
        <w:rPr>
          <w:color w:val="000000"/>
          <w:sz w:val="24"/>
        </w:rPr>
        <w:t xml:space="preserve">Gresa Caka-Nimani </w:t>
      </w:r>
      <w:r w:rsidRPr="00012C17">
        <w:rPr>
          <w:color w:val="000000"/>
          <w:sz w:val="24"/>
        </w:rPr>
        <w:t>as Judge Rapporteur and the Review Panel composed of Judges</w:t>
      </w:r>
      <w:r w:rsidR="00A6162A" w:rsidRPr="00012C17">
        <w:rPr>
          <w:color w:val="000000"/>
          <w:sz w:val="24"/>
        </w:rPr>
        <w:t>: Almiro Rodrigues (</w:t>
      </w:r>
      <w:r w:rsidRPr="00012C17">
        <w:rPr>
          <w:color w:val="000000"/>
          <w:sz w:val="24"/>
        </w:rPr>
        <w:t>Presiding</w:t>
      </w:r>
      <w:r w:rsidR="00A6162A" w:rsidRPr="00012C17">
        <w:rPr>
          <w:color w:val="000000"/>
          <w:sz w:val="24"/>
        </w:rPr>
        <w:t xml:space="preserve">), Ivan Čukalović </w:t>
      </w:r>
      <w:r w:rsidRPr="00012C17">
        <w:rPr>
          <w:color w:val="000000"/>
          <w:sz w:val="24"/>
        </w:rPr>
        <w:t>and</w:t>
      </w:r>
      <w:r w:rsidR="007415B1" w:rsidRPr="00012C17">
        <w:rPr>
          <w:rFonts w:cs="Arial"/>
          <w:color w:val="000000"/>
          <w:sz w:val="24"/>
        </w:rPr>
        <w:t xml:space="preserve"> </w:t>
      </w:r>
      <w:r w:rsidR="00A6162A" w:rsidRPr="00012C17">
        <w:rPr>
          <w:color w:val="000000"/>
          <w:sz w:val="24"/>
        </w:rPr>
        <w:t>Arta Rama-Hajrizi.</w:t>
      </w:r>
    </w:p>
    <w:p w:rsidR="00A6162A" w:rsidRPr="00012C17" w:rsidRDefault="00A6162A" w:rsidP="001B11C5">
      <w:pPr>
        <w:spacing w:line="240" w:lineRule="auto"/>
        <w:rPr>
          <w:rFonts w:cs="Arial"/>
          <w:color w:val="000000"/>
          <w:sz w:val="24"/>
        </w:rPr>
      </w:pPr>
    </w:p>
    <w:p w:rsidR="00A6162A" w:rsidRPr="00012C17" w:rsidRDefault="00797737" w:rsidP="001B11C5">
      <w:pPr>
        <w:numPr>
          <w:ilvl w:val="0"/>
          <w:numId w:val="1"/>
        </w:numPr>
        <w:spacing w:line="240" w:lineRule="auto"/>
        <w:ind w:left="630" w:hanging="630"/>
        <w:rPr>
          <w:rFonts w:cs="Arial"/>
          <w:b/>
          <w:color w:val="000000"/>
          <w:sz w:val="24"/>
        </w:rPr>
      </w:pPr>
      <w:r w:rsidRPr="00012C17">
        <w:rPr>
          <w:rFonts w:cs="Arial"/>
          <w:color w:val="000000"/>
          <w:sz w:val="24"/>
        </w:rPr>
        <w:t>On</w:t>
      </w:r>
      <w:r w:rsidR="00A6162A" w:rsidRPr="00012C17">
        <w:rPr>
          <w:rFonts w:cs="Arial"/>
          <w:color w:val="000000"/>
          <w:sz w:val="24"/>
        </w:rPr>
        <w:t xml:space="preserve"> 4 </w:t>
      </w:r>
      <w:r w:rsidRPr="00012C17">
        <w:rPr>
          <w:rFonts w:cs="Arial"/>
          <w:color w:val="000000"/>
          <w:sz w:val="24"/>
        </w:rPr>
        <w:t>April</w:t>
      </w:r>
      <w:r w:rsidR="00A6162A" w:rsidRPr="00012C17">
        <w:rPr>
          <w:rFonts w:cs="Arial"/>
          <w:color w:val="000000"/>
          <w:sz w:val="24"/>
        </w:rPr>
        <w:t xml:space="preserve"> 2018, </w:t>
      </w:r>
      <w:r w:rsidRPr="00012C17">
        <w:rPr>
          <w:rFonts w:cs="Arial"/>
          <w:color w:val="000000"/>
          <w:sz w:val="24"/>
        </w:rPr>
        <w:t>the Court notified the representative of the Applicants</w:t>
      </w:r>
      <w:r w:rsidR="00A6162A" w:rsidRPr="00012C17">
        <w:rPr>
          <w:rFonts w:cs="Arial"/>
          <w:color w:val="000000"/>
          <w:sz w:val="24"/>
        </w:rPr>
        <w:t xml:space="preserve"> </w:t>
      </w:r>
      <w:r w:rsidRPr="00012C17">
        <w:rPr>
          <w:rFonts w:cs="Arial"/>
          <w:color w:val="000000"/>
          <w:sz w:val="24"/>
        </w:rPr>
        <w:t>about the registration of the Referral</w:t>
      </w:r>
      <w:r w:rsidR="00A6162A" w:rsidRPr="00012C17">
        <w:rPr>
          <w:rFonts w:cs="Arial"/>
          <w:color w:val="000000"/>
          <w:sz w:val="24"/>
        </w:rPr>
        <w:t xml:space="preserve"> </w:t>
      </w:r>
      <w:r w:rsidRPr="00012C17">
        <w:rPr>
          <w:rFonts w:cs="Arial"/>
          <w:color w:val="000000"/>
          <w:sz w:val="24"/>
        </w:rPr>
        <w:t>and requested him</w:t>
      </w:r>
      <w:r w:rsidR="00A6162A" w:rsidRPr="00012C17">
        <w:rPr>
          <w:rFonts w:cs="Arial"/>
          <w:color w:val="000000"/>
          <w:sz w:val="24"/>
        </w:rPr>
        <w:t xml:space="preserve"> </w:t>
      </w:r>
      <w:r w:rsidRPr="00012C17">
        <w:rPr>
          <w:rFonts w:cs="Arial"/>
          <w:color w:val="000000"/>
          <w:sz w:val="24"/>
        </w:rPr>
        <w:t>to clarify whether he represents the second Applicant too</w:t>
      </w:r>
      <w:r w:rsidR="00A6162A" w:rsidRPr="00012C17">
        <w:rPr>
          <w:rFonts w:cs="Arial"/>
          <w:color w:val="000000"/>
          <w:sz w:val="24"/>
        </w:rPr>
        <w:t xml:space="preserve"> </w:t>
      </w:r>
      <w:r w:rsidRPr="00012C17">
        <w:rPr>
          <w:rFonts w:cs="Arial"/>
          <w:color w:val="000000"/>
          <w:sz w:val="24"/>
        </w:rPr>
        <w:t>in the proceedings before the Court</w:t>
      </w:r>
      <w:r w:rsidR="00A6162A" w:rsidRPr="00012C17">
        <w:rPr>
          <w:rFonts w:cs="Arial"/>
          <w:color w:val="000000"/>
          <w:sz w:val="24"/>
        </w:rPr>
        <w:t xml:space="preserve">, </w:t>
      </w:r>
      <w:r w:rsidR="00D64B53" w:rsidRPr="00012C17">
        <w:rPr>
          <w:rFonts w:cs="Arial"/>
          <w:color w:val="000000"/>
          <w:sz w:val="24"/>
        </w:rPr>
        <w:t>as he submitted the power of attorney only for the first Applicant</w:t>
      </w:r>
      <w:r w:rsidR="00A6162A" w:rsidRPr="00012C17">
        <w:rPr>
          <w:rFonts w:cs="Arial"/>
          <w:color w:val="000000"/>
          <w:sz w:val="24"/>
        </w:rPr>
        <w:t xml:space="preserve">. </w:t>
      </w:r>
      <w:r w:rsidR="00D64B53" w:rsidRPr="00012C17">
        <w:rPr>
          <w:rFonts w:cs="Arial"/>
          <w:color w:val="000000"/>
          <w:sz w:val="24"/>
        </w:rPr>
        <w:t>In case of a positive reply</w:t>
      </w:r>
      <w:r w:rsidR="00A6162A" w:rsidRPr="00012C17">
        <w:rPr>
          <w:rFonts w:cs="Arial"/>
          <w:color w:val="000000"/>
          <w:sz w:val="24"/>
        </w:rPr>
        <w:t xml:space="preserve">, </w:t>
      </w:r>
      <w:r w:rsidR="00D64B53" w:rsidRPr="00012C17">
        <w:rPr>
          <w:rFonts w:cs="Arial"/>
          <w:color w:val="000000"/>
          <w:sz w:val="24"/>
        </w:rPr>
        <w:t xml:space="preserve">the Court invited </w:t>
      </w:r>
      <w:r w:rsidR="00D64B53" w:rsidRPr="00012C17">
        <w:rPr>
          <w:color w:val="000000"/>
          <w:sz w:val="24"/>
        </w:rPr>
        <w:t>him</w:t>
      </w:r>
      <w:r w:rsidR="00D64B53" w:rsidRPr="00012C17">
        <w:rPr>
          <w:rFonts w:cs="Arial"/>
          <w:color w:val="000000"/>
          <w:sz w:val="24"/>
        </w:rPr>
        <w:t xml:space="preserve"> to submit a power of attorney</w:t>
      </w:r>
      <w:r w:rsidR="00A6162A" w:rsidRPr="00012C17">
        <w:rPr>
          <w:rFonts w:cs="Arial"/>
          <w:color w:val="000000"/>
          <w:sz w:val="24"/>
        </w:rPr>
        <w:t xml:space="preserve"> </w:t>
      </w:r>
      <w:r w:rsidR="00D64B53" w:rsidRPr="00012C17">
        <w:rPr>
          <w:rFonts w:cs="Arial"/>
          <w:color w:val="000000"/>
          <w:sz w:val="24"/>
        </w:rPr>
        <w:t>indicating this</w:t>
      </w:r>
      <w:r w:rsidR="00A6162A" w:rsidRPr="00012C17">
        <w:rPr>
          <w:rFonts w:cs="Arial"/>
          <w:color w:val="000000"/>
          <w:sz w:val="24"/>
        </w:rPr>
        <w:t xml:space="preserve">. </w:t>
      </w:r>
      <w:r w:rsidR="00D64B53" w:rsidRPr="00012C17">
        <w:rPr>
          <w:rFonts w:cs="Arial"/>
          <w:color w:val="000000"/>
          <w:sz w:val="24"/>
        </w:rPr>
        <w:t>The Court also requested</w:t>
      </w:r>
      <w:r w:rsidR="00A6162A" w:rsidRPr="00012C17">
        <w:rPr>
          <w:rFonts w:cs="Arial"/>
          <w:color w:val="000000"/>
          <w:sz w:val="24"/>
        </w:rPr>
        <w:t xml:space="preserve"> </w:t>
      </w:r>
      <w:r w:rsidR="00D64B53" w:rsidRPr="00012C17">
        <w:rPr>
          <w:rFonts w:cs="Arial"/>
          <w:color w:val="000000"/>
          <w:sz w:val="24"/>
        </w:rPr>
        <w:t>the representative of the Applicants to submit to the Court</w:t>
      </w:r>
      <w:r w:rsidR="00A6162A" w:rsidRPr="00012C17">
        <w:rPr>
          <w:rFonts w:cs="Arial"/>
          <w:color w:val="000000"/>
          <w:sz w:val="24"/>
        </w:rPr>
        <w:t xml:space="preserve"> </w:t>
      </w:r>
      <w:r w:rsidR="00D64B53" w:rsidRPr="00012C17">
        <w:rPr>
          <w:rFonts w:cs="Arial"/>
          <w:color w:val="000000"/>
          <w:sz w:val="24"/>
        </w:rPr>
        <w:t>the copy of Decision</w:t>
      </w:r>
      <w:r w:rsidRPr="00012C17">
        <w:rPr>
          <w:rFonts w:cs="Arial"/>
          <w:color w:val="000000"/>
          <w:sz w:val="24"/>
        </w:rPr>
        <w:t xml:space="preserve"> </w:t>
      </w:r>
      <w:r w:rsidR="00A6162A" w:rsidRPr="00012C17">
        <w:rPr>
          <w:rFonts w:cs="Arial"/>
          <w:color w:val="000000"/>
          <w:sz w:val="24"/>
        </w:rPr>
        <w:t>[AA.</w:t>
      </w:r>
      <w:r w:rsidRPr="00012C17">
        <w:rPr>
          <w:rFonts w:cs="Arial"/>
          <w:color w:val="000000"/>
          <w:sz w:val="24"/>
        </w:rPr>
        <w:t xml:space="preserve"> </w:t>
      </w:r>
      <w:r w:rsidR="00D64B53" w:rsidRPr="00012C17">
        <w:rPr>
          <w:rFonts w:cs="Arial"/>
          <w:color w:val="000000"/>
          <w:sz w:val="24"/>
        </w:rPr>
        <w:t>No</w:t>
      </w:r>
      <w:r w:rsidR="00A6162A" w:rsidRPr="00012C17">
        <w:rPr>
          <w:rFonts w:cs="Arial"/>
          <w:color w:val="000000"/>
          <w:sz w:val="24"/>
        </w:rPr>
        <w:t>.</w:t>
      </w:r>
      <w:r w:rsidRPr="00012C17">
        <w:rPr>
          <w:rFonts w:cs="Arial"/>
          <w:color w:val="000000"/>
          <w:sz w:val="24"/>
        </w:rPr>
        <w:t xml:space="preserve"> </w:t>
      </w:r>
      <w:r w:rsidR="00A6162A" w:rsidRPr="00012C17">
        <w:rPr>
          <w:rFonts w:cs="Arial"/>
          <w:color w:val="000000"/>
          <w:sz w:val="24"/>
        </w:rPr>
        <w:t>52</w:t>
      </w:r>
      <w:r w:rsidR="006E3F2A" w:rsidRPr="00012C17">
        <w:rPr>
          <w:rFonts w:cs="Arial"/>
          <w:color w:val="000000"/>
          <w:sz w:val="24"/>
        </w:rPr>
        <w:t>/</w:t>
      </w:r>
      <w:r w:rsidR="00A6162A" w:rsidRPr="00012C17">
        <w:rPr>
          <w:rFonts w:cs="Arial"/>
          <w:color w:val="000000"/>
          <w:sz w:val="24"/>
        </w:rPr>
        <w:t xml:space="preserve">2017] </w:t>
      </w:r>
      <w:r w:rsidR="00D64B53" w:rsidRPr="00012C17">
        <w:rPr>
          <w:rFonts w:cs="Arial"/>
          <w:color w:val="000000"/>
          <w:sz w:val="24"/>
        </w:rPr>
        <w:t>of</w:t>
      </w:r>
      <w:r w:rsidR="00A6162A" w:rsidRPr="00012C17">
        <w:rPr>
          <w:rFonts w:cs="Arial"/>
          <w:color w:val="000000"/>
          <w:sz w:val="24"/>
        </w:rPr>
        <w:t xml:space="preserve"> 25 </w:t>
      </w:r>
      <w:r w:rsidR="00D64B53" w:rsidRPr="00012C17">
        <w:rPr>
          <w:rFonts w:cs="Arial"/>
          <w:color w:val="000000"/>
          <w:sz w:val="24"/>
        </w:rPr>
        <w:t>November</w:t>
      </w:r>
      <w:r w:rsidR="00A6162A" w:rsidRPr="00012C17">
        <w:rPr>
          <w:rFonts w:cs="Arial"/>
          <w:color w:val="000000"/>
          <w:sz w:val="24"/>
        </w:rPr>
        <w:t xml:space="preserve"> 2017 </w:t>
      </w:r>
      <w:r w:rsidR="00D64B53" w:rsidRPr="00012C17">
        <w:rPr>
          <w:rFonts w:cs="Arial"/>
          <w:color w:val="000000"/>
          <w:sz w:val="24"/>
        </w:rPr>
        <w:t>of the</w:t>
      </w:r>
      <w:r w:rsidR="00A6162A" w:rsidRPr="00012C17">
        <w:rPr>
          <w:rFonts w:cs="Arial"/>
          <w:color w:val="000000"/>
          <w:sz w:val="24"/>
        </w:rPr>
        <w:t xml:space="preserve"> Supreme</w:t>
      </w:r>
      <w:r w:rsidR="00D64B53" w:rsidRPr="00012C17">
        <w:rPr>
          <w:rFonts w:cs="Arial"/>
          <w:color w:val="000000"/>
          <w:sz w:val="24"/>
        </w:rPr>
        <w:t xml:space="preserve"> Court</w:t>
      </w:r>
      <w:r w:rsidR="00A6162A" w:rsidRPr="00012C17">
        <w:rPr>
          <w:rFonts w:cs="Arial"/>
          <w:color w:val="000000"/>
          <w:sz w:val="24"/>
        </w:rPr>
        <w:t xml:space="preserve">. </w:t>
      </w:r>
      <w:r w:rsidR="00D64B53" w:rsidRPr="00012C17">
        <w:rPr>
          <w:rFonts w:cs="Arial"/>
          <w:color w:val="000000"/>
          <w:sz w:val="24"/>
        </w:rPr>
        <w:t>For further clarifications and the requested additional documentation</w:t>
      </w:r>
      <w:r w:rsidR="00A6162A" w:rsidRPr="00012C17">
        <w:rPr>
          <w:rFonts w:cs="Arial"/>
          <w:color w:val="000000"/>
          <w:sz w:val="24"/>
        </w:rPr>
        <w:t xml:space="preserve">, </w:t>
      </w:r>
      <w:r w:rsidR="00D64B53" w:rsidRPr="00012C17">
        <w:rPr>
          <w:rFonts w:cs="Arial"/>
          <w:color w:val="000000"/>
          <w:sz w:val="24"/>
        </w:rPr>
        <w:t>the Court set to the Applicants a deadline of fourteen</w:t>
      </w:r>
      <w:r w:rsidR="00A6162A" w:rsidRPr="00012C17">
        <w:rPr>
          <w:rFonts w:cs="Arial"/>
          <w:color w:val="000000"/>
          <w:sz w:val="24"/>
        </w:rPr>
        <w:t xml:space="preserve"> (14) </w:t>
      </w:r>
      <w:r w:rsidR="00D64B53" w:rsidRPr="00012C17">
        <w:rPr>
          <w:rFonts w:cs="Arial"/>
          <w:color w:val="000000"/>
          <w:sz w:val="24"/>
        </w:rPr>
        <w:t>days from the date of receipt of the notification letter</w:t>
      </w:r>
      <w:r w:rsidR="00A6162A" w:rsidRPr="00012C17">
        <w:rPr>
          <w:rFonts w:cs="Arial"/>
          <w:color w:val="000000"/>
          <w:sz w:val="24"/>
        </w:rPr>
        <w:t>.</w:t>
      </w:r>
    </w:p>
    <w:p w:rsidR="00A6162A" w:rsidRPr="00012C17" w:rsidRDefault="00A6162A" w:rsidP="001B11C5">
      <w:pPr>
        <w:spacing w:line="240" w:lineRule="auto"/>
        <w:rPr>
          <w:rFonts w:cs="Arial"/>
          <w:color w:val="000000"/>
          <w:sz w:val="24"/>
        </w:rPr>
      </w:pPr>
    </w:p>
    <w:p w:rsidR="00A6162A" w:rsidRPr="00012C17" w:rsidRDefault="00D64B53" w:rsidP="001B11C5">
      <w:pPr>
        <w:numPr>
          <w:ilvl w:val="0"/>
          <w:numId w:val="1"/>
        </w:numPr>
        <w:spacing w:line="240" w:lineRule="auto"/>
        <w:ind w:left="630" w:hanging="630"/>
        <w:rPr>
          <w:rFonts w:cs="Arial"/>
          <w:b/>
          <w:color w:val="000000"/>
          <w:sz w:val="24"/>
        </w:rPr>
      </w:pPr>
      <w:r w:rsidRPr="00012C17">
        <w:rPr>
          <w:rFonts w:cs="Arial"/>
          <w:color w:val="000000"/>
          <w:sz w:val="24"/>
        </w:rPr>
        <w:t>On 10 April 2018, the Post of Kosovo returned the envelope to the Court and notified it that the submission of the notice of 4 April 2018 failed</w:t>
      </w:r>
      <w:r w:rsidR="00FB625F" w:rsidRPr="00012C17">
        <w:rPr>
          <w:rFonts w:cs="Arial"/>
          <w:color w:val="000000"/>
          <w:sz w:val="24"/>
        </w:rPr>
        <w:t>,</w:t>
      </w:r>
      <w:r w:rsidRPr="00012C17">
        <w:rPr>
          <w:rFonts w:cs="Arial"/>
          <w:color w:val="000000"/>
          <w:sz w:val="24"/>
        </w:rPr>
        <w:t xml:space="preserve"> </w:t>
      </w:r>
      <w:r w:rsidR="00FB625F" w:rsidRPr="00012C17">
        <w:rPr>
          <w:rFonts w:cs="Arial"/>
          <w:color w:val="000000"/>
          <w:sz w:val="24"/>
        </w:rPr>
        <w:t xml:space="preserve">as </w:t>
      </w:r>
      <w:r w:rsidRPr="00012C17">
        <w:rPr>
          <w:rFonts w:cs="Arial"/>
          <w:color w:val="000000"/>
          <w:sz w:val="24"/>
        </w:rPr>
        <w:t>the address given by the Applicant</w:t>
      </w:r>
      <w:r w:rsidR="006634E8" w:rsidRPr="00012C17">
        <w:rPr>
          <w:rFonts w:cs="Arial"/>
          <w:color w:val="000000"/>
          <w:sz w:val="24"/>
        </w:rPr>
        <w:t>s</w:t>
      </w:r>
      <w:r w:rsidRPr="00012C17">
        <w:rPr>
          <w:rFonts w:cs="Arial"/>
          <w:color w:val="000000"/>
          <w:sz w:val="24"/>
        </w:rPr>
        <w:t xml:space="preserve"> in the referral form submitted to the Court was incomplete</w:t>
      </w:r>
      <w:r w:rsidR="00A6162A" w:rsidRPr="00012C17">
        <w:rPr>
          <w:rFonts w:cs="Arial"/>
          <w:color w:val="000000"/>
          <w:sz w:val="24"/>
        </w:rPr>
        <w:t xml:space="preserve">. </w:t>
      </w:r>
    </w:p>
    <w:p w:rsidR="00A6162A" w:rsidRPr="00012C17" w:rsidRDefault="00A6162A" w:rsidP="001B11C5">
      <w:pPr>
        <w:spacing w:line="240" w:lineRule="auto"/>
        <w:rPr>
          <w:rFonts w:cs="Arial"/>
          <w:color w:val="000000"/>
          <w:sz w:val="24"/>
        </w:rPr>
      </w:pPr>
    </w:p>
    <w:p w:rsidR="00A6162A" w:rsidRPr="00012C17" w:rsidRDefault="00B80DE6" w:rsidP="001B11C5">
      <w:pPr>
        <w:numPr>
          <w:ilvl w:val="0"/>
          <w:numId w:val="1"/>
        </w:numPr>
        <w:spacing w:line="240" w:lineRule="auto"/>
        <w:ind w:left="630" w:hanging="630"/>
        <w:rPr>
          <w:rFonts w:cs="Arial"/>
          <w:b/>
          <w:color w:val="000000"/>
          <w:sz w:val="24"/>
        </w:rPr>
      </w:pPr>
      <w:r w:rsidRPr="00012C17">
        <w:rPr>
          <w:rFonts w:cs="Arial"/>
          <w:color w:val="000000"/>
          <w:sz w:val="24"/>
        </w:rPr>
        <w:t xml:space="preserve">On 13 April </w:t>
      </w:r>
      <w:r w:rsidR="00D64B53" w:rsidRPr="00012C17">
        <w:rPr>
          <w:rFonts w:cs="Arial"/>
          <w:color w:val="000000"/>
          <w:sz w:val="24"/>
        </w:rPr>
        <w:t>2018, the Applicant</w:t>
      </w:r>
      <w:r w:rsidR="00F65C2B" w:rsidRPr="00012C17">
        <w:rPr>
          <w:rFonts w:cs="Arial"/>
          <w:color w:val="000000"/>
          <w:sz w:val="24"/>
        </w:rPr>
        <w:t>s</w:t>
      </w:r>
      <w:r w:rsidR="00D64B53" w:rsidRPr="00012C17">
        <w:rPr>
          <w:rFonts w:cs="Arial"/>
          <w:color w:val="000000"/>
          <w:sz w:val="24"/>
        </w:rPr>
        <w:t>' representative contacted the Court by electronic mail and requested that all communications and documents regarding Referral KI48/18 be sent by electronic mail. Based on this request, on the same date, the Court sent a copy of the notification of 4 April 2018</w:t>
      </w:r>
      <w:r w:rsidR="00A6162A" w:rsidRPr="00012C17">
        <w:rPr>
          <w:rFonts w:cs="Arial"/>
          <w:color w:val="000000"/>
          <w:sz w:val="24"/>
        </w:rPr>
        <w:t xml:space="preserve">. </w:t>
      </w:r>
    </w:p>
    <w:p w:rsidR="00A6162A" w:rsidRPr="00012C17" w:rsidRDefault="00A6162A" w:rsidP="001B11C5">
      <w:pPr>
        <w:spacing w:line="240" w:lineRule="auto"/>
        <w:rPr>
          <w:rFonts w:cs="Arial"/>
          <w:color w:val="000000"/>
          <w:sz w:val="24"/>
        </w:rPr>
      </w:pPr>
    </w:p>
    <w:p w:rsidR="00A6162A" w:rsidRPr="00012C17" w:rsidRDefault="00D64B53" w:rsidP="001B11C5">
      <w:pPr>
        <w:numPr>
          <w:ilvl w:val="0"/>
          <w:numId w:val="1"/>
        </w:numPr>
        <w:spacing w:line="240" w:lineRule="auto"/>
        <w:ind w:left="630" w:hanging="630"/>
        <w:rPr>
          <w:rFonts w:cs="Arial"/>
          <w:b/>
          <w:color w:val="000000"/>
          <w:sz w:val="24"/>
        </w:rPr>
      </w:pPr>
      <w:r w:rsidRPr="00012C17">
        <w:rPr>
          <w:rFonts w:cs="Arial"/>
          <w:color w:val="000000"/>
          <w:sz w:val="24"/>
        </w:rPr>
        <w:t xml:space="preserve">On 13 April 2018, </w:t>
      </w:r>
      <w:r w:rsidRPr="00012C17">
        <w:rPr>
          <w:color w:val="000000"/>
          <w:sz w:val="24"/>
        </w:rPr>
        <w:t>the</w:t>
      </w:r>
      <w:r w:rsidRPr="00012C17">
        <w:rPr>
          <w:rFonts w:cs="Arial"/>
          <w:color w:val="000000"/>
          <w:sz w:val="24"/>
        </w:rPr>
        <w:t xml:space="preserve"> Applicants</w:t>
      </w:r>
      <w:r w:rsidR="00F65C2B" w:rsidRPr="00012C17">
        <w:rPr>
          <w:rFonts w:cs="Arial"/>
          <w:color w:val="000000"/>
          <w:sz w:val="24"/>
        </w:rPr>
        <w:t>'</w:t>
      </w:r>
      <w:r w:rsidRPr="00012C17">
        <w:rPr>
          <w:rFonts w:cs="Arial"/>
          <w:color w:val="000000"/>
          <w:sz w:val="24"/>
        </w:rPr>
        <w:t xml:space="preserve"> representative submitted a copy of the requested Decision</w:t>
      </w:r>
      <w:r w:rsidR="00A6162A" w:rsidRPr="00012C17">
        <w:rPr>
          <w:rFonts w:cs="Arial"/>
          <w:color w:val="000000"/>
          <w:sz w:val="24"/>
        </w:rPr>
        <w:t xml:space="preserve">. </w:t>
      </w:r>
    </w:p>
    <w:p w:rsidR="00A6162A" w:rsidRPr="00012C17" w:rsidRDefault="00A6162A" w:rsidP="001B11C5">
      <w:pPr>
        <w:spacing w:line="240" w:lineRule="auto"/>
        <w:rPr>
          <w:rFonts w:cs="Arial"/>
          <w:color w:val="000000"/>
          <w:sz w:val="24"/>
        </w:rPr>
      </w:pPr>
    </w:p>
    <w:p w:rsidR="00A6162A" w:rsidRPr="00012C17" w:rsidRDefault="00D64B53" w:rsidP="001B11C5">
      <w:pPr>
        <w:numPr>
          <w:ilvl w:val="0"/>
          <w:numId w:val="1"/>
        </w:numPr>
        <w:spacing w:line="240" w:lineRule="auto"/>
        <w:ind w:left="630" w:hanging="630"/>
        <w:rPr>
          <w:rFonts w:cs="Arial"/>
          <w:b/>
          <w:color w:val="000000"/>
          <w:sz w:val="24"/>
        </w:rPr>
      </w:pPr>
      <w:r w:rsidRPr="00012C17">
        <w:rPr>
          <w:rFonts w:cs="Arial"/>
          <w:color w:val="000000"/>
          <w:sz w:val="24"/>
        </w:rPr>
        <w:t xml:space="preserve">On 23 April 2018, </w:t>
      </w:r>
      <w:r w:rsidRPr="00012C17">
        <w:rPr>
          <w:color w:val="000000"/>
          <w:sz w:val="24"/>
        </w:rPr>
        <w:t>the</w:t>
      </w:r>
      <w:r w:rsidRPr="00012C17">
        <w:rPr>
          <w:rFonts w:cs="Arial"/>
          <w:color w:val="000000"/>
          <w:sz w:val="24"/>
        </w:rPr>
        <w:t xml:space="preserve"> Applicants</w:t>
      </w:r>
      <w:r w:rsidR="00F65C2B" w:rsidRPr="00012C17">
        <w:rPr>
          <w:rFonts w:cs="Arial"/>
          <w:color w:val="000000"/>
          <w:sz w:val="24"/>
        </w:rPr>
        <w:t>’</w:t>
      </w:r>
      <w:r w:rsidRPr="00012C17">
        <w:rPr>
          <w:rFonts w:cs="Arial"/>
          <w:color w:val="000000"/>
          <w:sz w:val="24"/>
        </w:rPr>
        <w:t xml:space="preserve"> representative </w:t>
      </w:r>
      <w:r w:rsidR="00F65C2B" w:rsidRPr="00012C17">
        <w:rPr>
          <w:rFonts w:cs="Arial"/>
          <w:color w:val="000000"/>
          <w:sz w:val="24"/>
        </w:rPr>
        <w:t>submitted the power of attorney</w:t>
      </w:r>
      <w:r w:rsidRPr="00012C17">
        <w:rPr>
          <w:rFonts w:cs="Arial"/>
          <w:color w:val="000000"/>
          <w:sz w:val="24"/>
        </w:rPr>
        <w:t xml:space="preserve"> for representing the second Applicant in the proceedings before the Court</w:t>
      </w:r>
      <w:r w:rsidR="00A6162A" w:rsidRPr="00012C17">
        <w:rPr>
          <w:rFonts w:cs="Arial"/>
          <w:color w:val="000000"/>
          <w:sz w:val="24"/>
        </w:rPr>
        <w:t>.</w:t>
      </w:r>
    </w:p>
    <w:p w:rsidR="00A6162A" w:rsidRPr="00012C17" w:rsidRDefault="00A6162A" w:rsidP="001B11C5">
      <w:pPr>
        <w:spacing w:line="240" w:lineRule="auto"/>
        <w:rPr>
          <w:rFonts w:cs="Arial"/>
          <w:b/>
          <w:color w:val="000000"/>
          <w:sz w:val="24"/>
        </w:rPr>
      </w:pPr>
    </w:p>
    <w:p w:rsidR="00F65C2B" w:rsidRPr="00012C17" w:rsidRDefault="00F65C2B" w:rsidP="001B11C5">
      <w:pPr>
        <w:numPr>
          <w:ilvl w:val="0"/>
          <w:numId w:val="1"/>
        </w:numPr>
        <w:spacing w:line="240" w:lineRule="auto"/>
        <w:ind w:left="630" w:hanging="630"/>
        <w:rPr>
          <w:rFonts w:cs="Arial"/>
          <w:color w:val="000000"/>
          <w:sz w:val="24"/>
        </w:rPr>
      </w:pPr>
      <w:r w:rsidRPr="00012C17">
        <w:rPr>
          <w:rFonts w:cs="Arial"/>
          <w:color w:val="000000"/>
          <w:sz w:val="24"/>
        </w:rPr>
        <w:t xml:space="preserve">On 27 April 2018, the Court sent a copy of the Referral to the Supreme Court and the ECAP. On the </w:t>
      </w:r>
      <w:r w:rsidRPr="00012C17">
        <w:rPr>
          <w:color w:val="000000"/>
          <w:sz w:val="24"/>
        </w:rPr>
        <w:t>same</w:t>
      </w:r>
      <w:r w:rsidRPr="00012C17">
        <w:rPr>
          <w:rFonts w:cs="Arial"/>
          <w:color w:val="000000"/>
          <w:sz w:val="24"/>
        </w:rPr>
        <w:t xml:space="preserve"> date, the Court notified Mr. Shpend Ahmeti, the </w:t>
      </w:r>
      <w:r w:rsidR="005F1C87" w:rsidRPr="00012C17">
        <w:rPr>
          <w:rFonts w:cs="Arial"/>
          <w:color w:val="000000"/>
          <w:sz w:val="24"/>
        </w:rPr>
        <w:t xml:space="preserve">Mayor </w:t>
      </w:r>
      <w:r w:rsidRPr="00012C17">
        <w:rPr>
          <w:rFonts w:cs="Arial"/>
          <w:color w:val="000000"/>
          <w:sz w:val="24"/>
        </w:rPr>
        <w:t xml:space="preserve">of the Municipality of Prishtina and the candidate of </w:t>
      </w:r>
      <w:r w:rsidR="00F05E0A" w:rsidRPr="00012C17">
        <w:rPr>
          <w:rFonts w:cs="Arial"/>
          <w:color w:val="000000"/>
          <w:sz w:val="24"/>
        </w:rPr>
        <w:t>VETËVENDOSJE! Movement</w:t>
      </w:r>
      <w:r w:rsidRPr="00012C17">
        <w:rPr>
          <w:rFonts w:cs="Arial"/>
          <w:color w:val="000000"/>
          <w:sz w:val="24"/>
        </w:rPr>
        <w:t xml:space="preserve"> for the </w:t>
      </w:r>
      <w:r w:rsidR="005F1C87" w:rsidRPr="00012C17">
        <w:rPr>
          <w:rFonts w:cs="Arial"/>
          <w:color w:val="000000"/>
          <w:sz w:val="24"/>
        </w:rPr>
        <w:t xml:space="preserve">Mayor </w:t>
      </w:r>
      <w:r w:rsidRPr="00012C17">
        <w:rPr>
          <w:rFonts w:cs="Arial"/>
          <w:color w:val="000000"/>
          <w:sz w:val="24"/>
        </w:rPr>
        <w:t>of the Municipality of Prishtina,</w:t>
      </w:r>
      <w:r w:rsidR="00062F88" w:rsidRPr="00012C17">
        <w:rPr>
          <w:rFonts w:cs="Arial"/>
          <w:color w:val="000000"/>
          <w:sz w:val="24"/>
        </w:rPr>
        <w:t xml:space="preserve"> </w:t>
      </w:r>
      <w:r w:rsidRPr="00012C17">
        <w:rPr>
          <w:rFonts w:cs="Arial"/>
          <w:color w:val="000000"/>
          <w:sz w:val="24"/>
        </w:rPr>
        <w:t xml:space="preserve">in the local elections of 2017, in a capacity of an interested party, about the registration of the Referral and invited him to submit his comments, if any, within fourteen (14) days from the day of receipt of the notification. </w:t>
      </w:r>
    </w:p>
    <w:p w:rsidR="00A6162A" w:rsidRPr="00012C17" w:rsidRDefault="00A6162A" w:rsidP="001B11C5">
      <w:pPr>
        <w:spacing w:line="240" w:lineRule="auto"/>
        <w:rPr>
          <w:rFonts w:cs="Arial"/>
          <w:color w:val="000000"/>
          <w:sz w:val="24"/>
        </w:rPr>
      </w:pPr>
    </w:p>
    <w:p w:rsidR="00A6162A" w:rsidRPr="00012C17" w:rsidRDefault="005D0367" w:rsidP="001B11C5">
      <w:pPr>
        <w:numPr>
          <w:ilvl w:val="0"/>
          <w:numId w:val="1"/>
        </w:numPr>
        <w:spacing w:line="240" w:lineRule="auto"/>
        <w:ind w:left="630" w:hanging="630"/>
        <w:rPr>
          <w:rFonts w:cs="Arial"/>
          <w:b/>
          <w:color w:val="000000"/>
          <w:sz w:val="24"/>
        </w:rPr>
      </w:pPr>
      <w:r w:rsidRPr="00012C17">
        <w:rPr>
          <w:rFonts w:cs="Arial"/>
          <w:color w:val="000000"/>
          <w:sz w:val="24"/>
        </w:rPr>
        <w:t>On 11 May 2018, within the time limit set by the Court, Mr. Shpend Ahmeti submitted his comments to the Court</w:t>
      </w:r>
      <w:r w:rsidR="00A6162A" w:rsidRPr="00012C17">
        <w:rPr>
          <w:rFonts w:cs="Arial"/>
          <w:color w:val="000000"/>
          <w:sz w:val="24"/>
        </w:rPr>
        <w:t xml:space="preserve">. </w:t>
      </w:r>
    </w:p>
    <w:p w:rsidR="00A6162A" w:rsidRPr="00012C17" w:rsidRDefault="00A6162A" w:rsidP="001B11C5">
      <w:pPr>
        <w:spacing w:line="240" w:lineRule="auto"/>
        <w:rPr>
          <w:rFonts w:cs="Arial"/>
          <w:b/>
          <w:color w:val="000000"/>
          <w:sz w:val="24"/>
        </w:rPr>
      </w:pPr>
    </w:p>
    <w:p w:rsidR="00A6162A" w:rsidRPr="00012C17" w:rsidRDefault="005D0367" w:rsidP="001B11C5">
      <w:pPr>
        <w:numPr>
          <w:ilvl w:val="0"/>
          <w:numId w:val="1"/>
        </w:numPr>
        <w:spacing w:line="240" w:lineRule="auto"/>
        <w:ind w:left="630" w:hanging="630"/>
        <w:rPr>
          <w:rFonts w:cs="Arial"/>
          <w:b/>
          <w:color w:val="000000"/>
          <w:sz w:val="24"/>
        </w:rPr>
      </w:pPr>
      <w:r w:rsidRPr="00012C17">
        <w:rPr>
          <w:rFonts w:cs="Arial"/>
          <w:color w:val="000000"/>
          <w:sz w:val="24"/>
        </w:rPr>
        <w:t>On 14 May 2018, the Court notified the Applicants about the receipt of comments by Mr. Shpend Ahmeti and sent a copy of them</w:t>
      </w:r>
      <w:r w:rsidR="00A6162A" w:rsidRPr="00012C17">
        <w:rPr>
          <w:rFonts w:cs="Arial"/>
          <w:color w:val="000000"/>
          <w:sz w:val="24"/>
        </w:rPr>
        <w:t>.</w:t>
      </w:r>
    </w:p>
    <w:p w:rsidR="00A6162A" w:rsidRPr="00012C17" w:rsidRDefault="00A6162A" w:rsidP="001B11C5">
      <w:pPr>
        <w:spacing w:line="240" w:lineRule="auto"/>
        <w:rPr>
          <w:rFonts w:cs="Arial"/>
          <w:color w:val="000000"/>
          <w:sz w:val="24"/>
        </w:rPr>
      </w:pPr>
    </w:p>
    <w:p w:rsidR="00A6162A" w:rsidRPr="00012C17" w:rsidRDefault="005D0367" w:rsidP="001B11C5">
      <w:pPr>
        <w:numPr>
          <w:ilvl w:val="0"/>
          <w:numId w:val="1"/>
        </w:numPr>
        <w:spacing w:line="240" w:lineRule="auto"/>
        <w:ind w:left="630" w:hanging="630"/>
        <w:rPr>
          <w:rFonts w:cs="Arial"/>
          <w:b/>
          <w:color w:val="000000"/>
          <w:sz w:val="24"/>
        </w:rPr>
      </w:pPr>
      <w:r w:rsidRPr="00012C17">
        <w:rPr>
          <w:rFonts w:cs="Arial"/>
          <w:color w:val="000000"/>
          <w:sz w:val="24"/>
        </w:rPr>
        <w:t>On 31 May 2018, the Court received additional comments from the Applicant</w:t>
      </w:r>
      <w:r w:rsidR="00062F88" w:rsidRPr="00012C17">
        <w:rPr>
          <w:rFonts w:cs="Arial"/>
          <w:color w:val="000000"/>
          <w:sz w:val="24"/>
        </w:rPr>
        <w:t>s</w:t>
      </w:r>
      <w:r w:rsidRPr="00012C17">
        <w:rPr>
          <w:rFonts w:cs="Arial"/>
          <w:color w:val="000000"/>
          <w:sz w:val="24"/>
        </w:rPr>
        <w:t xml:space="preserve"> regarding the comments </w:t>
      </w:r>
      <w:r w:rsidRPr="00012C17">
        <w:rPr>
          <w:color w:val="000000"/>
          <w:sz w:val="24"/>
        </w:rPr>
        <w:t>submitted</w:t>
      </w:r>
      <w:r w:rsidRPr="00012C17">
        <w:rPr>
          <w:rFonts w:cs="Arial"/>
          <w:color w:val="000000"/>
          <w:sz w:val="24"/>
        </w:rPr>
        <w:t xml:space="preserve"> by Mr. Shpend Ahmeti</w:t>
      </w:r>
      <w:r w:rsidR="00A6162A" w:rsidRPr="00012C17">
        <w:rPr>
          <w:rFonts w:cs="Arial"/>
          <w:color w:val="000000"/>
          <w:sz w:val="24"/>
        </w:rPr>
        <w:t xml:space="preserve">. </w:t>
      </w:r>
    </w:p>
    <w:p w:rsidR="00A6162A" w:rsidRPr="00012C17" w:rsidRDefault="00A6162A" w:rsidP="001B11C5">
      <w:pPr>
        <w:spacing w:line="240" w:lineRule="auto"/>
        <w:rPr>
          <w:bCs/>
          <w:color w:val="000000"/>
          <w:sz w:val="24"/>
        </w:rPr>
      </w:pPr>
    </w:p>
    <w:p w:rsidR="00A6162A" w:rsidRPr="00012C17" w:rsidRDefault="005D0367" w:rsidP="001B11C5">
      <w:pPr>
        <w:numPr>
          <w:ilvl w:val="0"/>
          <w:numId w:val="1"/>
        </w:numPr>
        <w:spacing w:line="240" w:lineRule="auto"/>
        <w:ind w:left="630" w:hanging="630"/>
        <w:rPr>
          <w:rFonts w:cs="Arial"/>
          <w:b/>
          <w:color w:val="000000"/>
          <w:sz w:val="24"/>
        </w:rPr>
      </w:pPr>
      <w:r w:rsidRPr="00012C17">
        <w:rPr>
          <w:color w:val="000000"/>
          <w:sz w:val="24"/>
        </w:rPr>
        <w:t xml:space="preserve">On 16 June 2018, the mandate of judges: Snezhana Botusharova and Almiro Rodrigues was terminated. On 26 </w:t>
      </w:r>
      <w:r w:rsidRPr="00012C17">
        <w:rPr>
          <w:rFonts w:cs="Arial"/>
          <w:color w:val="000000"/>
          <w:sz w:val="24"/>
        </w:rPr>
        <w:t>June</w:t>
      </w:r>
      <w:r w:rsidRPr="00012C17">
        <w:rPr>
          <w:color w:val="000000"/>
          <w:sz w:val="24"/>
        </w:rPr>
        <w:t xml:space="preserve"> 2018, the mandate of judges: Altay</w:t>
      </w:r>
      <w:r w:rsidR="006E52F9" w:rsidRPr="00012C17">
        <w:rPr>
          <w:color w:val="000000"/>
          <w:sz w:val="24"/>
        </w:rPr>
        <w:t xml:space="preserve"> </w:t>
      </w:r>
      <w:r w:rsidRPr="00012C17">
        <w:rPr>
          <w:color w:val="000000"/>
          <w:sz w:val="24"/>
        </w:rPr>
        <w:t>Suroy and Ivan Čukalović was terminated</w:t>
      </w:r>
      <w:r w:rsidR="00A6162A" w:rsidRPr="00012C17">
        <w:rPr>
          <w:color w:val="000000"/>
          <w:sz w:val="24"/>
        </w:rPr>
        <w:t>.</w:t>
      </w:r>
    </w:p>
    <w:p w:rsidR="00A6162A" w:rsidRPr="00012C17" w:rsidRDefault="00A6162A" w:rsidP="001B11C5">
      <w:pPr>
        <w:spacing w:line="240" w:lineRule="auto"/>
        <w:rPr>
          <w:color w:val="000000"/>
          <w:sz w:val="24"/>
          <w:lang w:eastAsia="sq-AL" w:bidi="sq-AL"/>
        </w:rPr>
      </w:pPr>
    </w:p>
    <w:p w:rsidR="00A6162A" w:rsidRPr="00012C17" w:rsidRDefault="005D0367" w:rsidP="001B11C5">
      <w:pPr>
        <w:numPr>
          <w:ilvl w:val="0"/>
          <w:numId w:val="1"/>
        </w:numPr>
        <w:spacing w:line="240" w:lineRule="auto"/>
        <w:ind w:left="630" w:hanging="630"/>
        <w:rPr>
          <w:rFonts w:cs="Arial"/>
          <w:b/>
          <w:color w:val="000000"/>
          <w:sz w:val="24"/>
        </w:rPr>
      </w:pPr>
      <w:r w:rsidRPr="00012C17">
        <w:rPr>
          <w:color w:val="000000"/>
          <w:sz w:val="24"/>
          <w:lang w:bidi="sq-AL"/>
        </w:rPr>
        <w:lastRenderedPageBreak/>
        <w:t xml:space="preserve">On 9 August 2018, the </w:t>
      </w:r>
      <w:r w:rsidRPr="00012C17">
        <w:rPr>
          <w:rFonts w:cs="Arial"/>
          <w:color w:val="000000"/>
          <w:sz w:val="24"/>
        </w:rPr>
        <w:t>President</w:t>
      </w:r>
      <w:r w:rsidRPr="00012C17">
        <w:rPr>
          <w:color w:val="000000"/>
          <w:sz w:val="24"/>
          <w:lang w:bidi="sq-AL"/>
        </w:rPr>
        <w:t xml:space="preserve"> of the Republic of Kosovo appointed new judges: Bajram Ljatifi, Safet Hoxha, Radomir Laban, Remzije Istrefi-Peci and Nexhmi Rexhepi</w:t>
      </w:r>
      <w:r w:rsidR="00A6162A" w:rsidRPr="00012C17">
        <w:rPr>
          <w:color w:val="000000"/>
          <w:sz w:val="24"/>
          <w:lang w:eastAsia="sq-AL" w:bidi="sq-AL"/>
        </w:rPr>
        <w:t>.</w:t>
      </w:r>
    </w:p>
    <w:p w:rsidR="00A6162A" w:rsidRPr="00012C17" w:rsidRDefault="00A6162A" w:rsidP="001B11C5">
      <w:pPr>
        <w:spacing w:line="240" w:lineRule="auto"/>
        <w:rPr>
          <w:rFonts w:cs="Arial"/>
          <w:b/>
          <w:color w:val="000000"/>
          <w:sz w:val="24"/>
        </w:rPr>
      </w:pPr>
    </w:p>
    <w:p w:rsidR="00EF264E" w:rsidRPr="00012C17" w:rsidRDefault="00E248AE" w:rsidP="001B11C5">
      <w:pPr>
        <w:numPr>
          <w:ilvl w:val="0"/>
          <w:numId w:val="1"/>
        </w:numPr>
        <w:spacing w:line="240" w:lineRule="auto"/>
        <w:ind w:left="630" w:hanging="630"/>
        <w:rPr>
          <w:rFonts w:cs="Arial"/>
          <w:b/>
          <w:color w:val="000000"/>
          <w:sz w:val="24"/>
        </w:rPr>
      </w:pPr>
      <w:r w:rsidRPr="00012C17">
        <w:rPr>
          <w:rFonts w:cs="Arial"/>
          <w:color w:val="000000"/>
          <w:sz w:val="24"/>
        </w:rPr>
        <w:t xml:space="preserve">On 14 September 2018, </w:t>
      </w:r>
      <w:r w:rsidRPr="00012C17">
        <w:rPr>
          <w:color w:val="000000"/>
          <w:sz w:val="24"/>
        </w:rPr>
        <w:t>the</w:t>
      </w:r>
      <w:r w:rsidRPr="00012C17">
        <w:rPr>
          <w:rFonts w:cs="Arial"/>
          <w:color w:val="000000"/>
          <w:sz w:val="24"/>
        </w:rPr>
        <w:t xml:space="preserve"> Court notified Mr. Shpend A</w:t>
      </w:r>
      <w:r w:rsidR="004624A1" w:rsidRPr="00012C17">
        <w:rPr>
          <w:rFonts w:cs="Arial"/>
          <w:color w:val="000000"/>
          <w:sz w:val="24"/>
        </w:rPr>
        <w:t xml:space="preserve">hmeti about the receipt of the </w:t>
      </w:r>
      <w:r w:rsidRPr="00012C17">
        <w:rPr>
          <w:rFonts w:cs="Arial"/>
          <w:color w:val="000000"/>
          <w:sz w:val="24"/>
        </w:rPr>
        <w:t>additional comments from the Applicants and sent a copy of them</w:t>
      </w:r>
      <w:r w:rsidR="00A6162A" w:rsidRPr="00012C17">
        <w:rPr>
          <w:rFonts w:cs="Arial"/>
          <w:color w:val="000000"/>
          <w:sz w:val="24"/>
        </w:rPr>
        <w:t>.</w:t>
      </w:r>
    </w:p>
    <w:p w:rsidR="00EF264E" w:rsidRPr="00012C17" w:rsidRDefault="00EF264E" w:rsidP="001B11C5">
      <w:pPr>
        <w:spacing w:line="240" w:lineRule="auto"/>
        <w:rPr>
          <w:rFonts w:cs="Arial"/>
          <w:color w:val="000000"/>
          <w:sz w:val="24"/>
        </w:rPr>
      </w:pPr>
    </w:p>
    <w:p w:rsidR="00EF264E" w:rsidRPr="00012C17" w:rsidRDefault="00E248AE" w:rsidP="001B11C5">
      <w:pPr>
        <w:numPr>
          <w:ilvl w:val="0"/>
          <w:numId w:val="1"/>
        </w:numPr>
        <w:spacing w:line="240" w:lineRule="auto"/>
        <w:ind w:left="630" w:hanging="630"/>
        <w:rPr>
          <w:rFonts w:cs="Arial"/>
          <w:b/>
          <w:color w:val="000000"/>
          <w:sz w:val="24"/>
        </w:rPr>
      </w:pPr>
      <w:r w:rsidRPr="00012C17">
        <w:rPr>
          <w:rFonts w:cs="Arial"/>
          <w:color w:val="000000"/>
          <w:sz w:val="24"/>
        </w:rPr>
        <w:t xml:space="preserve">On 14 September 2018, the Court notified </w:t>
      </w:r>
      <w:r w:rsidR="00F05E0A" w:rsidRPr="00012C17">
        <w:rPr>
          <w:rFonts w:cs="Arial"/>
          <w:color w:val="000000"/>
          <w:sz w:val="24"/>
        </w:rPr>
        <w:t>VETËVENDOSJE! Movement</w:t>
      </w:r>
      <w:r w:rsidRPr="00012C17">
        <w:rPr>
          <w:rFonts w:cs="Arial"/>
          <w:color w:val="000000"/>
          <w:sz w:val="24"/>
        </w:rPr>
        <w:t xml:space="preserve">, in the capacity of the interested party, about the registration of the Referral and also sent a copy of the Referral </w:t>
      </w:r>
      <w:r w:rsidRPr="00012C17">
        <w:rPr>
          <w:color w:val="000000"/>
          <w:sz w:val="24"/>
        </w:rPr>
        <w:t>together</w:t>
      </w:r>
      <w:r w:rsidRPr="00012C17">
        <w:rPr>
          <w:rFonts w:cs="Arial"/>
          <w:color w:val="000000"/>
          <w:sz w:val="24"/>
        </w:rPr>
        <w:t xml:space="preserve"> with a copy of the comments submitted by the Applicants and by Mr. Shpend Ahmeti. The Court invited </w:t>
      </w:r>
      <w:r w:rsidR="00062F88" w:rsidRPr="00012C17">
        <w:rPr>
          <w:rFonts w:cs="Arial"/>
          <w:color w:val="000000"/>
          <w:sz w:val="24"/>
        </w:rPr>
        <w:t>it</w:t>
      </w:r>
      <w:r w:rsidRPr="00012C17">
        <w:rPr>
          <w:rFonts w:cs="Arial"/>
          <w:color w:val="000000"/>
          <w:sz w:val="24"/>
        </w:rPr>
        <w:t xml:space="preserve"> to submit its comments, if any, within fourteen (14) days from the day of receipt of the notification letter. </w:t>
      </w:r>
      <w:r w:rsidR="00F05E0A" w:rsidRPr="00012C17">
        <w:rPr>
          <w:rFonts w:cs="Arial"/>
          <w:color w:val="000000"/>
          <w:sz w:val="24"/>
        </w:rPr>
        <w:t>VETËVENDOSJE! Movement</w:t>
      </w:r>
      <w:r w:rsidRPr="00012C17">
        <w:rPr>
          <w:rFonts w:cs="Arial"/>
          <w:color w:val="000000"/>
          <w:sz w:val="24"/>
        </w:rPr>
        <w:t xml:space="preserve"> did not submit comments to the Court</w:t>
      </w:r>
      <w:r w:rsidR="00A6162A" w:rsidRPr="00012C17">
        <w:rPr>
          <w:rFonts w:cs="Arial"/>
          <w:color w:val="000000"/>
          <w:sz w:val="24"/>
        </w:rPr>
        <w:t>.</w:t>
      </w:r>
    </w:p>
    <w:p w:rsidR="00EF264E" w:rsidRPr="00012C17" w:rsidRDefault="00EF264E" w:rsidP="001B11C5">
      <w:pPr>
        <w:spacing w:line="240" w:lineRule="auto"/>
        <w:rPr>
          <w:color w:val="000000"/>
          <w:sz w:val="24"/>
        </w:rPr>
      </w:pPr>
    </w:p>
    <w:p w:rsidR="00A6162A" w:rsidRPr="00012C17" w:rsidRDefault="00E248AE" w:rsidP="001B11C5">
      <w:pPr>
        <w:numPr>
          <w:ilvl w:val="0"/>
          <w:numId w:val="1"/>
        </w:numPr>
        <w:spacing w:line="240" w:lineRule="auto"/>
        <w:ind w:left="630" w:hanging="630"/>
        <w:rPr>
          <w:rFonts w:cs="Arial"/>
          <w:b/>
          <w:color w:val="000000"/>
          <w:sz w:val="24"/>
        </w:rPr>
      </w:pPr>
      <w:r w:rsidRPr="00012C17">
        <w:rPr>
          <w:color w:val="000000"/>
          <w:sz w:val="24"/>
        </w:rPr>
        <w:t xml:space="preserve">On 26 October 2018, </w:t>
      </w:r>
      <w:r w:rsidR="005F3372" w:rsidRPr="00012C17">
        <w:rPr>
          <w:color w:val="000000"/>
          <w:sz w:val="24"/>
        </w:rPr>
        <w:t>as the mandate of the abovementioned four judges was terminated as a Judge</w:t>
      </w:r>
      <w:r w:rsidR="006634E8" w:rsidRPr="00012C17">
        <w:rPr>
          <w:color w:val="000000"/>
          <w:sz w:val="24"/>
        </w:rPr>
        <w:t>s</w:t>
      </w:r>
      <w:r w:rsidR="005F3372" w:rsidRPr="00012C17">
        <w:rPr>
          <w:color w:val="000000"/>
          <w:sz w:val="24"/>
        </w:rPr>
        <w:t xml:space="preserve"> of the Court, </w:t>
      </w:r>
      <w:r w:rsidRPr="00012C17">
        <w:rPr>
          <w:color w:val="000000"/>
          <w:sz w:val="24"/>
        </w:rPr>
        <w:t xml:space="preserve">the President </w:t>
      </w:r>
      <w:r w:rsidR="005F3372" w:rsidRPr="00012C17">
        <w:rPr>
          <w:color w:val="000000"/>
          <w:sz w:val="24"/>
        </w:rPr>
        <w:t xml:space="preserve">of the Court, based on the Law and the Rules of Procedure, </w:t>
      </w:r>
      <w:r w:rsidRPr="00012C17">
        <w:rPr>
          <w:color w:val="000000"/>
          <w:sz w:val="24"/>
        </w:rPr>
        <w:t>appointed the new Review Panel composed of Judges: Arta Rama-Hajrizi (Presiding), Remzije Istrefi-Peci and Nexhmi Rexhepi</w:t>
      </w:r>
      <w:r w:rsidR="00A6162A" w:rsidRPr="00012C17">
        <w:rPr>
          <w:color w:val="000000"/>
          <w:sz w:val="24"/>
        </w:rPr>
        <w:t>.</w:t>
      </w:r>
    </w:p>
    <w:p w:rsidR="00062F88" w:rsidRPr="00012C17" w:rsidRDefault="00062F88" w:rsidP="001B11C5">
      <w:pPr>
        <w:pStyle w:val="ListParagraph"/>
        <w:spacing w:after="0" w:line="240" w:lineRule="auto"/>
        <w:rPr>
          <w:rFonts w:cs="Arial"/>
          <w:b/>
          <w:color w:val="000000"/>
          <w:sz w:val="24"/>
          <w:lang w:val="en-US"/>
        </w:rPr>
      </w:pPr>
    </w:p>
    <w:p w:rsidR="009D0BAA" w:rsidRPr="00012C17" w:rsidRDefault="00E248AE" w:rsidP="001B11C5">
      <w:pPr>
        <w:numPr>
          <w:ilvl w:val="0"/>
          <w:numId w:val="1"/>
        </w:numPr>
        <w:spacing w:line="240" w:lineRule="auto"/>
        <w:ind w:left="630" w:hanging="630"/>
        <w:rPr>
          <w:rFonts w:cs="Arial"/>
          <w:color w:val="000000"/>
          <w:sz w:val="24"/>
        </w:rPr>
      </w:pPr>
      <w:r w:rsidRPr="00012C17">
        <w:rPr>
          <w:rFonts w:cs="Arial"/>
          <w:color w:val="000000"/>
          <w:sz w:val="24"/>
        </w:rPr>
        <w:t xml:space="preserve">On </w:t>
      </w:r>
      <w:r w:rsidR="004624A1" w:rsidRPr="00012C17">
        <w:rPr>
          <w:rFonts w:cs="Arial"/>
          <w:color w:val="000000"/>
          <w:sz w:val="24"/>
        </w:rPr>
        <w:t>20</w:t>
      </w:r>
      <w:r w:rsidRPr="00012C17">
        <w:rPr>
          <w:rFonts w:cs="Arial"/>
          <w:color w:val="000000"/>
          <w:sz w:val="24"/>
        </w:rPr>
        <w:t xml:space="preserve"> December 2018, Judge Bajram Ljatifi requested </w:t>
      </w:r>
      <w:r w:rsidR="006634E8" w:rsidRPr="00012C17">
        <w:rPr>
          <w:rFonts w:cs="Arial"/>
          <w:color w:val="000000"/>
          <w:sz w:val="24"/>
        </w:rPr>
        <w:t xml:space="preserve">from </w:t>
      </w:r>
      <w:r w:rsidRPr="00012C17">
        <w:rPr>
          <w:rFonts w:cs="Arial"/>
          <w:color w:val="000000"/>
          <w:sz w:val="24"/>
        </w:rPr>
        <w:t xml:space="preserve">the President of the Court to be excluded from the review of the Referral No. KI48/18, because </w:t>
      </w:r>
      <w:r w:rsidR="004624A1" w:rsidRPr="00012C17">
        <w:rPr>
          <w:rFonts w:cs="Arial"/>
          <w:color w:val="000000"/>
          <w:sz w:val="24"/>
        </w:rPr>
        <w:t xml:space="preserve">he </w:t>
      </w:r>
      <w:r w:rsidR="00062F88" w:rsidRPr="00012C17">
        <w:rPr>
          <w:rFonts w:cs="Arial"/>
          <w:color w:val="000000"/>
          <w:sz w:val="24"/>
        </w:rPr>
        <w:t>was</w:t>
      </w:r>
      <w:r w:rsidRPr="00012C17">
        <w:rPr>
          <w:rFonts w:cs="Arial"/>
          <w:color w:val="000000"/>
          <w:sz w:val="24"/>
        </w:rPr>
        <w:t xml:space="preserve"> previously </w:t>
      </w:r>
      <w:r w:rsidR="00062F88" w:rsidRPr="00012C17">
        <w:rPr>
          <w:rFonts w:cs="Arial"/>
          <w:color w:val="000000"/>
          <w:sz w:val="24"/>
        </w:rPr>
        <w:t>a</w:t>
      </w:r>
      <w:r w:rsidRPr="00012C17">
        <w:rPr>
          <w:rFonts w:cs="Arial"/>
          <w:color w:val="000000"/>
          <w:sz w:val="24"/>
        </w:rPr>
        <w:t xml:space="preserve"> part of the decision-making process for the same request regarding the proceedings conducted before the Central Election Commission (hereinafter: the CEC</w:t>
      </w:r>
      <w:r w:rsidR="009D0BAA" w:rsidRPr="00012C17">
        <w:rPr>
          <w:rFonts w:cs="Arial"/>
          <w:color w:val="000000"/>
          <w:sz w:val="24"/>
        </w:rPr>
        <w:t xml:space="preserve">). </w:t>
      </w:r>
    </w:p>
    <w:p w:rsidR="009D0BAA" w:rsidRPr="00012C17" w:rsidRDefault="009D0BAA" w:rsidP="001B11C5">
      <w:pPr>
        <w:spacing w:line="240" w:lineRule="auto"/>
        <w:rPr>
          <w:rFonts w:cs="Arial"/>
          <w:color w:val="000000"/>
          <w:sz w:val="24"/>
        </w:rPr>
      </w:pPr>
    </w:p>
    <w:p w:rsidR="009D0BAA" w:rsidRPr="00012C17" w:rsidRDefault="00E248AE" w:rsidP="001B11C5">
      <w:pPr>
        <w:numPr>
          <w:ilvl w:val="0"/>
          <w:numId w:val="1"/>
        </w:numPr>
        <w:spacing w:line="240" w:lineRule="auto"/>
        <w:ind w:left="630" w:hanging="630"/>
        <w:rPr>
          <w:rFonts w:cs="Arial"/>
          <w:b/>
          <w:color w:val="000000"/>
          <w:sz w:val="24"/>
        </w:rPr>
      </w:pPr>
      <w:r w:rsidRPr="00012C17">
        <w:rPr>
          <w:color w:val="000000"/>
          <w:sz w:val="24"/>
        </w:rPr>
        <w:t xml:space="preserve">On </w:t>
      </w:r>
      <w:r w:rsidR="004624A1" w:rsidRPr="00012C17">
        <w:rPr>
          <w:color w:val="000000"/>
          <w:sz w:val="24"/>
        </w:rPr>
        <w:t>21</w:t>
      </w:r>
      <w:r w:rsidRPr="00012C17">
        <w:rPr>
          <w:color w:val="000000"/>
          <w:sz w:val="24"/>
        </w:rPr>
        <w:t xml:space="preserve"> December 2018, the President, in accordance with Article </w:t>
      </w:r>
      <w:r w:rsidR="004624A1" w:rsidRPr="00012C17">
        <w:rPr>
          <w:rFonts w:cs="Arial"/>
          <w:color w:val="000000"/>
          <w:sz w:val="24"/>
        </w:rPr>
        <w:t>18.1 (1.3)</w:t>
      </w:r>
      <w:r w:rsidR="006E52F9" w:rsidRPr="00012C17">
        <w:rPr>
          <w:rFonts w:cs="Arial"/>
          <w:color w:val="000000"/>
          <w:sz w:val="24"/>
        </w:rPr>
        <w:t xml:space="preserve"> </w:t>
      </w:r>
      <w:r w:rsidRPr="00012C17">
        <w:rPr>
          <w:color w:val="000000"/>
          <w:sz w:val="24"/>
        </w:rPr>
        <w:t xml:space="preserve">of the Law and Rule (9) of the Rules of </w:t>
      </w:r>
      <w:r w:rsidRPr="00012C17">
        <w:rPr>
          <w:rFonts w:cs="Arial"/>
          <w:color w:val="000000"/>
          <w:sz w:val="24"/>
        </w:rPr>
        <w:t>Procedure</w:t>
      </w:r>
      <w:r w:rsidRPr="00012C17">
        <w:rPr>
          <w:color w:val="000000"/>
          <w:sz w:val="24"/>
        </w:rPr>
        <w:t xml:space="preserve">, rendered the decision </w:t>
      </w:r>
      <w:r w:rsidR="00FB625F" w:rsidRPr="00012C17">
        <w:rPr>
          <w:color w:val="000000"/>
          <w:sz w:val="24"/>
        </w:rPr>
        <w:t xml:space="preserve">by </w:t>
      </w:r>
      <w:r w:rsidR="004624A1" w:rsidRPr="00012C17">
        <w:rPr>
          <w:color w:val="000000"/>
          <w:sz w:val="24"/>
        </w:rPr>
        <w:t>which the request for the recusal from the review and decision-making process regarding case KI48/18 was approved.</w:t>
      </w:r>
    </w:p>
    <w:p w:rsidR="00FB625F" w:rsidRPr="00012C17" w:rsidRDefault="00FB625F" w:rsidP="001B11C5">
      <w:pPr>
        <w:pStyle w:val="ListParagraph"/>
        <w:spacing w:after="0" w:line="240" w:lineRule="auto"/>
        <w:rPr>
          <w:rFonts w:cs="Arial"/>
          <w:b/>
          <w:color w:val="000000"/>
          <w:sz w:val="24"/>
          <w:lang w:val="en-US"/>
        </w:rPr>
      </w:pPr>
    </w:p>
    <w:p w:rsidR="00FB625F" w:rsidRPr="00012C17" w:rsidRDefault="00FB625F" w:rsidP="001B11C5">
      <w:pPr>
        <w:numPr>
          <w:ilvl w:val="0"/>
          <w:numId w:val="1"/>
        </w:numPr>
        <w:spacing w:line="240" w:lineRule="auto"/>
        <w:ind w:left="630" w:hanging="630"/>
        <w:rPr>
          <w:rFonts w:cs="Arial"/>
          <w:bCs/>
          <w:color w:val="000000"/>
          <w:sz w:val="24"/>
        </w:rPr>
      </w:pPr>
      <w:r w:rsidRPr="00012C17">
        <w:rPr>
          <w:rFonts w:cs="Arial"/>
          <w:bCs/>
          <w:color w:val="000000"/>
          <w:sz w:val="24"/>
        </w:rPr>
        <w:t>On 22 January 2019, the Applicants filed a request for holding a hearing.</w:t>
      </w:r>
    </w:p>
    <w:p w:rsidR="00FB625F" w:rsidRPr="00012C17" w:rsidRDefault="00FB625F" w:rsidP="001B11C5">
      <w:pPr>
        <w:spacing w:line="240" w:lineRule="auto"/>
        <w:ind w:left="630"/>
        <w:rPr>
          <w:rFonts w:cs="Arial"/>
          <w:bCs/>
          <w:color w:val="000000"/>
          <w:sz w:val="24"/>
        </w:rPr>
      </w:pPr>
    </w:p>
    <w:p w:rsidR="00FB625F" w:rsidRPr="00012C17" w:rsidRDefault="00FB625F" w:rsidP="001B11C5">
      <w:pPr>
        <w:numPr>
          <w:ilvl w:val="0"/>
          <w:numId w:val="1"/>
        </w:numPr>
        <w:spacing w:line="240" w:lineRule="auto"/>
        <w:ind w:left="630" w:hanging="630"/>
        <w:rPr>
          <w:rFonts w:cs="Arial"/>
          <w:bCs/>
          <w:color w:val="000000"/>
          <w:sz w:val="24"/>
        </w:rPr>
      </w:pPr>
      <w:r w:rsidRPr="00012C17">
        <w:rPr>
          <w:rFonts w:cs="Arial"/>
          <w:bCs/>
          <w:color w:val="000000"/>
          <w:sz w:val="24"/>
        </w:rPr>
        <w:t xml:space="preserve">On 23 January 2019, the Review </w:t>
      </w:r>
      <w:r w:rsidRPr="00012C17">
        <w:rPr>
          <w:rFonts w:cs="Arial"/>
          <w:color w:val="000000"/>
          <w:sz w:val="24"/>
        </w:rPr>
        <w:t>Panel</w:t>
      </w:r>
      <w:r w:rsidRPr="00012C17">
        <w:rPr>
          <w:rFonts w:cs="Arial"/>
          <w:bCs/>
          <w:color w:val="000000"/>
          <w:sz w:val="24"/>
        </w:rPr>
        <w:t xml:space="preserve"> considered the Report of the Judge Rapporteur and unanimously recommended to the Court the admissibility of the Referral.</w:t>
      </w:r>
    </w:p>
    <w:p w:rsidR="00FB625F" w:rsidRPr="00012C17" w:rsidRDefault="00FB625F" w:rsidP="001B11C5">
      <w:pPr>
        <w:spacing w:line="240" w:lineRule="auto"/>
        <w:ind w:left="630"/>
        <w:rPr>
          <w:rFonts w:cs="Arial"/>
          <w:bCs/>
          <w:color w:val="000000"/>
          <w:sz w:val="24"/>
        </w:rPr>
      </w:pPr>
    </w:p>
    <w:p w:rsidR="00FB625F" w:rsidRPr="00012C17" w:rsidRDefault="00FB625F" w:rsidP="001B11C5">
      <w:pPr>
        <w:numPr>
          <w:ilvl w:val="0"/>
          <w:numId w:val="1"/>
        </w:numPr>
        <w:spacing w:line="240" w:lineRule="auto"/>
        <w:ind w:left="630" w:hanging="630"/>
        <w:rPr>
          <w:rFonts w:cs="Arial"/>
          <w:bCs/>
          <w:color w:val="000000"/>
          <w:sz w:val="24"/>
        </w:rPr>
      </w:pPr>
      <w:r w:rsidRPr="00012C17">
        <w:rPr>
          <w:rFonts w:cs="Arial"/>
          <w:bCs/>
          <w:color w:val="000000"/>
          <w:sz w:val="24"/>
        </w:rPr>
        <w:t xml:space="preserve">On the same date, the Court </w:t>
      </w:r>
      <w:r w:rsidR="008A2C27" w:rsidRPr="00012C17">
        <w:rPr>
          <w:rFonts w:cs="Arial"/>
          <w:bCs/>
          <w:color w:val="000000"/>
          <w:sz w:val="24"/>
        </w:rPr>
        <w:t>voted unanimously</w:t>
      </w:r>
      <w:r w:rsidRPr="00012C17">
        <w:rPr>
          <w:rFonts w:cs="Arial"/>
          <w:bCs/>
          <w:color w:val="000000"/>
          <w:sz w:val="24"/>
        </w:rPr>
        <w:t xml:space="preserve"> that the Referral is admissible, and that the </w:t>
      </w:r>
      <w:r w:rsidR="008A2C27" w:rsidRPr="00012C17">
        <w:rPr>
          <w:rFonts w:cs="Arial"/>
          <w:bCs/>
          <w:color w:val="000000"/>
          <w:sz w:val="24"/>
        </w:rPr>
        <w:t>challenged</w:t>
      </w:r>
      <w:r w:rsidRPr="00012C17">
        <w:rPr>
          <w:rFonts w:cs="Arial"/>
          <w:bCs/>
          <w:color w:val="000000"/>
          <w:sz w:val="24"/>
        </w:rPr>
        <w:t xml:space="preserve"> decisions of the Supreme Court, </w:t>
      </w:r>
      <w:r w:rsidR="008A2C27" w:rsidRPr="00012C17">
        <w:rPr>
          <w:rFonts w:cs="Arial"/>
          <w:bCs/>
          <w:color w:val="000000"/>
          <w:sz w:val="24"/>
        </w:rPr>
        <w:t>namely</w:t>
      </w:r>
      <w:r w:rsidRPr="00012C17">
        <w:rPr>
          <w:rFonts w:cs="Arial"/>
          <w:bCs/>
          <w:color w:val="000000"/>
          <w:sz w:val="24"/>
        </w:rPr>
        <w:t xml:space="preserve"> </w:t>
      </w:r>
      <w:r w:rsidR="008A2C27" w:rsidRPr="00012C17">
        <w:rPr>
          <w:rFonts w:cs="Arial"/>
          <w:bCs/>
          <w:color w:val="000000"/>
          <w:sz w:val="24"/>
        </w:rPr>
        <w:t>Decision</w:t>
      </w:r>
      <w:r w:rsidRPr="00012C17">
        <w:rPr>
          <w:rFonts w:cs="Arial"/>
          <w:bCs/>
          <w:color w:val="000000"/>
          <w:sz w:val="24"/>
        </w:rPr>
        <w:t xml:space="preserve"> [AA. </w:t>
      </w:r>
      <w:r w:rsidR="008A2C27" w:rsidRPr="00012C17">
        <w:rPr>
          <w:rFonts w:cs="Arial"/>
          <w:bCs/>
          <w:color w:val="000000"/>
          <w:sz w:val="24"/>
        </w:rPr>
        <w:t>N</w:t>
      </w:r>
      <w:r w:rsidRPr="00012C17">
        <w:rPr>
          <w:rFonts w:cs="Arial"/>
          <w:bCs/>
          <w:color w:val="000000"/>
          <w:sz w:val="24"/>
        </w:rPr>
        <w:t>o. 52/2017] of 25 November 2017 and Judgment [A.A. U</w:t>
      </w:r>
      <w:r w:rsidR="008A2C27" w:rsidRPr="00012C17">
        <w:rPr>
          <w:rFonts w:cs="Arial"/>
          <w:bCs/>
          <w:color w:val="000000"/>
          <w:sz w:val="24"/>
        </w:rPr>
        <w:t>ZH</w:t>
      </w:r>
      <w:r w:rsidRPr="00012C17">
        <w:rPr>
          <w:rFonts w:cs="Arial"/>
          <w:bCs/>
          <w:color w:val="000000"/>
          <w:sz w:val="24"/>
        </w:rPr>
        <w:t xml:space="preserve">. </w:t>
      </w:r>
      <w:r w:rsidR="008A2C27" w:rsidRPr="00012C17">
        <w:rPr>
          <w:rFonts w:cs="Arial"/>
          <w:bCs/>
          <w:color w:val="000000"/>
          <w:sz w:val="24"/>
        </w:rPr>
        <w:t>N</w:t>
      </w:r>
      <w:r w:rsidRPr="00012C17">
        <w:rPr>
          <w:rFonts w:cs="Arial"/>
          <w:bCs/>
          <w:color w:val="000000"/>
          <w:sz w:val="24"/>
        </w:rPr>
        <w:t xml:space="preserve">o. 62/2017] of 7 December 2017 </w:t>
      </w:r>
      <w:r w:rsidR="008A2C27" w:rsidRPr="00012C17">
        <w:rPr>
          <w:rFonts w:cs="Arial"/>
          <w:bCs/>
          <w:color w:val="000000"/>
          <w:sz w:val="24"/>
        </w:rPr>
        <w:t>are compatible</w:t>
      </w:r>
      <w:r w:rsidRPr="00012C17">
        <w:rPr>
          <w:rFonts w:cs="Arial"/>
          <w:bCs/>
          <w:color w:val="000000"/>
          <w:sz w:val="24"/>
        </w:rPr>
        <w:t xml:space="preserve"> with Article 54 [Judicial Protection of Rights] and 32 [Right to Legal Remedies] of the Constitution in conjunction with Article 13 (Right to an </w:t>
      </w:r>
      <w:r w:rsidR="008A2C27" w:rsidRPr="00012C17">
        <w:rPr>
          <w:rFonts w:cs="Arial"/>
          <w:bCs/>
          <w:color w:val="000000"/>
          <w:sz w:val="24"/>
        </w:rPr>
        <w:t>e</w:t>
      </w:r>
      <w:r w:rsidRPr="00012C17">
        <w:rPr>
          <w:rFonts w:cs="Arial"/>
          <w:bCs/>
          <w:color w:val="000000"/>
          <w:sz w:val="24"/>
        </w:rPr>
        <w:t xml:space="preserve">ffective </w:t>
      </w:r>
      <w:r w:rsidR="008A2C27" w:rsidRPr="00012C17">
        <w:rPr>
          <w:rFonts w:cs="Arial"/>
          <w:bCs/>
          <w:color w:val="000000"/>
          <w:sz w:val="24"/>
        </w:rPr>
        <w:t>remedy</w:t>
      </w:r>
      <w:r w:rsidRPr="00012C17">
        <w:rPr>
          <w:rFonts w:cs="Arial"/>
          <w:bCs/>
          <w:color w:val="000000"/>
          <w:sz w:val="24"/>
        </w:rPr>
        <w:t>) of the European Convention</w:t>
      </w:r>
      <w:r w:rsidR="008A2C27" w:rsidRPr="00012C17">
        <w:rPr>
          <w:rFonts w:cs="Arial"/>
          <w:bCs/>
          <w:color w:val="000000"/>
          <w:sz w:val="24"/>
        </w:rPr>
        <w:t xml:space="preserve"> on Human Rights</w:t>
      </w:r>
      <w:r w:rsidRPr="00012C17">
        <w:rPr>
          <w:rFonts w:cs="Arial"/>
          <w:bCs/>
          <w:color w:val="000000"/>
          <w:sz w:val="24"/>
        </w:rPr>
        <w:t xml:space="preserve"> (hereinafter: </w:t>
      </w:r>
      <w:r w:rsidR="008A2C27" w:rsidRPr="00012C17">
        <w:rPr>
          <w:rFonts w:cs="Arial"/>
          <w:bCs/>
          <w:color w:val="000000"/>
          <w:sz w:val="24"/>
        </w:rPr>
        <w:t xml:space="preserve">the </w:t>
      </w:r>
      <w:r w:rsidRPr="00012C17">
        <w:rPr>
          <w:rFonts w:cs="Arial"/>
          <w:bCs/>
          <w:color w:val="000000"/>
          <w:sz w:val="24"/>
        </w:rPr>
        <w:t>ECHR) and Article 45 [</w:t>
      </w:r>
      <w:r w:rsidR="008A2C27" w:rsidRPr="00012C17">
        <w:rPr>
          <w:rFonts w:cs="Arial"/>
          <w:bCs/>
          <w:color w:val="000000"/>
          <w:sz w:val="24"/>
        </w:rPr>
        <w:t>Freedom of Election</w:t>
      </w:r>
      <w:r w:rsidRPr="00012C17">
        <w:rPr>
          <w:rFonts w:cs="Arial"/>
          <w:bCs/>
          <w:color w:val="000000"/>
          <w:sz w:val="24"/>
        </w:rPr>
        <w:t xml:space="preserve"> and Participation] of the Constitution in conjunction with Article 3 (Right to </w:t>
      </w:r>
      <w:r w:rsidR="008A2C27" w:rsidRPr="00012C17">
        <w:rPr>
          <w:rFonts w:cs="Arial"/>
          <w:bCs/>
          <w:color w:val="000000"/>
          <w:sz w:val="24"/>
        </w:rPr>
        <w:t>free elections</w:t>
      </w:r>
      <w:r w:rsidRPr="00012C17">
        <w:rPr>
          <w:rFonts w:cs="Arial"/>
          <w:bCs/>
          <w:color w:val="000000"/>
          <w:sz w:val="24"/>
        </w:rPr>
        <w:t xml:space="preserve">) of Protocol </w:t>
      </w:r>
      <w:r w:rsidR="008A2C27" w:rsidRPr="00012C17">
        <w:rPr>
          <w:rFonts w:cs="Arial"/>
          <w:bCs/>
          <w:color w:val="000000"/>
          <w:sz w:val="24"/>
        </w:rPr>
        <w:t>N</w:t>
      </w:r>
      <w:r w:rsidRPr="00012C17">
        <w:rPr>
          <w:rFonts w:cs="Arial"/>
          <w:bCs/>
          <w:color w:val="000000"/>
          <w:sz w:val="24"/>
        </w:rPr>
        <w:t xml:space="preserve">o. 1 </w:t>
      </w:r>
      <w:r w:rsidR="008A2C27" w:rsidRPr="00012C17">
        <w:rPr>
          <w:rFonts w:cs="Arial"/>
          <w:bCs/>
          <w:color w:val="000000"/>
          <w:sz w:val="24"/>
        </w:rPr>
        <w:t>to</w:t>
      </w:r>
      <w:r w:rsidRPr="00012C17">
        <w:rPr>
          <w:rFonts w:cs="Arial"/>
          <w:bCs/>
          <w:color w:val="000000"/>
          <w:sz w:val="24"/>
        </w:rPr>
        <w:t xml:space="preserve"> the ECHR.</w:t>
      </w:r>
    </w:p>
    <w:p w:rsidR="00FB625F" w:rsidRPr="00012C17" w:rsidRDefault="00FB625F" w:rsidP="001B11C5">
      <w:pPr>
        <w:spacing w:line="240" w:lineRule="auto"/>
        <w:ind w:left="630"/>
        <w:rPr>
          <w:rFonts w:cs="Arial"/>
          <w:bCs/>
          <w:color w:val="000000"/>
          <w:sz w:val="24"/>
        </w:rPr>
      </w:pPr>
    </w:p>
    <w:p w:rsidR="00FB625F" w:rsidRPr="00012C17" w:rsidRDefault="00FB625F" w:rsidP="001B11C5">
      <w:pPr>
        <w:numPr>
          <w:ilvl w:val="0"/>
          <w:numId w:val="1"/>
        </w:numPr>
        <w:spacing w:line="240" w:lineRule="auto"/>
        <w:ind w:left="630" w:hanging="630"/>
        <w:rPr>
          <w:rFonts w:cs="Arial"/>
          <w:bCs/>
          <w:color w:val="000000"/>
          <w:sz w:val="24"/>
        </w:rPr>
      </w:pPr>
      <w:r w:rsidRPr="00012C17">
        <w:rPr>
          <w:rFonts w:cs="Arial"/>
          <w:bCs/>
          <w:color w:val="000000"/>
          <w:sz w:val="24"/>
        </w:rPr>
        <w:t xml:space="preserve">On the same date, the Court </w:t>
      </w:r>
      <w:r w:rsidRPr="00012C17">
        <w:rPr>
          <w:rFonts w:cs="Arial"/>
          <w:color w:val="000000"/>
          <w:sz w:val="24"/>
        </w:rPr>
        <w:t>unanimously</w:t>
      </w:r>
      <w:r w:rsidRPr="00012C17">
        <w:rPr>
          <w:rFonts w:cs="Arial"/>
          <w:bCs/>
          <w:color w:val="000000"/>
          <w:sz w:val="24"/>
        </w:rPr>
        <w:t xml:space="preserve"> voted</w:t>
      </w:r>
      <w:r w:rsidR="008A2C27" w:rsidRPr="00012C17">
        <w:rPr>
          <w:rFonts w:cs="Arial"/>
          <w:bCs/>
          <w:color w:val="000000"/>
          <w:sz w:val="24"/>
        </w:rPr>
        <w:t xml:space="preserve"> to reject</w:t>
      </w:r>
      <w:r w:rsidRPr="00012C17">
        <w:rPr>
          <w:rFonts w:cs="Arial"/>
          <w:bCs/>
          <w:color w:val="000000"/>
          <w:sz w:val="24"/>
        </w:rPr>
        <w:t xml:space="preserve"> the request of the </w:t>
      </w:r>
      <w:r w:rsidR="008A2C27" w:rsidRPr="00012C17">
        <w:rPr>
          <w:rFonts w:cs="Arial"/>
          <w:bCs/>
          <w:color w:val="000000"/>
          <w:sz w:val="24"/>
        </w:rPr>
        <w:t>A</w:t>
      </w:r>
      <w:r w:rsidRPr="00012C17">
        <w:rPr>
          <w:rFonts w:cs="Arial"/>
          <w:bCs/>
          <w:color w:val="000000"/>
          <w:sz w:val="24"/>
        </w:rPr>
        <w:t>pplicants for a hearing.</w:t>
      </w:r>
    </w:p>
    <w:p w:rsidR="00A6162A" w:rsidRPr="00012C17" w:rsidRDefault="00A6162A" w:rsidP="001B11C5">
      <w:pPr>
        <w:spacing w:line="240" w:lineRule="auto"/>
        <w:rPr>
          <w:rFonts w:cs="Arial"/>
          <w:b/>
          <w:color w:val="000000"/>
          <w:sz w:val="24"/>
        </w:rPr>
      </w:pPr>
    </w:p>
    <w:p w:rsidR="00A6162A" w:rsidRPr="00012C17" w:rsidRDefault="00E248AE" w:rsidP="001B11C5">
      <w:pPr>
        <w:spacing w:line="240" w:lineRule="auto"/>
        <w:rPr>
          <w:rFonts w:cs="Arial"/>
          <w:b/>
          <w:color w:val="000000"/>
          <w:sz w:val="24"/>
        </w:rPr>
      </w:pPr>
      <w:r w:rsidRPr="00012C17">
        <w:rPr>
          <w:rFonts w:cs="Arial"/>
          <w:b/>
          <w:color w:val="000000"/>
          <w:sz w:val="24"/>
        </w:rPr>
        <w:t>Summary of facts</w:t>
      </w:r>
      <w:r w:rsidR="00A6162A" w:rsidRPr="00012C17">
        <w:rPr>
          <w:rFonts w:cs="Arial"/>
          <w:b/>
          <w:color w:val="000000"/>
          <w:sz w:val="24"/>
        </w:rPr>
        <w:t xml:space="preserve"> </w:t>
      </w:r>
    </w:p>
    <w:p w:rsidR="00D72BE7" w:rsidRPr="00012C17" w:rsidRDefault="00D72BE7" w:rsidP="001B11C5">
      <w:pPr>
        <w:spacing w:line="240" w:lineRule="auto"/>
        <w:rPr>
          <w:rFonts w:cs="Arial"/>
          <w:color w:val="000000"/>
          <w:sz w:val="24"/>
        </w:rPr>
      </w:pPr>
    </w:p>
    <w:p w:rsidR="002F7067" w:rsidRPr="00012C17" w:rsidRDefault="00AD1950" w:rsidP="001B11C5">
      <w:pPr>
        <w:numPr>
          <w:ilvl w:val="0"/>
          <w:numId w:val="1"/>
        </w:numPr>
        <w:spacing w:line="240" w:lineRule="auto"/>
        <w:ind w:left="630" w:hanging="630"/>
        <w:rPr>
          <w:rFonts w:cs="Arial"/>
          <w:color w:val="000000"/>
          <w:sz w:val="24"/>
        </w:rPr>
      </w:pPr>
      <w:r w:rsidRPr="00012C17">
        <w:rPr>
          <w:rFonts w:cs="Arial"/>
          <w:color w:val="000000"/>
          <w:sz w:val="24"/>
        </w:rPr>
        <w:t xml:space="preserve">On 22 October 2017, the first round of local elections in the Republic of Kosovo was held. The first Applicant, Mr. Arban Abrashi, was </w:t>
      </w:r>
      <w:r w:rsidR="00062F88" w:rsidRPr="00012C17">
        <w:rPr>
          <w:rFonts w:cs="Arial"/>
          <w:color w:val="000000"/>
          <w:sz w:val="24"/>
        </w:rPr>
        <w:t>the</w:t>
      </w:r>
      <w:r w:rsidRPr="00012C17">
        <w:rPr>
          <w:rFonts w:cs="Arial"/>
          <w:color w:val="000000"/>
          <w:sz w:val="24"/>
        </w:rPr>
        <w:t xml:space="preserve"> LDK candidate for </w:t>
      </w:r>
      <w:r w:rsidR="00F4767B" w:rsidRPr="00012C17">
        <w:rPr>
          <w:rFonts w:cs="Arial"/>
          <w:color w:val="000000"/>
          <w:sz w:val="24"/>
        </w:rPr>
        <w:t>M</w:t>
      </w:r>
      <w:r w:rsidR="0058551B" w:rsidRPr="00012C17">
        <w:rPr>
          <w:rFonts w:cs="Arial"/>
          <w:color w:val="000000"/>
          <w:sz w:val="24"/>
        </w:rPr>
        <w:t>ayor</w:t>
      </w:r>
      <w:r w:rsidRPr="00012C17">
        <w:rPr>
          <w:rFonts w:cs="Arial"/>
          <w:color w:val="000000"/>
          <w:sz w:val="24"/>
        </w:rPr>
        <w:t xml:space="preserve"> of the Municipality of Prishtina. The second Applicant, LDK, was a political entity competing in the Municipality of Prishtina through its candidate, Mr. Arban Abrashi</w:t>
      </w:r>
      <w:r w:rsidR="00A6162A" w:rsidRPr="00012C17">
        <w:rPr>
          <w:rFonts w:cs="Arial"/>
          <w:color w:val="000000"/>
          <w:sz w:val="24"/>
        </w:rPr>
        <w:t>.</w:t>
      </w:r>
    </w:p>
    <w:p w:rsidR="00D72BE7" w:rsidRPr="00012C17" w:rsidRDefault="00D72BE7" w:rsidP="001B11C5">
      <w:pPr>
        <w:pStyle w:val="ListParagraph"/>
        <w:spacing w:after="0" w:line="240" w:lineRule="auto"/>
        <w:ind w:left="810"/>
        <w:jc w:val="both"/>
        <w:rPr>
          <w:rFonts w:ascii="Georgia" w:hAnsi="Georgia" w:cs="Arial"/>
          <w:color w:val="000000"/>
          <w:sz w:val="24"/>
          <w:lang w:val="en-US"/>
        </w:rPr>
      </w:pPr>
    </w:p>
    <w:p w:rsidR="00D72BE7" w:rsidRPr="00012C17" w:rsidRDefault="00AD1950" w:rsidP="001B11C5">
      <w:pPr>
        <w:numPr>
          <w:ilvl w:val="0"/>
          <w:numId w:val="1"/>
        </w:numPr>
        <w:spacing w:line="240" w:lineRule="auto"/>
        <w:ind w:left="630" w:hanging="630"/>
        <w:rPr>
          <w:rFonts w:cs="Arial"/>
          <w:color w:val="000000"/>
          <w:sz w:val="24"/>
        </w:rPr>
      </w:pPr>
      <w:r w:rsidRPr="00012C17">
        <w:rPr>
          <w:rFonts w:cs="Arial"/>
          <w:color w:val="000000"/>
          <w:sz w:val="24"/>
        </w:rPr>
        <w:t xml:space="preserve">The final results of the first round of the elections determined that the competition for the </w:t>
      </w:r>
      <w:r w:rsidR="005F1C87" w:rsidRPr="00012C17">
        <w:rPr>
          <w:rFonts w:cs="Arial"/>
          <w:color w:val="000000"/>
          <w:sz w:val="24"/>
        </w:rPr>
        <w:t xml:space="preserve">Mayor </w:t>
      </w:r>
      <w:r w:rsidRPr="00012C17">
        <w:rPr>
          <w:rFonts w:cs="Arial"/>
          <w:color w:val="000000"/>
          <w:sz w:val="24"/>
        </w:rPr>
        <w:t xml:space="preserve">of the Municipality of Prishtina would be decided </w:t>
      </w:r>
      <w:r w:rsidR="00062F88" w:rsidRPr="00012C17">
        <w:rPr>
          <w:rFonts w:cs="Arial"/>
          <w:color w:val="000000"/>
          <w:sz w:val="24"/>
        </w:rPr>
        <w:t>based on</w:t>
      </w:r>
      <w:r w:rsidRPr="00012C17">
        <w:rPr>
          <w:rFonts w:cs="Arial"/>
          <w:color w:val="000000"/>
          <w:sz w:val="24"/>
        </w:rPr>
        <w:t xml:space="preserve"> the result of the second round of elections (run</w:t>
      </w:r>
      <w:r w:rsidR="00062F88" w:rsidRPr="00012C17">
        <w:rPr>
          <w:rFonts w:cs="Arial"/>
          <w:color w:val="000000"/>
          <w:sz w:val="24"/>
        </w:rPr>
        <w:t>-</w:t>
      </w:r>
      <w:r w:rsidRPr="00012C17">
        <w:rPr>
          <w:rFonts w:cs="Arial"/>
          <w:color w:val="000000"/>
          <w:sz w:val="24"/>
        </w:rPr>
        <w:t xml:space="preserve">off), which would take place between the two candidates with the majority of votes in the first round, namely between the first Applicant, Mr. Arban Abrashi and Mr. Shpend Ahmeti, a candidate of </w:t>
      </w:r>
      <w:r w:rsidR="00F05E0A" w:rsidRPr="00012C17">
        <w:rPr>
          <w:rFonts w:cs="Arial"/>
          <w:color w:val="000000"/>
          <w:sz w:val="24"/>
        </w:rPr>
        <w:t>VETËVENDOSJE! Movement</w:t>
      </w:r>
      <w:r w:rsidR="00A14F96" w:rsidRPr="00012C17">
        <w:rPr>
          <w:rFonts w:cs="Arial"/>
          <w:color w:val="000000"/>
          <w:sz w:val="24"/>
        </w:rPr>
        <w:t xml:space="preserve"> </w:t>
      </w:r>
      <w:r w:rsidRPr="00012C17">
        <w:rPr>
          <w:rFonts w:cs="Arial"/>
          <w:color w:val="000000"/>
          <w:sz w:val="24"/>
        </w:rPr>
        <w:t xml:space="preserve">for the </w:t>
      </w:r>
      <w:r w:rsidR="000B3909" w:rsidRPr="00012C17">
        <w:rPr>
          <w:rFonts w:cs="Arial"/>
          <w:color w:val="000000"/>
          <w:sz w:val="24"/>
        </w:rPr>
        <w:t xml:space="preserve">Mayor </w:t>
      </w:r>
      <w:r w:rsidRPr="00012C17">
        <w:rPr>
          <w:rFonts w:cs="Arial"/>
          <w:color w:val="000000"/>
          <w:sz w:val="24"/>
        </w:rPr>
        <w:t>of the Municipality of Prishtina</w:t>
      </w:r>
      <w:r w:rsidR="00A6162A" w:rsidRPr="00012C17">
        <w:rPr>
          <w:rFonts w:cs="Arial"/>
          <w:color w:val="000000"/>
          <w:sz w:val="24"/>
        </w:rPr>
        <w:t xml:space="preserve">. </w:t>
      </w:r>
    </w:p>
    <w:p w:rsidR="002F7067" w:rsidRPr="00012C17" w:rsidRDefault="002F7067" w:rsidP="001B11C5">
      <w:pPr>
        <w:pStyle w:val="ListParagraph"/>
        <w:spacing w:after="0" w:line="240" w:lineRule="auto"/>
        <w:ind w:left="810"/>
        <w:jc w:val="both"/>
        <w:rPr>
          <w:rFonts w:ascii="Georgia" w:hAnsi="Georgia" w:cs="Arial"/>
          <w:color w:val="000000"/>
          <w:sz w:val="24"/>
          <w:lang w:val="en-US"/>
        </w:rPr>
      </w:pPr>
    </w:p>
    <w:p w:rsidR="00D95898" w:rsidRPr="00012C17" w:rsidRDefault="00AD1950" w:rsidP="001B11C5">
      <w:pPr>
        <w:numPr>
          <w:ilvl w:val="0"/>
          <w:numId w:val="1"/>
        </w:numPr>
        <w:spacing w:line="240" w:lineRule="auto"/>
        <w:ind w:left="630" w:hanging="630"/>
        <w:rPr>
          <w:rFonts w:cs="Arial"/>
          <w:color w:val="000000"/>
          <w:sz w:val="24"/>
        </w:rPr>
      </w:pPr>
      <w:r w:rsidRPr="00012C17">
        <w:rPr>
          <w:rFonts w:cs="Arial"/>
          <w:color w:val="000000"/>
          <w:sz w:val="24"/>
        </w:rPr>
        <w:t xml:space="preserve">On 19 November 2017, the second round of local elections was held, where </w:t>
      </w:r>
      <w:r w:rsidR="00891CF3" w:rsidRPr="00012C17">
        <w:rPr>
          <w:rFonts w:cs="Arial"/>
          <w:color w:val="000000"/>
          <w:sz w:val="24"/>
        </w:rPr>
        <w:t xml:space="preserve">the two aforementioned candidates competed </w:t>
      </w:r>
      <w:r w:rsidRPr="00012C17">
        <w:rPr>
          <w:rFonts w:cs="Arial"/>
          <w:color w:val="000000"/>
          <w:sz w:val="24"/>
        </w:rPr>
        <w:t xml:space="preserve">for the </w:t>
      </w:r>
      <w:r w:rsidR="005F1C87" w:rsidRPr="00012C17">
        <w:rPr>
          <w:rFonts w:cs="Arial"/>
          <w:color w:val="000000"/>
          <w:sz w:val="24"/>
        </w:rPr>
        <w:t xml:space="preserve">Mayor </w:t>
      </w:r>
      <w:r w:rsidRPr="00012C17">
        <w:rPr>
          <w:rFonts w:cs="Arial"/>
          <w:color w:val="000000"/>
          <w:sz w:val="24"/>
        </w:rPr>
        <w:t>of the Municipality of Prishtina</w:t>
      </w:r>
      <w:r w:rsidR="00891CF3" w:rsidRPr="00012C17">
        <w:rPr>
          <w:rFonts w:cs="Arial"/>
          <w:color w:val="000000"/>
          <w:sz w:val="24"/>
        </w:rPr>
        <w:t>.</w:t>
      </w:r>
      <w:r w:rsidR="00A6162A" w:rsidRPr="00012C17">
        <w:rPr>
          <w:rFonts w:cs="Arial"/>
          <w:color w:val="000000"/>
          <w:sz w:val="24"/>
        </w:rPr>
        <w:t xml:space="preserve"> </w:t>
      </w:r>
    </w:p>
    <w:p w:rsidR="00D95898" w:rsidRPr="00012C17" w:rsidRDefault="00D95898" w:rsidP="001B11C5">
      <w:pPr>
        <w:pStyle w:val="ListParagraph"/>
        <w:spacing w:after="0" w:line="240" w:lineRule="auto"/>
        <w:rPr>
          <w:rFonts w:ascii="Georgia" w:hAnsi="Georgia" w:cs="Arial"/>
          <w:color w:val="000000"/>
          <w:sz w:val="24"/>
          <w:szCs w:val="24"/>
          <w:lang w:val="en-US"/>
        </w:rPr>
      </w:pPr>
    </w:p>
    <w:p w:rsidR="00D95898" w:rsidRPr="00012C17" w:rsidRDefault="00AD1950" w:rsidP="001B11C5">
      <w:pPr>
        <w:numPr>
          <w:ilvl w:val="0"/>
          <w:numId w:val="1"/>
        </w:numPr>
        <w:spacing w:line="240" w:lineRule="auto"/>
        <w:ind w:left="630" w:hanging="630"/>
        <w:rPr>
          <w:rFonts w:cs="Arial"/>
          <w:color w:val="000000"/>
          <w:sz w:val="24"/>
        </w:rPr>
      </w:pPr>
      <w:r w:rsidRPr="00012C17">
        <w:rPr>
          <w:color w:val="000000"/>
          <w:sz w:val="24"/>
        </w:rPr>
        <w:t xml:space="preserve">According to the preliminary results announced by the CEC, Mr. Shpend Ahmeti </w:t>
      </w:r>
      <w:r w:rsidR="00062F88" w:rsidRPr="00012C17">
        <w:rPr>
          <w:color w:val="000000"/>
          <w:sz w:val="24"/>
        </w:rPr>
        <w:t>won</w:t>
      </w:r>
      <w:r w:rsidRPr="00012C17">
        <w:rPr>
          <w:color w:val="000000"/>
          <w:sz w:val="24"/>
        </w:rPr>
        <w:t xml:space="preserve"> 41,401 votes, </w:t>
      </w:r>
      <w:r w:rsidRPr="00012C17">
        <w:rPr>
          <w:rFonts w:cs="Arial"/>
          <w:color w:val="000000"/>
          <w:sz w:val="24"/>
        </w:rPr>
        <w:t>whereas</w:t>
      </w:r>
      <w:r w:rsidRPr="00012C17">
        <w:rPr>
          <w:color w:val="000000"/>
          <w:sz w:val="24"/>
        </w:rPr>
        <w:t xml:space="preserve"> Mr. Arban Abrashi 41.164 votes. Preliminary results announced by the CEC, at this stage of the </w:t>
      </w:r>
      <w:r w:rsidR="00062F88" w:rsidRPr="00012C17">
        <w:rPr>
          <w:color w:val="000000"/>
          <w:sz w:val="24"/>
        </w:rPr>
        <w:t>proceedings</w:t>
      </w:r>
      <w:r w:rsidRPr="00012C17">
        <w:rPr>
          <w:color w:val="000000"/>
          <w:sz w:val="24"/>
        </w:rPr>
        <w:t xml:space="preserve">, did not include the conditional votes, by mail votes and the votes of persons with special needs. The difference in votes at this stage of the </w:t>
      </w:r>
      <w:r w:rsidR="005F7CF5" w:rsidRPr="00012C17">
        <w:rPr>
          <w:color w:val="000000"/>
          <w:sz w:val="24"/>
        </w:rPr>
        <w:t>election</w:t>
      </w:r>
      <w:r w:rsidRPr="00012C17">
        <w:rPr>
          <w:color w:val="000000"/>
          <w:sz w:val="24"/>
        </w:rPr>
        <w:t xml:space="preserve"> procedure was a total of 237 more votes for Mr. Shpend Ahmeti</w:t>
      </w:r>
      <w:r w:rsidR="00E85605" w:rsidRPr="00012C17">
        <w:rPr>
          <w:color w:val="000000"/>
          <w:sz w:val="24"/>
        </w:rPr>
        <w:t xml:space="preserve">. </w:t>
      </w:r>
    </w:p>
    <w:p w:rsidR="001777F9" w:rsidRPr="00012C17" w:rsidRDefault="001777F9" w:rsidP="001B11C5">
      <w:pPr>
        <w:spacing w:line="240" w:lineRule="auto"/>
        <w:rPr>
          <w:rFonts w:cs="Arial"/>
          <w:i/>
          <w:color w:val="000000"/>
          <w:sz w:val="24"/>
        </w:rPr>
      </w:pPr>
    </w:p>
    <w:p w:rsidR="00A6162A" w:rsidRPr="00012C17" w:rsidRDefault="00062F88" w:rsidP="001B11C5">
      <w:pPr>
        <w:spacing w:line="240" w:lineRule="auto"/>
        <w:rPr>
          <w:rFonts w:cs="Arial"/>
          <w:color w:val="000000"/>
          <w:sz w:val="24"/>
        </w:rPr>
      </w:pPr>
      <w:r w:rsidRPr="00012C17">
        <w:rPr>
          <w:rFonts w:cs="Arial"/>
          <w:i/>
          <w:color w:val="000000"/>
          <w:sz w:val="24"/>
        </w:rPr>
        <w:t>P</w:t>
      </w:r>
      <w:r w:rsidR="005F7CF5" w:rsidRPr="00012C17">
        <w:rPr>
          <w:rFonts w:cs="Arial"/>
          <w:i/>
          <w:color w:val="000000"/>
          <w:sz w:val="24"/>
        </w:rPr>
        <w:t xml:space="preserve">rocedure after the announcement of the Preliminary Results of the second round (run-off) of the </w:t>
      </w:r>
      <w:r w:rsidR="00A14F96" w:rsidRPr="00012C17">
        <w:rPr>
          <w:rFonts w:cs="Arial"/>
          <w:i/>
          <w:color w:val="000000"/>
          <w:sz w:val="24"/>
        </w:rPr>
        <w:t xml:space="preserve">2017 </w:t>
      </w:r>
      <w:r w:rsidR="005F7CF5" w:rsidRPr="00012C17">
        <w:rPr>
          <w:rFonts w:cs="Arial"/>
          <w:i/>
          <w:color w:val="000000"/>
          <w:sz w:val="24"/>
        </w:rPr>
        <w:t>local elections for the</w:t>
      </w:r>
      <w:r w:rsidR="004624A1" w:rsidRPr="00012C17">
        <w:rPr>
          <w:rFonts w:cs="Arial"/>
          <w:i/>
          <w:color w:val="000000"/>
          <w:sz w:val="24"/>
        </w:rPr>
        <w:t xml:space="preserve"> </w:t>
      </w:r>
      <w:r w:rsidR="000B3909" w:rsidRPr="00012C17">
        <w:rPr>
          <w:rFonts w:cs="Arial"/>
          <w:i/>
          <w:color w:val="000000"/>
          <w:sz w:val="24"/>
        </w:rPr>
        <w:t xml:space="preserve">Mayor </w:t>
      </w:r>
      <w:r w:rsidR="004624A1" w:rsidRPr="00012C17">
        <w:rPr>
          <w:rFonts w:cs="Arial"/>
          <w:i/>
          <w:color w:val="000000"/>
          <w:sz w:val="24"/>
        </w:rPr>
        <w:t xml:space="preserve">of the Municipality </w:t>
      </w:r>
      <w:r w:rsidR="005F7CF5" w:rsidRPr="00012C17">
        <w:rPr>
          <w:rFonts w:cs="Arial"/>
          <w:i/>
          <w:color w:val="000000"/>
          <w:sz w:val="24"/>
        </w:rPr>
        <w:t xml:space="preserve">of Prishtina </w:t>
      </w:r>
    </w:p>
    <w:p w:rsidR="00E85605" w:rsidRPr="00012C17" w:rsidRDefault="00E85605" w:rsidP="001B11C5">
      <w:pPr>
        <w:spacing w:line="240" w:lineRule="auto"/>
        <w:rPr>
          <w:rFonts w:cs="Arial"/>
          <w:i/>
          <w:color w:val="000000"/>
          <w:sz w:val="24"/>
        </w:rPr>
      </w:pPr>
    </w:p>
    <w:p w:rsidR="002F7067" w:rsidRPr="00012C17" w:rsidRDefault="005F7CF5" w:rsidP="001B11C5">
      <w:pPr>
        <w:numPr>
          <w:ilvl w:val="0"/>
          <w:numId w:val="1"/>
        </w:numPr>
        <w:spacing w:line="240" w:lineRule="auto"/>
        <w:ind w:left="630" w:hanging="630"/>
        <w:rPr>
          <w:rFonts w:cs="Arial"/>
          <w:color w:val="000000"/>
          <w:sz w:val="24"/>
        </w:rPr>
      </w:pPr>
      <w:r w:rsidRPr="00012C17">
        <w:rPr>
          <w:rFonts w:cs="Arial"/>
          <w:color w:val="000000"/>
          <w:sz w:val="24"/>
        </w:rPr>
        <w:t xml:space="preserve">On 20 November 2017, the second Applicant filed an appeal with the ECAP. </w:t>
      </w:r>
      <w:r w:rsidR="00034084" w:rsidRPr="00012C17">
        <w:rPr>
          <w:rFonts w:cs="Arial"/>
          <w:color w:val="000000"/>
          <w:sz w:val="24"/>
        </w:rPr>
        <w:t>By</w:t>
      </w:r>
      <w:r w:rsidRPr="00012C17">
        <w:rPr>
          <w:rFonts w:cs="Arial"/>
          <w:color w:val="000000"/>
          <w:sz w:val="24"/>
        </w:rPr>
        <w:t xml:space="preserve"> this appeal, the second Applicant requested the verification of all ballot papers which were classified as invalid ballots, according to the case file</w:t>
      </w:r>
      <w:r w:rsidR="00232D31" w:rsidRPr="00012C17">
        <w:rPr>
          <w:rFonts w:cs="Arial"/>
          <w:color w:val="000000"/>
          <w:sz w:val="24"/>
        </w:rPr>
        <w:t>,</w:t>
      </w:r>
      <w:r w:rsidRPr="00012C17">
        <w:rPr>
          <w:rFonts w:cs="Arial"/>
          <w:color w:val="000000"/>
          <w:sz w:val="24"/>
        </w:rPr>
        <w:t xml:space="preserve"> 610, and as </w:t>
      </w:r>
      <w:r w:rsidR="004624A1" w:rsidRPr="00012C17">
        <w:rPr>
          <w:rFonts w:cs="Arial"/>
          <w:color w:val="000000"/>
          <w:sz w:val="24"/>
        </w:rPr>
        <w:t>blank</w:t>
      </w:r>
      <w:r w:rsidRPr="00012C17">
        <w:rPr>
          <w:rFonts w:cs="Arial"/>
          <w:color w:val="000000"/>
          <w:sz w:val="24"/>
        </w:rPr>
        <w:t xml:space="preserve"> ballot papers, according to the case file</w:t>
      </w:r>
      <w:r w:rsidR="00232D31" w:rsidRPr="00012C17">
        <w:rPr>
          <w:rFonts w:cs="Arial"/>
          <w:color w:val="000000"/>
          <w:sz w:val="24"/>
        </w:rPr>
        <w:t>,</w:t>
      </w:r>
      <w:r w:rsidRPr="00012C17">
        <w:rPr>
          <w:rFonts w:cs="Arial"/>
          <w:color w:val="000000"/>
          <w:sz w:val="24"/>
        </w:rPr>
        <w:t xml:space="preserve"> 473. The second Applicant, </w:t>
      </w:r>
      <w:r w:rsidR="00034084" w:rsidRPr="00012C17">
        <w:rPr>
          <w:rFonts w:cs="Arial"/>
          <w:color w:val="000000"/>
          <w:sz w:val="24"/>
        </w:rPr>
        <w:t>by</w:t>
      </w:r>
      <w:r w:rsidRPr="00012C17">
        <w:rPr>
          <w:rFonts w:cs="Arial"/>
          <w:color w:val="000000"/>
          <w:sz w:val="24"/>
        </w:rPr>
        <w:t xml:space="preserve"> this appeal, alleged that the commissioners of </w:t>
      </w:r>
      <w:r w:rsidR="00F05E0A" w:rsidRPr="00012C17">
        <w:rPr>
          <w:rFonts w:cs="Arial"/>
          <w:color w:val="000000"/>
          <w:sz w:val="24"/>
        </w:rPr>
        <w:t>VETËVENDOSJE! Movement</w:t>
      </w:r>
      <w:r w:rsidRPr="00012C17">
        <w:rPr>
          <w:rFonts w:cs="Arial"/>
          <w:color w:val="000000"/>
          <w:sz w:val="24"/>
        </w:rPr>
        <w:t xml:space="preserve">, knowing the narrow result between the candidates, declared a considerable number of ballot papers as invalid or </w:t>
      </w:r>
      <w:r w:rsidR="004624A1" w:rsidRPr="00012C17">
        <w:rPr>
          <w:rFonts w:cs="Arial"/>
          <w:color w:val="000000"/>
          <w:sz w:val="24"/>
        </w:rPr>
        <w:t>blank</w:t>
      </w:r>
      <w:r w:rsidRPr="00012C17">
        <w:rPr>
          <w:rFonts w:cs="Arial"/>
          <w:color w:val="000000"/>
          <w:sz w:val="24"/>
        </w:rPr>
        <w:t>, and according to the claim, “</w:t>
      </w:r>
      <w:r w:rsidRPr="00012C17">
        <w:rPr>
          <w:rFonts w:cs="Arial"/>
          <w:i/>
          <w:iCs/>
          <w:color w:val="000000"/>
          <w:sz w:val="24"/>
        </w:rPr>
        <w:t>despite the fact that in those ballot papers it could be clearly noted the expressed will of the voter</w:t>
      </w:r>
      <w:r w:rsidR="00A6162A" w:rsidRPr="00012C17">
        <w:rPr>
          <w:rFonts w:cs="Arial"/>
          <w:color w:val="000000"/>
          <w:sz w:val="24"/>
        </w:rPr>
        <w:t>”</w:t>
      </w:r>
      <w:r w:rsidR="002F7067" w:rsidRPr="00012C17">
        <w:rPr>
          <w:rFonts w:cs="Arial"/>
          <w:color w:val="000000"/>
          <w:sz w:val="24"/>
        </w:rPr>
        <w:t xml:space="preserve">. </w:t>
      </w:r>
    </w:p>
    <w:p w:rsidR="002F7067" w:rsidRPr="00012C17" w:rsidRDefault="002F7067" w:rsidP="001B11C5">
      <w:pPr>
        <w:pStyle w:val="ListParagraph"/>
        <w:spacing w:after="0" w:line="240" w:lineRule="auto"/>
        <w:ind w:left="540"/>
        <w:jc w:val="both"/>
        <w:rPr>
          <w:rFonts w:ascii="Georgia" w:hAnsi="Georgia" w:cs="Arial"/>
          <w:color w:val="000000"/>
          <w:sz w:val="24"/>
          <w:szCs w:val="24"/>
          <w:lang w:val="en-US"/>
        </w:rPr>
      </w:pPr>
    </w:p>
    <w:p w:rsidR="002F7067" w:rsidRPr="00012C17" w:rsidRDefault="005F7CF5" w:rsidP="001B11C5">
      <w:pPr>
        <w:numPr>
          <w:ilvl w:val="0"/>
          <w:numId w:val="1"/>
        </w:numPr>
        <w:spacing w:line="240" w:lineRule="auto"/>
        <w:ind w:left="630" w:hanging="630"/>
        <w:rPr>
          <w:rFonts w:cs="Arial"/>
          <w:color w:val="000000"/>
          <w:sz w:val="24"/>
        </w:rPr>
      </w:pPr>
      <w:r w:rsidRPr="00012C17">
        <w:rPr>
          <w:rFonts w:cs="Arial"/>
          <w:color w:val="000000"/>
          <w:sz w:val="24"/>
        </w:rPr>
        <w:t xml:space="preserve">On 21 November 2017, the ECAP found that the aforementioned appeal of the second Applicant was a general appeal and as such could not be proceeded </w:t>
      </w:r>
      <w:r w:rsidR="00333802" w:rsidRPr="00012C17">
        <w:rPr>
          <w:rFonts w:cs="Arial"/>
          <w:color w:val="000000"/>
          <w:sz w:val="24"/>
        </w:rPr>
        <w:t xml:space="preserve">further </w:t>
      </w:r>
      <w:r w:rsidRPr="00012C17">
        <w:rPr>
          <w:rFonts w:cs="Arial"/>
          <w:color w:val="000000"/>
          <w:sz w:val="24"/>
        </w:rPr>
        <w:t xml:space="preserve">for review. Consequently, the ECAP </w:t>
      </w:r>
      <w:r w:rsidR="00333802" w:rsidRPr="00012C17">
        <w:rPr>
          <w:rFonts w:cs="Arial"/>
          <w:color w:val="000000"/>
          <w:sz w:val="24"/>
        </w:rPr>
        <w:t>requested</w:t>
      </w:r>
      <w:r w:rsidRPr="00012C17">
        <w:rPr>
          <w:rFonts w:cs="Arial"/>
          <w:color w:val="000000"/>
          <w:sz w:val="24"/>
        </w:rPr>
        <w:t xml:space="preserve"> the second </w:t>
      </w:r>
      <w:r w:rsidR="00333802" w:rsidRPr="00012C17">
        <w:rPr>
          <w:rFonts w:cs="Arial"/>
          <w:color w:val="000000"/>
          <w:sz w:val="24"/>
        </w:rPr>
        <w:t>A</w:t>
      </w:r>
      <w:r w:rsidRPr="00012C17">
        <w:rPr>
          <w:rFonts w:cs="Arial"/>
          <w:color w:val="000000"/>
          <w:sz w:val="24"/>
        </w:rPr>
        <w:t xml:space="preserve">pplicant to complete the </w:t>
      </w:r>
      <w:r w:rsidR="00333802" w:rsidRPr="00012C17">
        <w:rPr>
          <w:rFonts w:cs="Arial"/>
          <w:color w:val="000000"/>
          <w:sz w:val="24"/>
        </w:rPr>
        <w:t>appeal</w:t>
      </w:r>
      <w:r w:rsidRPr="00012C17">
        <w:rPr>
          <w:rFonts w:cs="Arial"/>
          <w:color w:val="000000"/>
          <w:sz w:val="24"/>
        </w:rPr>
        <w:t xml:space="preserve"> so as to accurately specify the polling </w:t>
      </w:r>
      <w:r w:rsidR="00333802" w:rsidRPr="00012C17">
        <w:rPr>
          <w:rFonts w:cs="Arial"/>
          <w:color w:val="000000"/>
          <w:sz w:val="24"/>
        </w:rPr>
        <w:t>centers</w:t>
      </w:r>
      <w:r w:rsidRPr="00012C17">
        <w:rPr>
          <w:rFonts w:cs="Arial"/>
          <w:color w:val="000000"/>
          <w:sz w:val="24"/>
        </w:rPr>
        <w:t xml:space="preserve"> and the polling stations where allegedly </w:t>
      </w:r>
      <w:r w:rsidR="00333802" w:rsidRPr="00012C17">
        <w:rPr>
          <w:rFonts w:cs="Arial"/>
          <w:color w:val="000000"/>
          <w:sz w:val="24"/>
        </w:rPr>
        <w:t xml:space="preserve">the ballot papers were declared </w:t>
      </w:r>
      <w:r w:rsidRPr="00012C17">
        <w:rPr>
          <w:rFonts w:cs="Arial"/>
          <w:color w:val="000000"/>
          <w:sz w:val="24"/>
        </w:rPr>
        <w:t xml:space="preserve">invalid and </w:t>
      </w:r>
      <w:r w:rsidR="004624A1" w:rsidRPr="00012C17">
        <w:rPr>
          <w:rFonts w:cs="Arial"/>
          <w:color w:val="000000"/>
          <w:sz w:val="24"/>
        </w:rPr>
        <w:t>blank</w:t>
      </w:r>
      <w:r w:rsidR="006E3F2A" w:rsidRPr="00012C17">
        <w:rPr>
          <w:rFonts w:cs="Arial"/>
          <w:color w:val="000000"/>
          <w:sz w:val="24"/>
        </w:rPr>
        <w:t>.</w:t>
      </w:r>
      <w:r w:rsidR="00333802" w:rsidRPr="00012C17">
        <w:rPr>
          <w:rFonts w:cs="Arial"/>
          <w:color w:val="000000"/>
          <w:sz w:val="24"/>
        </w:rPr>
        <w:t xml:space="preserve"> </w:t>
      </w:r>
    </w:p>
    <w:p w:rsidR="002F7067" w:rsidRPr="00012C17" w:rsidRDefault="002F7067" w:rsidP="001B11C5">
      <w:pPr>
        <w:pStyle w:val="ListParagraph"/>
        <w:spacing w:after="0" w:line="240" w:lineRule="auto"/>
        <w:rPr>
          <w:rFonts w:ascii="Georgia" w:hAnsi="Georgia" w:cs="Arial"/>
          <w:color w:val="000000"/>
          <w:sz w:val="24"/>
          <w:szCs w:val="24"/>
          <w:lang w:val="en-US"/>
        </w:rPr>
      </w:pPr>
    </w:p>
    <w:p w:rsidR="002F7067" w:rsidRPr="00012C17" w:rsidRDefault="00333802" w:rsidP="001B11C5">
      <w:pPr>
        <w:numPr>
          <w:ilvl w:val="0"/>
          <w:numId w:val="1"/>
        </w:numPr>
        <w:spacing w:line="240" w:lineRule="auto"/>
        <w:ind w:left="630" w:hanging="630"/>
        <w:rPr>
          <w:rFonts w:cs="Arial"/>
          <w:color w:val="000000"/>
          <w:sz w:val="24"/>
          <w:u w:val="single"/>
        </w:rPr>
      </w:pPr>
      <w:r w:rsidRPr="00012C17">
        <w:rPr>
          <w:rFonts w:cs="Arial"/>
          <w:color w:val="000000"/>
          <w:sz w:val="24"/>
        </w:rPr>
        <w:t xml:space="preserve">On the same date, on 21 November 2017, the second Applicant completed the appeal </w:t>
      </w:r>
      <w:r w:rsidR="00034084" w:rsidRPr="00012C17">
        <w:rPr>
          <w:rFonts w:cs="Arial"/>
          <w:color w:val="000000"/>
          <w:sz w:val="24"/>
        </w:rPr>
        <w:t>upon the ECAP</w:t>
      </w:r>
      <w:r w:rsidRPr="00012C17">
        <w:rPr>
          <w:rFonts w:cs="Arial"/>
          <w:color w:val="000000"/>
          <w:sz w:val="24"/>
        </w:rPr>
        <w:t xml:space="preserve"> request</w:t>
      </w:r>
      <w:r w:rsidR="00A6162A" w:rsidRPr="00012C17">
        <w:rPr>
          <w:rFonts w:cs="Arial"/>
          <w:color w:val="000000"/>
          <w:sz w:val="24"/>
        </w:rPr>
        <w:t>.</w:t>
      </w:r>
    </w:p>
    <w:p w:rsidR="002F7067" w:rsidRPr="00012C17" w:rsidRDefault="002F7067" w:rsidP="001B11C5">
      <w:pPr>
        <w:pStyle w:val="ListParagraph"/>
        <w:spacing w:after="0" w:line="240" w:lineRule="auto"/>
        <w:rPr>
          <w:rFonts w:ascii="Georgia" w:hAnsi="Georgia" w:cs="Arial"/>
          <w:color w:val="000000"/>
          <w:sz w:val="24"/>
          <w:szCs w:val="24"/>
          <w:lang w:val="en-US"/>
        </w:rPr>
      </w:pPr>
    </w:p>
    <w:p w:rsidR="002F7067" w:rsidRPr="00012C17" w:rsidRDefault="00007B79" w:rsidP="001B11C5">
      <w:pPr>
        <w:numPr>
          <w:ilvl w:val="0"/>
          <w:numId w:val="1"/>
        </w:numPr>
        <w:spacing w:line="240" w:lineRule="auto"/>
        <w:ind w:left="630" w:hanging="630"/>
        <w:rPr>
          <w:rFonts w:cs="Arial"/>
          <w:color w:val="000000"/>
          <w:sz w:val="24"/>
        </w:rPr>
      </w:pPr>
      <w:r w:rsidRPr="00012C17">
        <w:rPr>
          <w:rFonts w:cs="Arial"/>
          <w:color w:val="000000"/>
          <w:sz w:val="24"/>
        </w:rPr>
        <w:lastRenderedPageBreak/>
        <w:t>On</w:t>
      </w:r>
      <w:r w:rsidR="00A6162A" w:rsidRPr="00012C17">
        <w:rPr>
          <w:rFonts w:cs="Arial"/>
          <w:color w:val="000000"/>
          <w:sz w:val="24"/>
        </w:rPr>
        <w:t xml:space="preserve"> 22 </w:t>
      </w:r>
      <w:r w:rsidR="00034084" w:rsidRPr="00012C17">
        <w:rPr>
          <w:rFonts w:cs="Arial"/>
          <w:color w:val="000000"/>
          <w:sz w:val="24"/>
        </w:rPr>
        <w:t>November</w:t>
      </w:r>
      <w:r w:rsidR="00A6162A" w:rsidRPr="00012C17">
        <w:rPr>
          <w:rFonts w:cs="Arial"/>
          <w:color w:val="000000"/>
          <w:sz w:val="24"/>
        </w:rPr>
        <w:t xml:space="preserve"> 2017, </w:t>
      </w:r>
      <w:r w:rsidRPr="00012C17">
        <w:rPr>
          <w:rFonts w:cs="Arial"/>
          <w:color w:val="000000"/>
          <w:sz w:val="24"/>
        </w:rPr>
        <w:t>the ECAP</w:t>
      </w:r>
      <w:r w:rsidR="00A6162A" w:rsidRPr="00012C17">
        <w:rPr>
          <w:rFonts w:cs="Arial"/>
          <w:color w:val="000000"/>
          <w:sz w:val="24"/>
        </w:rPr>
        <w:t xml:space="preserve"> </w:t>
      </w:r>
      <w:r w:rsidRPr="00012C17">
        <w:rPr>
          <w:rFonts w:cs="Arial"/>
          <w:color w:val="000000"/>
          <w:sz w:val="24"/>
        </w:rPr>
        <w:t>by</w:t>
      </w:r>
      <w:r w:rsidR="00A6162A" w:rsidRPr="00012C17">
        <w:rPr>
          <w:rFonts w:cs="Arial"/>
          <w:color w:val="000000"/>
          <w:sz w:val="24"/>
        </w:rPr>
        <w:t xml:space="preserve"> </w:t>
      </w:r>
      <w:r w:rsidRPr="00012C17">
        <w:rPr>
          <w:rFonts w:cs="Arial"/>
          <w:color w:val="000000"/>
          <w:sz w:val="24"/>
        </w:rPr>
        <w:t>Decision</w:t>
      </w:r>
      <w:r w:rsidR="00A6162A" w:rsidRPr="00012C17">
        <w:rPr>
          <w:rFonts w:cs="Arial"/>
          <w:color w:val="000000"/>
          <w:sz w:val="24"/>
        </w:rPr>
        <w:t xml:space="preserve"> [ZL. A.</w:t>
      </w:r>
      <w:r w:rsidRPr="00012C17">
        <w:rPr>
          <w:rFonts w:cs="Arial"/>
          <w:color w:val="000000"/>
          <w:sz w:val="24"/>
        </w:rPr>
        <w:t xml:space="preserve"> No</w:t>
      </w:r>
      <w:r w:rsidR="00A6162A" w:rsidRPr="00012C17">
        <w:rPr>
          <w:rFonts w:cs="Arial"/>
          <w:color w:val="000000"/>
          <w:sz w:val="24"/>
        </w:rPr>
        <w:t xml:space="preserve">. 1102/2017] </w:t>
      </w:r>
      <w:r w:rsidRPr="00012C17">
        <w:rPr>
          <w:rFonts w:cs="Arial"/>
          <w:color w:val="000000"/>
          <w:sz w:val="24"/>
        </w:rPr>
        <w:t>approved as grounded</w:t>
      </w:r>
      <w:r w:rsidR="00A6162A" w:rsidRPr="00012C17">
        <w:rPr>
          <w:rFonts w:cs="Arial"/>
          <w:color w:val="000000"/>
          <w:sz w:val="24"/>
        </w:rPr>
        <w:t xml:space="preserve">, </w:t>
      </w:r>
      <w:r w:rsidRPr="00012C17">
        <w:rPr>
          <w:rFonts w:cs="Arial"/>
          <w:color w:val="000000"/>
          <w:sz w:val="24"/>
        </w:rPr>
        <w:t xml:space="preserve">the appeal </w:t>
      </w:r>
      <w:r w:rsidRPr="00012C17">
        <w:rPr>
          <w:color w:val="000000"/>
          <w:sz w:val="24"/>
        </w:rPr>
        <w:t>of</w:t>
      </w:r>
      <w:r w:rsidRPr="00012C17">
        <w:rPr>
          <w:rFonts w:cs="Arial"/>
          <w:color w:val="000000"/>
          <w:sz w:val="24"/>
        </w:rPr>
        <w:t xml:space="preserve"> the second Applicant</w:t>
      </w:r>
      <w:r w:rsidR="00A6162A" w:rsidRPr="00012C17">
        <w:rPr>
          <w:rFonts w:cs="Arial"/>
          <w:color w:val="000000"/>
          <w:sz w:val="24"/>
        </w:rPr>
        <w:t xml:space="preserve">. </w:t>
      </w:r>
      <w:r w:rsidRPr="00012C17">
        <w:rPr>
          <w:rFonts w:cs="Arial"/>
          <w:color w:val="000000"/>
          <w:sz w:val="24"/>
        </w:rPr>
        <w:t>Based on this appeal</w:t>
      </w:r>
      <w:r w:rsidR="00A6162A" w:rsidRPr="00012C17">
        <w:rPr>
          <w:rFonts w:cs="Arial"/>
          <w:color w:val="000000"/>
          <w:sz w:val="24"/>
        </w:rPr>
        <w:t xml:space="preserve">, </w:t>
      </w:r>
      <w:r w:rsidRPr="00012C17">
        <w:rPr>
          <w:rFonts w:cs="Arial"/>
          <w:color w:val="000000"/>
          <w:sz w:val="24"/>
        </w:rPr>
        <w:t>the ECAP</w:t>
      </w:r>
      <w:r w:rsidR="00A6162A" w:rsidRPr="00012C17">
        <w:rPr>
          <w:rFonts w:cs="Arial"/>
          <w:color w:val="000000"/>
          <w:sz w:val="24"/>
        </w:rPr>
        <w:t xml:space="preserve"> </w:t>
      </w:r>
      <w:r w:rsidRPr="00012C17">
        <w:rPr>
          <w:rFonts w:cs="Arial"/>
          <w:color w:val="000000"/>
          <w:sz w:val="24"/>
        </w:rPr>
        <w:t>ordered the CEC to</w:t>
      </w:r>
      <w:r w:rsidR="00A6162A" w:rsidRPr="00012C17">
        <w:rPr>
          <w:rFonts w:cs="Arial"/>
          <w:color w:val="000000"/>
          <w:sz w:val="24"/>
        </w:rPr>
        <w:t xml:space="preserve"> </w:t>
      </w:r>
      <w:r w:rsidRPr="00012C17">
        <w:rPr>
          <w:rFonts w:cs="Arial"/>
          <w:color w:val="000000"/>
          <w:sz w:val="24"/>
        </w:rPr>
        <w:t>recount</w:t>
      </w:r>
      <w:r w:rsidR="00E85605" w:rsidRPr="00012C17">
        <w:rPr>
          <w:rFonts w:cs="Arial"/>
          <w:color w:val="000000"/>
          <w:sz w:val="24"/>
        </w:rPr>
        <w:t>/</w:t>
      </w:r>
      <w:r w:rsidRPr="00012C17">
        <w:rPr>
          <w:rFonts w:cs="Arial"/>
          <w:color w:val="000000"/>
          <w:sz w:val="24"/>
        </w:rPr>
        <w:t>reassess</w:t>
      </w:r>
      <w:r w:rsidR="00E85605" w:rsidRPr="00012C17">
        <w:rPr>
          <w:rFonts w:cs="Arial"/>
          <w:color w:val="000000"/>
          <w:sz w:val="24"/>
        </w:rPr>
        <w:t xml:space="preserve"> </w:t>
      </w:r>
      <w:r w:rsidRPr="00012C17">
        <w:rPr>
          <w:rFonts w:cs="Arial"/>
          <w:color w:val="000000"/>
          <w:sz w:val="24"/>
        </w:rPr>
        <w:t>ballot papers</w:t>
      </w:r>
      <w:r w:rsidR="00E85605" w:rsidRPr="00012C17">
        <w:rPr>
          <w:rFonts w:cs="Arial"/>
          <w:color w:val="000000"/>
          <w:sz w:val="24"/>
        </w:rPr>
        <w:t xml:space="preserve"> (i) </w:t>
      </w:r>
      <w:r w:rsidR="00034084" w:rsidRPr="00012C17">
        <w:rPr>
          <w:rFonts w:cs="Arial"/>
          <w:color w:val="000000"/>
          <w:sz w:val="24"/>
        </w:rPr>
        <w:t>declared</w:t>
      </w:r>
      <w:r w:rsidRPr="00012C17">
        <w:rPr>
          <w:rFonts w:cs="Arial"/>
          <w:color w:val="000000"/>
          <w:sz w:val="24"/>
        </w:rPr>
        <w:t xml:space="preserve"> as invalid</w:t>
      </w:r>
      <w:r w:rsidR="00E85605" w:rsidRPr="00012C17">
        <w:rPr>
          <w:rFonts w:cs="Arial"/>
          <w:color w:val="000000"/>
          <w:sz w:val="24"/>
        </w:rPr>
        <w:t>; (ii</w:t>
      </w:r>
      <w:r w:rsidR="00A6162A" w:rsidRPr="00012C17">
        <w:rPr>
          <w:rFonts w:cs="Arial"/>
          <w:color w:val="000000"/>
          <w:sz w:val="24"/>
        </w:rPr>
        <w:t xml:space="preserve">) </w:t>
      </w:r>
      <w:r w:rsidRPr="00012C17">
        <w:rPr>
          <w:rFonts w:cs="Arial"/>
          <w:color w:val="000000"/>
          <w:sz w:val="24"/>
        </w:rPr>
        <w:t>unfilled by the voters</w:t>
      </w:r>
      <w:r w:rsidR="00A6162A" w:rsidRPr="00012C17">
        <w:rPr>
          <w:rFonts w:cs="Arial"/>
          <w:color w:val="000000"/>
          <w:sz w:val="24"/>
        </w:rPr>
        <w:t xml:space="preserve">, </w:t>
      </w:r>
      <w:r w:rsidRPr="00012C17">
        <w:rPr>
          <w:rFonts w:cs="Arial"/>
          <w:color w:val="000000"/>
          <w:sz w:val="24"/>
        </w:rPr>
        <w:t>consequently</w:t>
      </w:r>
      <w:r w:rsidR="00E85605" w:rsidRPr="00012C17">
        <w:rPr>
          <w:rFonts w:cs="Arial"/>
          <w:color w:val="000000"/>
          <w:sz w:val="24"/>
        </w:rPr>
        <w:t xml:space="preserve"> </w:t>
      </w:r>
      <w:r w:rsidR="004624A1" w:rsidRPr="00012C17">
        <w:rPr>
          <w:rFonts w:cs="Arial"/>
          <w:color w:val="000000"/>
          <w:sz w:val="24"/>
        </w:rPr>
        <w:t>blank</w:t>
      </w:r>
      <w:r w:rsidR="00E85605" w:rsidRPr="00012C17">
        <w:rPr>
          <w:rFonts w:cs="Arial"/>
          <w:color w:val="000000"/>
          <w:sz w:val="24"/>
        </w:rPr>
        <w:t xml:space="preserve">; </w:t>
      </w:r>
      <w:r w:rsidRPr="00012C17">
        <w:rPr>
          <w:rFonts w:cs="Arial"/>
          <w:color w:val="000000"/>
          <w:sz w:val="24"/>
        </w:rPr>
        <w:t>as well as</w:t>
      </w:r>
      <w:r w:rsidR="00E85605" w:rsidRPr="00012C17">
        <w:rPr>
          <w:rFonts w:cs="Arial"/>
          <w:color w:val="000000"/>
          <w:sz w:val="24"/>
        </w:rPr>
        <w:t xml:space="preserve"> (iii</w:t>
      </w:r>
      <w:r w:rsidR="00A6162A" w:rsidRPr="00012C17">
        <w:rPr>
          <w:rFonts w:cs="Arial"/>
          <w:color w:val="000000"/>
          <w:sz w:val="24"/>
        </w:rPr>
        <w:t xml:space="preserve">) </w:t>
      </w:r>
      <w:r w:rsidRPr="00012C17">
        <w:rPr>
          <w:rFonts w:cs="Arial"/>
          <w:color w:val="000000"/>
          <w:sz w:val="24"/>
        </w:rPr>
        <w:t>in the polling stations</w:t>
      </w:r>
      <w:r w:rsidR="00A6162A" w:rsidRPr="00012C17">
        <w:rPr>
          <w:rFonts w:cs="Arial"/>
          <w:color w:val="000000"/>
          <w:sz w:val="24"/>
        </w:rPr>
        <w:t xml:space="preserve"> </w:t>
      </w:r>
      <w:r w:rsidRPr="00012C17">
        <w:rPr>
          <w:rFonts w:cs="Arial"/>
          <w:color w:val="000000"/>
          <w:sz w:val="24"/>
        </w:rPr>
        <w:t>specified in the respective Decision</w:t>
      </w:r>
      <w:r w:rsidR="00A6162A" w:rsidRPr="00012C17">
        <w:rPr>
          <w:rFonts w:cs="Arial"/>
          <w:color w:val="000000"/>
          <w:sz w:val="24"/>
        </w:rPr>
        <w:t xml:space="preserve">. </w:t>
      </w:r>
      <w:r w:rsidR="00034084" w:rsidRPr="00012C17">
        <w:rPr>
          <w:rFonts w:cs="Arial"/>
          <w:color w:val="000000"/>
          <w:sz w:val="24"/>
        </w:rPr>
        <w:t xml:space="preserve">The </w:t>
      </w:r>
      <w:r w:rsidRPr="00012C17">
        <w:rPr>
          <w:rFonts w:cs="Arial"/>
          <w:color w:val="000000"/>
          <w:sz w:val="24"/>
        </w:rPr>
        <w:t>ECAP</w:t>
      </w:r>
      <w:r w:rsidR="00A6162A" w:rsidRPr="00012C17">
        <w:rPr>
          <w:rFonts w:cs="Arial"/>
          <w:color w:val="000000"/>
          <w:sz w:val="24"/>
        </w:rPr>
        <w:t xml:space="preserve"> </w:t>
      </w:r>
      <w:r w:rsidRPr="00012C17">
        <w:rPr>
          <w:rFonts w:cs="Arial"/>
          <w:color w:val="000000"/>
          <w:sz w:val="24"/>
        </w:rPr>
        <w:t>requested the CEC</w:t>
      </w:r>
      <w:r w:rsidR="00A6162A" w:rsidRPr="00012C17">
        <w:rPr>
          <w:rFonts w:cs="Arial"/>
          <w:color w:val="000000"/>
          <w:sz w:val="24"/>
        </w:rPr>
        <w:t xml:space="preserve"> </w:t>
      </w:r>
      <w:r w:rsidR="00BC6017" w:rsidRPr="00012C17">
        <w:rPr>
          <w:rFonts w:cs="Arial"/>
          <w:color w:val="000000"/>
          <w:sz w:val="24"/>
        </w:rPr>
        <w:t>that the assessment of the ballot papers</w:t>
      </w:r>
      <w:r w:rsidR="00A6162A" w:rsidRPr="00012C17">
        <w:rPr>
          <w:rFonts w:cs="Arial"/>
          <w:color w:val="000000"/>
          <w:sz w:val="24"/>
        </w:rPr>
        <w:t xml:space="preserve"> </w:t>
      </w:r>
      <w:r w:rsidR="00034084" w:rsidRPr="00012C17">
        <w:rPr>
          <w:rFonts w:cs="Arial"/>
          <w:color w:val="000000"/>
          <w:sz w:val="24"/>
        </w:rPr>
        <w:t>declared</w:t>
      </w:r>
      <w:r w:rsidR="00BC6017" w:rsidRPr="00012C17">
        <w:rPr>
          <w:rFonts w:cs="Arial"/>
          <w:color w:val="000000"/>
          <w:sz w:val="24"/>
        </w:rPr>
        <w:t xml:space="preserve"> as invalid</w:t>
      </w:r>
      <w:r w:rsidR="00A6162A" w:rsidRPr="00012C17">
        <w:rPr>
          <w:rFonts w:cs="Arial"/>
          <w:color w:val="000000"/>
          <w:sz w:val="24"/>
        </w:rPr>
        <w:t xml:space="preserve"> </w:t>
      </w:r>
      <w:r w:rsidR="00BC6017" w:rsidRPr="00012C17">
        <w:rPr>
          <w:rFonts w:cs="Arial"/>
          <w:color w:val="000000"/>
          <w:sz w:val="24"/>
        </w:rPr>
        <w:t xml:space="preserve">as well as of those considered </w:t>
      </w:r>
      <w:r w:rsidR="004624A1" w:rsidRPr="00012C17">
        <w:rPr>
          <w:rFonts w:cs="Arial"/>
          <w:color w:val="000000"/>
          <w:sz w:val="24"/>
        </w:rPr>
        <w:t>blank</w:t>
      </w:r>
      <w:r w:rsidR="00A6162A" w:rsidRPr="00012C17">
        <w:rPr>
          <w:rFonts w:cs="Arial"/>
          <w:color w:val="000000"/>
          <w:sz w:val="24"/>
        </w:rPr>
        <w:t xml:space="preserve">, </w:t>
      </w:r>
      <w:r w:rsidR="00BC6017" w:rsidRPr="00012C17">
        <w:rPr>
          <w:rFonts w:cs="Arial"/>
          <w:color w:val="000000"/>
          <w:sz w:val="24"/>
        </w:rPr>
        <w:t>be made in accordance with</w:t>
      </w:r>
      <w:r w:rsidR="00A6162A" w:rsidRPr="00012C17">
        <w:rPr>
          <w:rFonts w:cs="Arial"/>
          <w:color w:val="000000"/>
          <w:sz w:val="24"/>
        </w:rPr>
        <w:t xml:space="preserve"> </w:t>
      </w:r>
      <w:r w:rsidR="00BC6017" w:rsidRPr="00012C17">
        <w:rPr>
          <w:rFonts w:cs="Arial"/>
          <w:color w:val="000000"/>
          <w:sz w:val="24"/>
        </w:rPr>
        <w:t xml:space="preserve">the </w:t>
      </w:r>
      <w:r w:rsidR="00BC6017" w:rsidRPr="00012C17">
        <w:rPr>
          <w:color w:val="000000"/>
          <w:sz w:val="24"/>
        </w:rPr>
        <w:t>Training Manual on voting procedures and counting in polling station, as well as in the presence of the</w:t>
      </w:r>
      <w:r w:rsidR="005805D2" w:rsidRPr="00012C17">
        <w:rPr>
          <w:color w:val="000000"/>
          <w:sz w:val="24"/>
        </w:rPr>
        <w:t xml:space="preserve"> accredited observers</w:t>
      </w:r>
      <w:r w:rsidR="00A6162A" w:rsidRPr="00012C17">
        <w:rPr>
          <w:rFonts w:cs="Arial"/>
          <w:color w:val="000000"/>
          <w:sz w:val="24"/>
        </w:rPr>
        <w:t xml:space="preserve">, </w:t>
      </w:r>
      <w:r w:rsidR="005805D2" w:rsidRPr="00012C17">
        <w:rPr>
          <w:rFonts w:cs="Arial"/>
          <w:color w:val="000000"/>
          <w:sz w:val="24"/>
        </w:rPr>
        <w:t>including those of LDK</w:t>
      </w:r>
      <w:r w:rsidR="00A6162A" w:rsidRPr="00012C17">
        <w:rPr>
          <w:rFonts w:cs="Arial"/>
          <w:color w:val="000000"/>
          <w:sz w:val="24"/>
        </w:rPr>
        <w:t xml:space="preserve"> </w:t>
      </w:r>
      <w:r w:rsidR="005805D2" w:rsidRPr="00012C17">
        <w:rPr>
          <w:rFonts w:cs="Arial"/>
          <w:color w:val="000000"/>
          <w:sz w:val="24"/>
        </w:rPr>
        <w:t>and of</w:t>
      </w:r>
      <w:r w:rsidR="00A6162A" w:rsidRPr="00012C17">
        <w:rPr>
          <w:rFonts w:cs="Arial"/>
          <w:color w:val="000000"/>
          <w:sz w:val="24"/>
        </w:rPr>
        <w:t xml:space="preserve"> </w:t>
      </w:r>
      <w:r w:rsidR="00F05E0A" w:rsidRPr="00012C17">
        <w:rPr>
          <w:rFonts w:cs="Arial"/>
          <w:color w:val="000000"/>
          <w:sz w:val="24"/>
        </w:rPr>
        <w:t>VETËVENDOSJE! Movement</w:t>
      </w:r>
      <w:r w:rsidR="00A6162A" w:rsidRPr="00012C17">
        <w:rPr>
          <w:rFonts w:cs="Arial"/>
          <w:color w:val="000000"/>
          <w:sz w:val="24"/>
        </w:rPr>
        <w:t xml:space="preserve">. </w:t>
      </w:r>
      <w:r w:rsidR="005805D2" w:rsidRPr="00012C17">
        <w:rPr>
          <w:rFonts w:cs="Arial"/>
          <w:color w:val="000000"/>
          <w:sz w:val="24"/>
        </w:rPr>
        <w:t>Finally</w:t>
      </w:r>
      <w:r w:rsidR="00A6162A" w:rsidRPr="00012C17">
        <w:rPr>
          <w:rFonts w:cs="Arial"/>
          <w:color w:val="000000"/>
          <w:sz w:val="24"/>
        </w:rPr>
        <w:t xml:space="preserve">, </w:t>
      </w:r>
      <w:r w:rsidR="005805D2" w:rsidRPr="00012C17">
        <w:rPr>
          <w:rFonts w:cs="Arial"/>
          <w:color w:val="000000"/>
          <w:sz w:val="24"/>
        </w:rPr>
        <w:t>the ECAP</w:t>
      </w:r>
      <w:r w:rsidR="00A6162A" w:rsidRPr="00012C17">
        <w:rPr>
          <w:rFonts w:cs="Arial"/>
          <w:color w:val="000000"/>
          <w:sz w:val="24"/>
        </w:rPr>
        <w:t xml:space="preserve"> </w:t>
      </w:r>
      <w:r w:rsidR="005805D2" w:rsidRPr="00012C17">
        <w:rPr>
          <w:rFonts w:cs="Arial"/>
          <w:color w:val="000000"/>
          <w:sz w:val="24"/>
        </w:rPr>
        <w:t>ordered</w:t>
      </w:r>
      <w:r w:rsidR="00A6162A" w:rsidRPr="00012C17">
        <w:rPr>
          <w:rFonts w:cs="Arial"/>
          <w:color w:val="000000"/>
          <w:sz w:val="24"/>
        </w:rPr>
        <w:t xml:space="preserve"> </w:t>
      </w:r>
      <w:r w:rsidR="005805D2" w:rsidRPr="00012C17">
        <w:rPr>
          <w:rFonts w:cs="Arial"/>
          <w:color w:val="000000"/>
          <w:sz w:val="24"/>
        </w:rPr>
        <w:t>that the result deriving from the recounting and reassessment is included in the final result</w:t>
      </w:r>
      <w:r w:rsidR="00A6162A" w:rsidRPr="00012C17">
        <w:rPr>
          <w:rFonts w:cs="Arial"/>
          <w:color w:val="000000"/>
          <w:sz w:val="24"/>
        </w:rPr>
        <w:t xml:space="preserve"> </w:t>
      </w:r>
      <w:r w:rsidR="005805D2" w:rsidRPr="00012C17">
        <w:rPr>
          <w:rFonts w:cs="Arial"/>
          <w:color w:val="000000"/>
          <w:sz w:val="24"/>
        </w:rPr>
        <w:t>to be announced by the CEC</w:t>
      </w:r>
      <w:r w:rsidR="00A6162A" w:rsidRPr="00012C17">
        <w:rPr>
          <w:rFonts w:cs="Arial"/>
          <w:color w:val="000000"/>
          <w:sz w:val="24"/>
        </w:rPr>
        <w:t xml:space="preserve">. </w:t>
      </w:r>
      <w:r w:rsidR="005805D2" w:rsidRPr="00012C17">
        <w:rPr>
          <w:rFonts w:cs="Arial"/>
          <w:color w:val="000000"/>
          <w:sz w:val="24"/>
        </w:rPr>
        <w:t>This Decision</w:t>
      </w:r>
      <w:r w:rsidR="00A6162A" w:rsidRPr="00012C17">
        <w:rPr>
          <w:rFonts w:cs="Arial"/>
          <w:color w:val="000000"/>
          <w:sz w:val="24"/>
        </w:rPr>
        <w:t xml:space="preserve">, </w:t>
      </w:r>
      <w:r w:rsidR="005805D2" w:rsidRPr="00012C17">
        <w:rPr>
          <w:rFonts w:cs="Arial"/>
          <w:color w:val="000000"/>
          <w:sz w:val="24"/>
        </w:rPr>
        <w:t>the ECAP</w:t>
      </w:r>
      <w:r w:rsidR="00A6162A" w:rsidRPr="00012C17">
        <w:rPr>
          <w:rFonts w:cs="Arial"/>
          <w:color w:val="000000"/>
          <w:sz w:val="24"/>
        </w:rPr>
        <w:t xml:space="preserve"> </w:t>
      </w:r>
      <w:r w:rsidR="005805D2" w:rsidRPr="00012C17">
        <w:rPr>
          <w:rFonts w:cs="Arial"/>
          <w:color w:val="000000"/>
          <w:sz w:val="24"/>
        </w:rPr>
        <w:t>reasoned</w:t>
      </w:r>
      <w:r w:rsidR="00A6162A" w:rsidRPr="00012C17">
        <w:rPr>
          <w:rFonts w:cs="Arial"/>
          <w:color w:val="000000"/>
          <w:sz w:val="24"/>
        </w:rPr>
        <w:t xml:space="preserve"> </w:t>
      </w:r>
      <w:r w:rsidR="005805D2" w:rsidRPr="00012C17">
        <w:rPr>
          <w:rFonts w:cs="Arial"/>
          <w:color w:val="000000"/>
          <w:sz w:val="24"/>
        </w:rPr>
        <w:t>by being based on the</w:t>
      </w:r>
      <w:r w:rsidR="00A6162A" w:rsidRPr="00012C17">
        <w:rPr>
          <w:rFonts w:cs="Arial"/>
          <w:color w:val="000000"/>
          <w:sz w:val="24"/>
        </w:rPr>
        <w:t xml:space="preserve"> </w:t>
      </w:r>
      <w:r w:rsidR="00295E9B" w:rsidRPr="00012C17">
        <w:rPr>
          <w:rFonts w:cs="Arial"/>
          <w:color w:val="000000"/>
          <w:sz w:val="24"/>
        </w:rPr>
        <w:t>“</w:t>
      </w:r>
      <w:r w:rsidR="005805D2" w:rsidRPr="00012C17">
        <w:rPr>
          <w:rFonts w:cs="Arial"/>
          <w:i/>
          <w:color w:val="000000"/>
          <w:sz w:val="24"/>
        </w:rPr>
        <w:t xml:space="preserve">the large number of invalid and </w:t>
      </w:r>
      <w:r w:rsidR="004624A1" w:rsidRPr="00012C17">
        <w:rPr>
          <w:rFonts w:cs="Arial"/>
          <w:i/>
          <w:color w:val="000000"/>
          <w:sz w:val="24"/>
        </w:rPr>
        <w:t>blank</w:t>
      </w:r>
      <w:r w:rsidR="005805D2" w:rsidRPr="00012C17">
        <w:rPr>
          <w:rFonts w:cs="Arial"/>
          <w:i/>
          <w:color w:val="000000"/>
          <w:sz w:val="24"/>
        </w:rPr>
        <w:t xml:space="preserve"> ballots</w:t>
      </w:r>
      <w:r w:rsidR="00295E9B" w:rsidRPr="00012C17">
        <w:rPr>
          <w:rFonts w:cs="Arial"/>
          <w:color w:val="000000"/>
          <w:sz w:val="24"/>
        </w:rPr>
        <w:t>”</w:t>
      </w:r>
      <w:r w:rsidR="00CC010F" w:rsidRPr="00012C17">
        <w:rPr>
          <w:rFonts w:cs="Arial"/>
          <w:color w:val="000000"/>
          <w:sz w:val="24"/>
        </w:rPr>
        <w:t xml:space="preserve"> </w:t>
      </w:r>
      <w:r w:rsidR="005805D2" w:rsidRPr="00012C17">
        <w:rPr>
          <w:rFonts w:cs="Arial"/>
          <w:color w:val="000000"/>
          <w:sz w:val="24"/>
        </w:rPr>
        <w:t>and</w:t>
      </w:r>
      <w:r w:rsidR="00CC010F" w:rsidRPr="00012C17">
        <w:rPr>
          <w:rFonts w:cs="Arial"/>
          <w:color w:val="000000"/>
          <w:sz w:val="24"/>
        </w:rPr>
        <w:t xml:space="preserve"> </w:t>
      </w:r>
      <w:r w:rsidR="00295E9B" w:rsidRPr="00012C17">
        <w:rPr>
          <w:rFonts w:cs="Arial"/>
          <w:color w:val="000000"/>
          <w:sz w:val="24"/>
        </w:rPr>
        <w:t>“</w:t>
      </w:r>
      <w:r w:rsidR="005805D2" w:rsidRPr="00012C17">
        <w:rPr>
          <w:i/>
          <w:iCs/>
          <w:color w:val="000000"/>
          <w:sz w:val="24"/>
        </w:rPr>
        <w:t>narrow result between the</w:t>
      </w:r>
      <w:r w:rsidR="00D359F8" w:rsidRPr="00012C17">
        <w:rPr>
          <w:i/>
          <w:iCs/>
          <w:color w:val="000000"/>
          <w:sz w:val="24"/>
        </w:rPr>
        <w:t xml:space="preserve"> two</w:t>
      </w:r>
      <w:r w:rsidR="005805D2" w:rsidRPr="00012C17">
        <w:rPr>
          <w:i/>
          <w:iCs/>
          <w:color w:val="000000"/>
          <w:sz w:val="24"/>
        </w:rPr>
        <w:t xml:space="preserve"> candidates</w:t>
      </w:r>
      <w:r w:rsidR="00295E9B" w:rsidRPr="00012C17">
        <w:rPr>
          <w:rFonts w:cs="Arial"/>
          <w:color w:val="000000"/>
          <w:sz w:val="24"/>
        </w:rPr>
        <w:t>”</w:t>
      </w:r>
      <w:r w:rsidR="00A6162A" w:rsidRPr="00012C17">
        <w:rPr>
          <w:rFonts w:cs="Arial"/>
          <w:color w:val="000000"/>
          <w:sz w:val="24"/>
        </w:rPr>
        <w:t>.</w:t>
      </w:r>
      <w:r w:rsidR="006E52F9" w:rsidRPr="00012C17">
        <w:rPr>
          <w:rFonts w:cs="Arial"/>
          <w:color w:val="000000"/>
          <w:sz w:val="24"/>
        </w:rPr>
        <w:t xml:space="preserve"> </w:t>
      </w:r>
    </w:p>
    <w:p w:rsidR="002F7067" w:rsidRPr="00012C17" w:rsidRDefault="002F7067" w:rsidP="001B11C5">
      <w:pPr>
        <w:pStyle w:val="ListParagraph"/>
        <w:spacing w:after="0" w:line="240" w:lineRule="auto"/>
        <w:ind w:left="540"/>
        <w:jc w:val="both"/>
        <w:rPr>
          <w:rFonts w:ascii="Georgia" w:hAnsi="Georgia" w:cs="Arial"/>
          <w:color w:val="000000"/>
          <w:sz w:val="24"/>
          <w:szCs w:val="24"/>
          <w:lang w:val="en-US"/>
        </w:rPr>
      </w:pPr>
    </w:p>
    <w:p w:rsidR="002F7067" w:rsidRPr="00012C17" w:rsidRDefault="00976230" w:rsidP="001B11C5">
      <w:pPr>
        <w:numPr>
          <w:ilvl w:val="0"/>
          <w:numId w:val="1"/>
        </w:numPr>
        <w:spacing w:line="240" w:lineRule="auto"/>
        <w:ind w:left="630" w:hanging="630"/>
        <w:rPr>
          <w:rFonts w:cs="Arial"/>
          <w:color w:val="000000"/>
          <w:sz w:val="24"/>
        </w:rPr>
      </w:pPr>
      <w:r w:rsidRPr="00012C17">
        <w:rPr>
          <w:rFonts w:cs="Arial"/>
          <w:color w:val="000000"/>
          <w:sz w:val="24"/>
        </w:rPr>
        <w:t xml:space="preserve">Within 24-hour </w:t>
      </w:r>
      <w:r w:rsidR="00DD17EA" w:rsidRPr="00012C17">
        <w:rPr>
          <w:rFonts w:cs="Arial"/>
          <w:color w:val="000000"/>
          <w:sz w:val="24"/>
        </w:rPr>
        <w:t>deadline</w:t>
      </w:r>
      <w:r w:rsidRPr="00012C17">
        <w:rPr>
          <w:rFonts w:cs="Arial"/>
          <w:color w:val="000000"/>
          <w:sz w:val="24"/>
        </w:rPr>
        <w:t xml:space="preserve">, </w:t>
      </w:r>
      <w:r w:rsidR="00F05E0A" w:rsidRPr="00012C17">
        <w:rPr>
          <w:rFonts w:cs="Arial"/>
          <w:color w:val="000000"/>
          <w:sz w:val="24"/>
        </w:rPr>
        <w:t>VETËVENDOSJE! Movement</w:t>
      </w:r>
      <w:r w:rsidRPr="00012C17">
        <w:rPr>
          <w:rFonts w:cs="Arial"/>
          <w:color w:val="000000"/>
          <w:sz w:val="24"/>
        </w:rPr>
        <w:t xml:space="preserve"> filed </w:t>
      </w:r>
      <w:r w:rsidR="00034084" w:rsidRPr="00012C17">
        <w:rPr>
          <w:rFonts w:cs="Arial"/>
          <w:color w:val="000000"/>
          <w:sz w:val="24"/>
        </w:rPr>
        <w:t>an app</w:t>
      </w:r>
      <w:r w:rsidRPr="00012C17">
        <w:rPr>
          <w:rFonts w:cs="Arial"/>
          <w:color w:val="000000"/>
          <w:sz w:val="24"/>
        </w:rPr>
        <w:t xml:space="preserve">eal with the Supreme Court </w:t>
      </w:r>
      <w:r w:rsidRPr="00012C17">
        <w:rPr>
          <w:color w:val="000000"/>
          <w:sz w:val="24"/>
        </w:rPr>
        <w:t>and</w:t>
      </w:r>
      <w:r w:rsidRPr="00012C17">
        <w:rPr>
          <w:rFonts w:cs="Arial"/>
          <w:color w:val="000000"/>
          <w:sz w:val="24"/>
        </w:rPr>
        <w:t xml:space="preserve"> requested that the above-mentioned ECAP Decision be annulled and that the ECAP and the CEC be ordered to continue counting the conditional and</w:t>
      </w:r>
      <w:r w:rsidR="00DD17EA" w:rsidRPr="00012C17">
        <w:rPr>
          <w:rFonts w:cs="Arial"/>
          <w:color w:val="000000"/>
          <w:sz w:val="24"/>
        </w:rPr>
        <w:t xml:space="preserve"> by</w:t>
      </w:r>
      <w:r w:rsidRPr="00012C17">
        <w:rPr>
          <w:rFonts w:cs="Arial"/>
          <w:color w:val="000000"/>
          <w:sz w:val="24"/>
        </w:rPr>
        <w:t xml:space="preserve"> mail votes for the candidates for the </w:t>
      </w:r>
      <w:r w:rsidR="000B3909" w:rsidRPr="00012C17">
        <w:rPr>
          <w:rFonts w:cs="Arial"/>
          <w:color w:val="000000"/>
          <w:sz w:val="24"/>
        </w:rPr>
        <w:t xml:space="preserve">Mayor </w:t>
      </w:r>
      <w:r w:rsidRPr="00012C17">
        <w:rPr>
          <w:rFonts w:cs="Arial"/>
          <w:color w:val="000000"/>
          <w:sz w:val="24"/>
        </w:rPr>
        <w:t xml:space="preserve">of the Municipality of Prishtina. Within the same deadline, the ECAP filed a response to the appeal of </w:t>
      </w:r>
      <w:r w:rsidR="00F05E0A" w:rsidRPr="00012C17">
        <w:rPr>
          <w:rFonts w:cs="Arial"/>
          <w:color w:val="000000"/>
          <w:sz w:val="24"/>
        </w:rPr>
        <w:t>VETËVENDOSJE! Movement</w:t>
      </w:r>
      <w:r w:rsidRPr="00012C17">
        <w:rPr>
          <w:rFonts w:cs="Arial"/>
          <w:color w:val="000000"/>
          <w:sz w:val="24"/>
        </w:rPr>
        <w:t xml:space="preserve"> and requested that the appeal of the latter be rejected as ungrounded and the challenged decision of the ECAP be upheld by the Supreme Court</w:t>
      </w:r>
      <w:r w:rsidR="00A6162A" w:rsidRPr="00012C17">
        <w:rPr>
          <w:rFonts w:cs="Arial"/>
          <w:color w:val="000000"/>
          <w:sz w:val="24"/>
        </w:rPr>
        <w:t xml:space="preserve">. </w:t>
      </w:r>
    </w:p>
    <w:p w:rsidR="002F7067" w:rsidRPr="00012C17" w:rsidRDefault="002F7067" w:rsidP="001B11C5">
      <w:pPr>
        <w:pStyle w:val="ListParagraph"/>
        <w:spacing w:after="0" w:line="240" w:lineRule="auto"/>
        <w:rPr>
          <w:rFonts w:ascii="Georgia" w:hAnsi="Georgia" w:cs="Arial"/>
          <w:color w:val="000000"/>
          <w:sz w:val="24"/>
          <w:szCs w:val="24"/>
          <w:lang w:val="en-US"/>
        </w:rPr>
      </w:pPr>
    </w:p>
    <w:p w:rsidR="002F7067" w:rsidRPr="00012C17" w:rsidRDefault="00976230" w:rsidP="001B11C5">
      <w:pPr>
        <w:numPr>
          <w:ilvl w:val="0"/>
          <w:numId w:val="1"/>
        </w:numPr>
        <w:spacing w:line="240" w:lineRule="auto"/>
        <w:ind w:left="630" w:hanging="630"/>
        <w:rPr>
          <w:rFonts w:cs="Arial"/>
          <w:color w:val="000000"/>
          <w:sz w:val="24"/>
        </w:rPr>
      </w:pPr>
      <w:r w:rsidRPr="00012C17">
        <w:rPr>
          <w:rFonts w:cs="Arial"/>
          <w:color w:val="000000"/>
          <w:sz w:val="24"/>
        </w:rPr>
        <w:t>On</w:t>
      </w:r>
      <w:r w:rsidR="00A6162A" w:rsidRPr="00012C17">
        <w:rPr>
          <w:rFonts w:cs="Arial"/>
          <w:color w:val="000000"/>
          <w:sz w:val="24"/>
        </w:rPr>
        <w:t xml:space="preserve"> 25 </w:t>
      </w:r>
      <w:r w:rsidRPr="00012C17">
        <w:rPr>
          <w:rFonts w:cs="Arial"/>
          <w:color w:val="000000"/>
          <w:sz w:val="24"/>
        </w:rPr>
        <w:t>November</w:t>
      </w:r>
      <w:r w:rsidR="00A6162A" w:rsidRPr="00012C17">
        <w:rPr>
          <w:rFonts w:cs="Arial"/>
          <w:color w:val="000000"/>
          <w:sz w:val="24"/>
        </w:rPr>
        <w:t xml:space="preserve"> 2017, </w:t>
      </w:r>
      <w:r w:rsidRPr="00012C17">
        <w:rPr>
          <w:rFonts w:cs="Arial"/>
          <w:color w:val="000000"/>
          <w:sz w:val="24"/>
        </w:rPr>
        <w:t>the</w:t>
      </w:r>
      <w:r w:rsidR="00A6162A" w:rsidRPr="00012C17">
        <w:rPr>
          <w:rFonts w:cs="Arial"/>
          <w:color w:val="000000"/>
          <w:sz w:val="24"/>
        </w:rPr>
        <w:t xml:space="preserve"> Supreme </w:t>
      </w:r>
      <w:r w:rsidRPr="00012C17">
        <w:rPr>
          <w:rFonts w:cs="Arial"/>
          <w:color w:val="000000"/>
          <w:sz w:val="24"/>
        </w:rPr>
        <w:t xml:space="preserve">Court rendered its </w:t>
      </w:r>
      <w:r w:rsidR="004C5BA7" w:rsidRPr="00012C17">
        <w:rPr>
          <w:rFonts w:cs="Arial"/>
          <w:color w:val="000000"/>
          <w:sz w:val="24"/>
        </w:rPr>
        <w:t>f</w:t>
      </w:r>
      <w:r w:rsidRPr="00012C17">
        <w:rPr>
          <w:rFonts w:cs="Arial"/>
          <w:color w:val="000000"/>
          <w:sz w:val="24"/>
        </w:rPr>
        <w:t>irst Decision</w:t>
      </w:r>
      <w:r w:rsidR="00E85605" w:rsidRPr="00012C17">
        <w:rPr>
          <w:rFonts w:cs="Arial"/>
          <w:color w:val="000000"/>
          <w:sz w:val="24"/>
        </w:rPr>
        <w:t xml:space="preserve"> [AA. </w:t>
      </w:r>
      <w:r w:rsidRPr="00012C17">
        <w:rPr>
          <w:rFonts w:cs="Arial"/>
          <w:color w:val="000000"/>
          <w:sz w:val="24"/>
        </w:rPr>
        <w:t>No</w:t>
      </w:r>
      <w:r w:rsidR="00E85605" w:rsidRPr="00012C17">
        <w:rPr>
          <w:rFonts w:cs="Arial"/>
          <w:color w:val="000000"/>
          <w:sz w:val="24"/>
        </w:rPr>
        <w:t xml:space="preserve">. 52/2017] </w:t>
      </w:r>
      <w:r w:rsidRPr="00012C17">
        <w:rPr>
          <w:rFonts w:cs="Arial"/>
          <w:color w:val="000000"/>
          <w:sz w:val="24"/>
        </w:rPr>
        <w:t>which approved</w:t>
      </w:r>
      <w:r w:rsidR="00E85605" w:rsidRPr="00012C17">
        <w:rPr>
          <w:rFonts w:cs="Arial"/>
          <w:color w:val="000000"/>
          <w:sz w:val="24"/>
        </w:rPr>
        <w:t xml:space="preserve"> </w:t>
      </w:r>
      <w:r w:rsidRPr="00012C17">
        <w:rPr>
          <w:rFonts w:cs="Arial"/>
          <w:color w:val="000000"/>
          <w:sz w:val="24"/>
        </w:rPr>
        <w:t>as grounded</w:t>
      </w:r>
      <w:r w:rsidR="00A6162A" w:rsidRPr="00012C17">
        <w:rPr>
          <w:rFonts w:cs="Arial"/>
          <w:color w:val="000000"/>
          <w:sz w:val="24"/>
        </w:rPr>
        <w:t xml:space="preserve"> </w:t>
      </w:r>
      <w:r w:rsidRPr="00012C17">
        <w:rPr>
          <w:rFonts w:cs="Arial"/>
          <w:color w:val="000000"/>
          <w:sz w:val="24"/>
        </w:rPr>
        <w:t>the appeal</w:t>
      </w:r>
      <w:r w:rsidR="00A6162A" w:rsidRPr="00012C17">
        <w:rPr>
          <w:rFonts w:cs="Arial"/>
          <w:color w:val="000000"/>
          <w:sz w:val="24"/>
        </w:rPr>
        <w:t xml:space="preserve"> </w:t>
      </w:r>
      <w:r w:rsidRPr="00012C17">
        <w:rPr>
          <w:rFonts w:cs="Arial"/>
          <w:color w:val="000000"/>
          <w:sz w:val="24"/>
        </w:rPr>
        <w:t>of</w:t>
      </w:r>
      <w:r w:rsidR="00A6162A" w:rsidRPr="00012C17">
        <w:rPr>
          <w:rFonts w:cs="Arial"/>
          <w:color w:val="000000"/>
          <w:sz w:val="24"/>
        </w:rPr>
        <w:t xml:space="preserve"> </w:t>
      </w:r>
      <w:r w:rsidR="00F05E0A" w:rsidRPr="00012C17">
        <w:rPr>
          <w:rFonts w:cs="Arial"/>
          <w:color w:val="000000"/>
          <w:sz w:val="24"/>
        </w:rPr>
        <w:t>VETËVENDOSJE! Movement</w:t>
      </w:r>
      <w:r w:rsidR="00A6162A" w:rsidRPr="00012C17">
        <w:rPr>
          <w:rFonts w:cs="Arial"/>
          <w:color w:val="000000"/>
          <w:sz w:val="24"/>
        </w:rPr>
        <w:t xml:space="preserve">, </w:t>
      </w:r>
      <w:r w:rsidRPr="00012C17">
        <w:rPr>
          <w:rFonts w:cs="Arial"/>
          <w:color w:val="000000"/>
          <w:sz w:val="24"/>
        </w:rPr>
        <w:t>and modified</w:t>
      </w:r>
      <w:r w:rsidR="00E85605" w:rsidRPr="00012C17">
        <w:rPr>
          <w:rFonts w:cs="Arial"/>
          <w:color w:val="000000"/>
          <w:sz w:val="24"/>
        </w:rPr>
        <w:t xml:space="preserve"> </w:t>
      </w:r>
      <w:r w:rsidRPr="00012C17">
        <w:rPr>
          <w:rFonts w:cs="Arial"/>
          <w:color w:val="000000"/>
          <w:sz w:val="24"/>
        </w:rPr>
        <w:t>Decision</w:t>
      </w:r>
      <w:r w:rsidR="00E85605" w:rsidRPr="00012C17">
        <w:rPr>
          <w:rFonts w:cs="Arial"/>
          <w:color w:val="000000"/>
          <w:sz w:val="24"/>
        </w:rPr>
        <w:t xml:space="preserve"> [ZL.</w:t>
      </w:r>
      <w:r w:rsidRPr="00012C17">
        <w:rPr>
          <w:rFonts w:cs="Arial"/>
          <w:color w:val="000000"/>
          <w:sz w:val="24"/>
        </w:rPr>
        <w:t xml:space="preserve"> </w:t>
      </w:r>
      <w:r w:rsidR="00E85605" w:rsidRPr="00012C17">
        <w:rPr>
          <w:rFonts w:cs="Arial"/>
          <w:color w:val="000000"/>
          <w:sz w:val="24"/>
        </w:rPr>
        <w:t>A.</w:t>
      </w:r>
      <w:r w:rsidRPr="00012C17">
        <w:rPr>
          <w:rFonts w:cs="Arial"/>
          <w:color w:val="000000"/>
          <w:sz w:val="24"/>
        </w:rPr>
        <w:t xml:space="preserve"> No</w:t>
      </w:r>
      <w:r w:rsidR="00E85605" w:rsidRPr="00012C17">
        <w:rPr>
          <w:rFonts w:cs="Arial"/>
          <w:color w:val="000000"/>
          <w:sz w:val="24"/>
        </w:rPr>
        <w:t>.</w:t>
      </w:r>
      <w:r w:rsidRPr="00012C17">
        <w:rPr>
          <w:rFonts w:cs="Arial"/>
          <w:color w:val="000000"/>
          <w:sz w:val="24"/>
        </w:rPr>
        <w:t xml:space="preserve"> </w:t>
      </w:r>
      <w:r w:rsidR="00E85605" w:rsidRPr="00012C17">
        <w:rPr>
          <w:rFonts w:cs="Arial"/>
          <w:color w:val="000000"/>
          <w:sz w:val="24"/>
        </w:rPr>
        <w:t xml:space="preserve">1102/2017] </w:t>
      </w:r>
      <w:r w:rsidRPr="00012C17">
        <w:rPr>
          <w:rFonts w:cs="Arial"/>
          <w:color w:val="000000"/>
          <w:sz w:val="24"/>
        </w:rPr>
        <w:t>of</w:t>
      </w:r>
      <w:r w:rsidR="00A6162A" w:rsidRPr="00012C17">
        <w:rPr>
          <w:rFonts w:cs="Arial"/>
          <w:color w:val="000000"/>
          <w:sz w:val="24"/>
        </w:rPr>
        <w:t xml:space="preserve"> 22 </w:t>
      </w:r>
      <w:r w:rsidRPr="00012C17">
        <w:rPr>
          <w:rFonts w:cs="Arial"/>
          <w:color w:val="000000"/>
          <w:sz w:val="24"/>
        </w:rPr>
        <w:t>November</w:t>
      </w:r>
      <w:r w:rsidR="00A6162A" w:rsidRPr="00012C17">
        <w:rPr>
          <w:rFonts w:cs="Arial"/>
          <w:color w:val="000000"/>
          <w:sz w:val="24"/>
        </w:rPr>
        <w:t xml:space="preserve"> 2017 </w:t>
      </w:r>
      <w:r w:rsidRPr="00012C17">
        <w:rPr>
          <w:rFonts w:cs="Arial"/>
          <w:color w:val="000000"/>
          <w:sz w:val="24"/>
        </w:rPr>
        <w:t>of the ECAP</w:t>
      </w:r>
      <w:r w:rsidR="00A6162A" w:rsidRPr="00012C17">
        <w:rPr>
          <w:rFonts w:cs="Arial"/>
          <w:color w:val="000000"/>
          <w:sz w:val="24"/>
        </w:rPr>
        <w:t xml:space="preserve">, </w:t>
      </w:r>
      <w:r w:rsidRPr="00012C17">
        <w:rPr>
          <w:rFonts w:cs="Arial"/>
          <w:color w:val="000000"/>
          <w:sz w:val="24"/>
        </w:rPr>
        <w:t>so that the Appeal of the second Applicant</w:t>
      </w:r>
      <w:r w:rsidR="00A6162A" w:rsidRPr="00012C17">
        <w:rPr>
          <w:rFonts w:cs="Arial"/>
          <w:color w:val="000000"/>
          <w:sz w:val="24"/>
        </w:rPr>
        <w:t xml:space="preserve"> </w:t>
      </w:r>
      <w:r w:rsidRPr="00012C17">
        <w:rPr>
          <w:rFonts w:cs="Arial"/>
          <w:color w:val="000000"/>
          <w:sz w:val="24"/>
        </w:rPr>
        <w:t>was rejected as ungrounded</w:t>
      </w:r>
      <w:r w:rsidR="00A6162A" w:rsidRPr="00012C17">
        <w:rPr>
          <w:rFonts w:cs="Arial"/>
          <w:color w:val="000000"/>
          <w:sz w:val="24"/>
        </w:rPr>
        <w:t xml:space="preserve">. </w:t>
      </w:r>
      <w:r w:rsidR="00CF310F" w:rsidRPr="00012C17">
        <w:rPr>
          <w:rFonts w:cs="Arial"/>
          <w:color w:val="000000"/>
          <w:sz w:val="24"/>
        </w:rPr>
        <w:t xml:space="preserve">The Supreme </w:t>
      </w:r>
      <w:r w:rsidR="00CF310F" w:rsidRPr="00012C17">
        <w:rPr>
          <w:color w:val="000000"/>
          <w:sz w:val="24"/>
        </w:rPr>
        <w:t>Court</w:t>
      </w:r>
      <w:r w:rsidR="00CF310F" w:rsidRPr="00012C17">
        <w:rPr>
          <w:rFonts w:cs="Arial"/>
          <w:color w:val="000000"/>
          <w:sz w:val="24"/>
        </w:rPr>
        <w:t xml:space="preserve"> reasoned that the challenged decision of the ECAP was not based on convincing evidence and that the </w:t>
      </w:r>
      <w:r w:rsidR="00277325" w:rsidRPr="00012C17">
        <w:rPr>
          <w:rFonts w:cs="Arial"/>
          <w:color w:val="000000"/>
          <w:sz w:val="24"/>
        </w:rPr>
        <w:t>appealing allegations</w:t>
      </w:r>
      <w:r w:rsidR="00CF310F" w:rsidRPr="00012C17">
        <w:rPr>
          <w:rFonts w:cs="Arial"/>
          <w:color w:val="000000"/>
          <w:sz w:val="24"/>
        </w:rPr>
        <w:t xml:space="preserve"> of the second </w:t>
      </w:r>
      <w:r w:rsidR="00277325" w:rsidRPr="00012C17">
        <w:rPr>
          <w:rFonts w:cs="Arial"/>
          <w:color w:val="000000"/>
          <w:sz w:val="24"/>
        </w:rPr>
        <w:t>A</w:t>
      </w:r>
      <w:r w:rsidR="00CF310F" w:rsidRPr="00012C17">
        <w:rPr>
          <w:rFonts w:cs="Arial"/>
          <w:color w:val="000000"/>
          <w:sz w:val="24"/>
        </w:rPr>
        <w:t>pplicant were not proven</w:t>
      </w:r>
      <w:r w:rsidR="00A6162A" w:rsidRPr="00012C17">
        <w:rPr>
          <w:rFonts w:cs="Arial"/>
          <w:color w:val="000000"/>
          <w:sz w:val="24"/>
        </w:rPr>
        <w:t xml:space="preserve">. </w:t>
      </w:r>
      <w:r w:rsidR="00CF310F" w:rsidRPr="00012C17">
        <w:rPr>
          <w:rFonts w:cs="Arial"/>
          <w:color w:val="000000"/>
          <w:sz w:val="24"/>
        </w:rPr>
        <w:t>In addition</w:t>
      </w:r>
      <w:r w:rsidR="00A6162A" w:rsidRPr="00012C17">
        <w:rPr>
          <w:rFonts w:cs="Arial"/>
          <w:color w:val="000000"/>
          <w:sz w:val="24"/>
        </w:rPr>
        <w:t xml:space="preserve">, </w:t>
      </w:r>
      <w:r w:rsidR="00CF310F" w:rsidRPr="00012C17">
        <w:rPr>
          <w:rFonts w:cs="Arial"/>
          <w:color w:val="000000"/>
          <w:sz w:val="24"/>
        </w:rPr>
        <w:t>the</w:t>
      </w:r>
      <w:r w:rsidR="00A6162A" w:rsidRPr="00012C17">
        <w:rPr>
          <w:rFonts w:cs="Arial"/>
          <w:color w:val="000000"/>
          <w:sz w:val="24"/>
        </w:rPr>
        <w:t xml:space="preserve"> Supreme </w:t>
      </w:r>
      <w:r w:rsidR="00CF310F" w:rsidRPr="00012C17">
        <w:rPr>
          <w:rFonts w:cs="Arial"/>
          <w:color w:val="000000"/>
          <w:sz w:val="24"/>
        </w:rPr>
        <w:t>Court considered that the ECAP</w:t>
      </w:r>
      <w:r w:rsidR="00A6162A" w:rsidRPr="00012C17">
        <w:rPr>
          <w:rFonts w:cs="Arial"/>
          <w:color w:val="000000"/>
          <w:sz w:val="24"/>
        </w:rPr>
        <w:t xml:space="preserve"> </w:t>
      </w:r>
      <w:r w:rsidR="00CF310F" w:rsidRPr="00012C17">
        <w:rPr>
          <w:rFonts w:cs="Arial"/>
          <w:color w:val="000000"/>
          <w:sz w:val="24"/>
        </w:rPr>
        <w:t>did not base its assessment on the</w:t>
      </w:r>
      <w:r w:rsidR="00A6162A" w:rsidRPr="00012C17">
        <w:rPr>
          <w:rFonts w:cs="Arial"/>
          <w:color w:val="000000"/>
          <w:sz w:val="24"/>
        </w:rPr>
        <w:t xml:space="preserve"> </w:t>
      </w:r>
      <w:r w:rsidR="00CF310F" w:rsidRPr="00012C17">
        <w:rPr>
          <w:rFonts w:cs="Arial"/>
          <w:color w:val="000000"/>
          <w:sz w:val="24"/>
        </w:rPr>
        <w:t>Law</w:t>
      </w:r>
      <w:r w:rsidR="00295E9B" w:rsidRPr="00012C17">
        <w:rPr>
          <w:rFonts w:cs="Arial"/>
          <w:color w:val="000000"/>
          <w:sz w:val="24"/>
        </w:rPr>
        <w:t xml:space="preserve"> N</w:t>
      </w:r>
      <w:r w:rsidR="00CF310F" w:rsidRPr="00012C17">
        <w:rPr>
          <w:rFonts w:cs="Arial"/>
          <w:color w:val="000000"/>
          <w:sz w:val="24"/>
        </w:rPr>
        <w:t>o</w:t>
      </w:r>
      <w:r w:rsidR="00295E9B" w:rsidRPr="00012C17">
        <w:rPr>
          <w:rFonts w:cs="Arial"/>
          <w:color w:val="000000"/>
          <w:sz w:val="24"/>
        </w:rPr>
        <w:t xml:space="preserve">. 03/L-073 </w:t>
      </w:r>
      <w:r w:rsidR="00CF310F" w:rsidRPr="00012C17">
        <w:rPr>
          <w:rFonts w:cs="Arial"/>
          <w:color w:val="000000"/>
          <w:sz w:val="24"/>
        </w:rPr>
        <w:t>on General Elections</w:t>
      </w:r>
      <w:r w:rsidR="00295E9B" w:rsidRPr="00012C17">
        <w:rPr>
          <w:rFonts w:cs="Arial"/>
          <w:color w:val="000000"/>
          <w:sz w:val="24"/>
        </w:rPr>
        <w:t xml:space="preserve"> (</w:t>
      </w:r>
      <w:r w:rsidR="00CF310F" w:rsidRPr="00012C17">
        <w:rPr>
          <w:rFonts w:cs="Arial"/>
          <w:color w:val="000000"/>
          <w:sz w:val="24"/>
        </w:rPr>
        <w:t>hereinafter</w:t>
      </w:r>
      <w:r w:rsidR="00295E9B" w:rsidRPr="00012C17">
        <w:rPr>
          <w:rFonts w:cs="Arial"/>
          <w:color w:val="000000"/>
          <w:sz w:val="24"/>
        </w:rPr>
        <w:t xml:space="preserve">: </w:t>
      </w:r>
      <w:r w:rsidR="00CF310F" w:rsidRPr="00012C17">
        <w:rPr>
          <w:rFonts w:cs="Arial"/>
          <w:color w:val="000000"/>
          <w:sz w:val="24"/>
        </w:rPr>
        <w:t>the LGE</w:t>
      </w:r>
      <w:r w:rsidR="00295E9B" w:rsidRPr="00012C17">
        <w:rPr>
          <w:rFonts w:cs="Arial"/>
          <w:color w:val="000000"/>
          <w:sz w:val="24"/>
        </w:rPr>
        <w:t xml:space="preserve">) </w:t>
      </w:r>
      <w:r w:rsidR="00CF310F" w:rsidRPr="00012C17">
        <w:rPr>
          <w:rFonts w:cs="Arial"/>
          <w:color w:val="000000"/>
          <w:sz w:val="24"/>
        </w:rPr>
        <w:t>together with the Law No</w:t>
      </w:r>
      <w:r w:rsidR="00277325" w:rsidRPr="00012C17">
        <w:rPr>
          <w:rFonts w:cs="Arial"/>
          <w:color w:val="000000"/>
          <w:sz w:val="24"/>
        </w:rPr>
        <w:t xml:space="preserve">. 03/L-256 </w:t>
      </w:r>
      <w:r w:rsidR="00194B1B" w:rsidRPr="00012C17">
        <w:rPr>
          <w:rFonts w:cs="Arial"/>
          <w:color w:val="000000"/>
          <w:sz w:val="24"/>
        </w:rPr>
        <w:t>on Amending and Supplementing the LGE</w:t>
      </w:r>
      <w:r w:rsidR="00295E9B" w:rsidRPr="00012C17">
        <w:rPr>
          <w:rFonts w:cs="Arial"/>
          <w:color w:val="000000"/>
          <w:sz w:val="24"/>
        </w:rPr>
        <w:t xml:space="preserve"> (</w:t>
      </w:r>
      <w:r w:rsidR="00194B1B" w:rsidRPr="00012C17">
        <w:rPr>
          <w:rFonts w:cs="Arial"/>
          <w:color w:val="000000"/>
          <w:sz w:val="24"/>
        </w:rPr>
        <w:t>hereinafter:</w:t>
      </w:r>
      <w:r w:rsidR="00295E9B" w:rsidRPr="00012C17">
        <w:rPr>
          <w:rFonts w:cs="Arial"/>
          <w:color w:val="000000"/>
          <w:sz w:val="24"/>
        </w:rPr>
        <w:t xml:space="preserve"> </w:t>
      </w:r>
      <w:r w:rsidR="00194B1B" w:rsidRPr="00012C17">
        <w:rPr>
          <w:rFonts w:cs="Arial"/>
          <w:color w:val="000000"/>
          <w:sz w:val="24"/>
        </w:rPr>
        <w:t>Law on Amending and Supplementing the LGE</w:t>
      </w:r>
      <w:r w:rsidR="00295E9B" w:rsidRPr="00012C17">
        <w:rPr>
          <w:rFonts w:cs="Arial"/>
          <w:color w:val="000000"/>
          <w:sz w:val="24"/>
        </w:rPr>
        <w:t>)</w:t>
      </w:r>
      <w:r w:rsidR="00A6162A" w:rsidRPr="00012C17">
        <w:rPr>
          <w:rFonts w:cs="Arial"/>
          <w:color w:val="000000"/>
          <w:sz w:val="24"/>
        </w:rPr>
        <w:t xml:space="preserve">, </w:t>
      </w:r>
      <w:r w:rsidR="00194B1B" w:rsidRPr="00012C17">
        <w:rPr>
          <w:rFonts w:cs="Arial"/>
          <w:color w:val="000000"/>
          <w:sz w:val="24"/>
        </w:rPr>
        <w:t>as no legal provision foresees that due to</w:t>
      </w:r>
      <w:r w:rsidR="00A6162A" w:rsidRPr="00012C17">
        <w:rPr>
          <w:rFonts w:cs="Arial"/>
          <w:color w:val="000000"/>
          <w:sz w:val="24"/>
        </w:rPr>
        <w:t xml:space="preserve"> </w:t>
      </w:r>
      <w:r w:rsidR="00295E9B" w:rsidRPr="00012C17">
        <w:rPr>
          <w:rFonts w:cs="Arial"/>
          <w:color w:val="000000"/>
          <w:sz w:val="24"/>
        </w:rPr>
        <w:t>“</w:t>
      </w:r>
      <w:r w:rsidR="00194B1B" w:rsidRPr="00012C17">
        <w:rPr>
          <w:rFonts w:cs="Arial"/>
          <w:i/>
          <w:color w:val="000000"/>
          <w:sz w:val="24"/>
        </w:rPr>
        <w:t>narrow result between the candidates</w:t>
      </w:r>
      <w:r w:rsidR="00295E9B" w:rsidRPr="00012C17">
        <w:rPr>
          <w:rFonts w:cs="Arial"/>
          <w:color w:val="000000"/>
          <w:sz w:val="24"/>
        </w:rPr>
        <w:t>”</w:t>
      </w:r>
      <w:r w:rsidR="00A6162A" w:rsidRPr="00012C17">
        <w:rPr>
          <w:rFonts w:cs="Arial"/>
          <w:color w:val="000000"/>
          <w:sz w:val="24"/>
        </w:rPr>
        <w:t xml:space="preserve"> </w:t>
      </w:r>
      <w:r w:rsidR="00194B1B" w:rsidRPr="00012C17">
        <w:rPr>
          <w:rFonts w:cs="Arial"/>
          <w:color w:val="000000"/>
          <w:sz w:val="24"/>
        </w:rPr>
        <w:t>and due to</w:t>
      </w:r>
      <w:r w:rsidR="00A6162A" w:rsidRPr="00012C17">
        <w:rPr>
          <w:rFonts w:cs="Arial"/>
          <w:color w:val="000000"/>
          <w:sz w:val="24"/>
        </w:rPr>
        <w:t xml:space="preserve"> </w:t>
      </w:r>
      <w:r w:rsidR="00295E9B" w:rsidRPr="00012C17">
        <w:rPr>
          <w:rFonts w:cs="Arial"/>
          <w:color w:val="000000"/>
          <w:sz w:val="24"/>
        </w:rPr>
        <w:t>“</w:t>
      </w:r>
      <w:r w:rsidR="00277325" w:rsidRPr="00012C17">
        <w:rPr>
          <w:rFonts w:cs="Arial"/>
          <w:i/>
          <w:color w:val="000000"/>
          <w:sz w:val="24"/>
        </w:rPr>
        <w:t>non-</w:t>
      </w:r>
      <w:r w:rsidR="00194B1B" w:rsidRPr="00012C17">
        <w:rPr>
          <w:rFonts w:cs="Arial"/>
          <w:i/>
          <w:color w:val="000000"/>
          <w:sz w:val="24"/>
        </w:rPr>
        <w:t>compliance of invalid or unfilled ballot papers</w:t>
      </w:r>
      <w:r w:rsidR="00295E9B" w:rsidRPr="00012C17">
        <w:rPr>
          <w:rFonts w:cs="Arial"/>
          <w:color w:val="000000"/>
          <w:sz w:val="24"/>
        </w:rPr>
        <w:t>”</w:t>
      </w:r>
      <w:r w:rsidR="00A6162A" w:rsidRPr="00012C17">
        <w:rPr>
          <w:rFonts w:cs="Arial"/>
          <w:color w:val="000000"/>
          <w:sz w:val="24"/>
        </w:rPr>
        <w:t xml:space="preserve"> </w:t>
      </w:r>
      <w:r w:rsidR="00277325" w:rsidRPr="00012C17">
        <w:rPr>
          <w:rFonts w:cs="Arial"/>
          <w:color w:val="000000"/>
          <w:sz w:val="24"/>
        </w:rPr>
        <w:t>the</w:t>
      </w:r>
      <w:r w:rsidR="00194B1B" w:rsidRPr="00012C17">
        <w:rPr>
          <w:rFonts w:cs="Arial"/>
          <w:color w:val="000000"/>
          <w:sz w:val="24"/>
        </w:rPr>
        <w:t xml:space="preserve"> recounting</w:t>
      </w:r>
      <w:r w:rsidR="00277325" w:rsidRPr="00012C17">
        <w:rPr>
          <w:rFonts w:cs="Arial"/>
          <w:color w:val="000000"/>
          <w:sz w:val="24"/>
        </w:rPr>
        <w:t xml:space="preserve"> should take place</w:t>
      </w:r>
      <w:r w:rsidR="00A6162A" w:rsidRPr="00012C17">
        <w:rPr>
          <w:rFonts w:cs="Arial"/>
          <w:color w:val="000000"/>
          <w:sz w:val="24"/>
        </w:rPr>
        <w:t xml:space="preserve">. </w:t>
      </w:r>
      <w:r w:rsidR="00194B1B" w:rsidRPr="00012C17">
        <w:rPr>
          <w:rFonts w:cs="Arial"/>
          <w:color w:val="000000"/>
          <w:sz w:val="24"/>
        </w:rPr>
        <w:t>According to the reasoning of the</w:t>
      </w:r>
      <w:r w:rsidR="006E52F9" w:rsidRPr="00012C17">
        <w:rPr>
          <w:rFonts w:cs="Arial"/>
          <w:color w:val="000000"/>
          <w:sz w:val="24"/>
        </w:rPr>
        <w:t xml:space="preserve"> </w:t>
      </w:r>
      <w:r w:rsidR="00A6162A" w:rsidRPr="00012C17">
        <w:rPr>
          <w:rFonts w:cs="Arial"/>
          <w:color w:val="000000"/>
          <w:sz w:val="24"/>
        </w:rPr>
        <w:t>Supreme</w:t>
      </w:r>
      <w:r w:rsidR="00194B1B" w:rsidRPr="00012C17">
        <w:rPr>
          <w:rFonts w:cs="Arial"/>
          <w:color w:val="000000"/>
          <w:sz w:val="24"/>
        </w:rPr>
        <w:t xml:space="preserve"> Court</w:t>
      </w:r>
      <w:r w:rsidR="00A6162A" w:rsidRPr="00012C17">
        <w:rPr>
          <w:rFonts w:cs="Arial"/>
          <w:color w:val="000000"/>
          <w:sz w:val="24"/>
        </w:rPr>
        <w:t xml:space="preserve">, </w:t>
      </w:r>
      <w:r w:rsidR="00232D31" w:rsidRPr="00012C17">
        <w:rPr>
          <w:rFonts w:cs="Arial"/>
          <w:color w:val="000000"/>
          <w:sz w:val="24"/>
        </w:rPr>
        <w:t xml:space="preserve">it </w:t>
      </w:r>
      <w:r w:rsidR="00194B1B" w:rsidRPr="00012C17">
        <w:rPr>
          <w:rFonts w:cs="Arial"/>
          <w:color w:val="000000"/>
          <w:sz w:val="24"/>
        </w:rPr>
        <w:t>is the right of each voter</w:t>
      </w:r>
      <w:r w:rsidR="006E52F9" w:rsidRPr="00012C17">
        <w:rPr>
          <w:rFonts w:cs="Arial"/>
          <w:color w:val="000000"/>
          <w:sz w:val="24"/>
        </w:rPr>
        <w:t xml:space="preserve"> </w:t>
      </w:r>
      <w:r w:rsidR="00194B1B" w:rsidRPr="00012C17">
        <w:rPr>
          <w:rFonts w:cs="Arial"/>
          <w:color w:val="000000"/>
          <w:sz w:val="24"/>
        </w:rPr>
        <w:t>to participate in the elections</w:t>
      </w:r>
      <w:r w:rsidR="00A6162A" w:rsidRPr="00012C17">
        <w:rPr>
          <w:rFonts w:cs="Arial"/>
          <w:color w:val="000000"/>
          <w:sz w:val="24"/>
        </w:rPr>
        <w:t xml:space="preserve"> </w:t>
      </w:r>
      <w:r w:rsidR="0086455D" w:rsidRPr="00012C17">
        <w:rPr>
          <w:rFonts w:cs="Arial"/>
          <w:color w:val="000000"/>
          <w:sz w:val="24"/>
        </w:rPr>
        <w:t xml:space="preserve">and to vote and that the </w:t>
      </w:r>
      <w:r w:rsidR="00277325" w:rsidRPr="00012C17">
        <w:rPr>
          <w:rFonts w:cs="Arial"/>
          <w:color w:val="000000"/>
          <w:sz w:val="24"/>
        </w:rPr>
        <w:t xml:space="preserve">used and unfilled </w:t>
      </w:r>
      <w:r w:rsidR="0086455D" w:rsidRPr="00012C17">
        <w:rPr>
          <w:rFonts w:cs="Arial"/>
          <w:color w:val="000000"/>
          <w:sz w:val="24"/>
        </w:rPr>
        <w:t>ballot papers</w:t>
      </w:r>
      <w:r w:rsidR="00A6162A" w:rsidRPr="00012C17">
        <w:rPr>
          <w:rFonts w:cs="Arial"/>
          <w:color w:val="000000"/>
          <w:sz w:val="24"/>
        </w:rPr>
        <w:t xml:space="preserve"> </w:t>
      </w:r>
      <w:r w:rsidR="0086455D" w:rsidRPr="00012C17">
        <w:rPr>
          <w:rFonts w:cs="Arial"/>
          <w:color w:val="000000"/>
          <w:sz w:val="24"/>
        </w:rPr>
        <w:t>in its nature</w:t>
      </w:r>
      <w:r w:rsidR="00A6162A" w:rsidRPr="00012C17">
        <w:rPr>
          <w:rFonts w:cs="Arial"/>
          <w:color w:val="000000"/>
          <w:sz w:val="24"/>
        </w:rPr>
        <w:t xml:space="preserve"> </w:t>
      </w:r>
      <w:r w:rsidR="0086455D" w:rsidRPr="00012C17">
        <w:rPr>
          <w:rFonts w:cs="Arial"/>
          <w:color w:val="000000"/>
          <w:sz w:val="24"/>
        </w:rPr>
        <w:t>cannot be taken as a basis to go in recounting</w:t>
      </w:r>
      <w:r w:rsidR="002C2821" w:rsidRPr="00012C17">
        <w:rPr>
          <w:rFonts w:cs="Arial"/>
          <w:color w:val="000000"/>
          <w:sz w:val="24"/>
        </w:rPr>
        <w:t xml:space="preserve">. </w:t>
      </w:r>
      <w:r w:rsidR="0086455D" w:rsidRPr="00012C17">
        <w:rPr>
          <w:rFonts w:cs="Arial"/>
          <w:color w:val="000000"/>
          <w:sz w:val="24"/>
        </w:rPr>
        <w:t>In addition</w:t>
      </w:r>
      <w:r w:rsidR="009B53D3" w:rsidRPr="00012C17">
        <w:rPr>
          <w:rFonts w:cs="Arial"/>
          <w:color w:val="000000"/>
          <w:sz w:val="24"/>
        </w:rPr>
        <w:t xml:space="preserve">, </w:t>
      </w:r>
      <w:r w:rsidR="0086455D" w:rsidRPr="00012C17">
        <w:rPr>
          <w:rFonts w:cs="Arial"/>
          <w:color w:val="000000"/>
          <w:sz w:val="24"/>
        </w:rPr>
        <w:t>the</w:t>
      </w:r>
      <w:r w:rsidR="009B53D3" w:rsidRPr="00012C17">
        <w:rPr>
          <w:rFonts w:cs="Arial"/>
          <w:color w:val="000000"/>
          <w:sz w:val="24"/>
        </w:rPr>
        <w:t xml:space="preserve"> Supreme </w:t>
      </w:r>
      <w:r w:rsidR="0086455D" w:rsidRPr="00012C17">
        <w:rPr>
          <w:rFonts w:cs="Arial"/>
          <w:color w:val="000000"/>
          <w:sz w:val="24"/>
        </w:rPr>
        <w:t>Court reiterates that in the Municipality of Prishtina</w:t>
      </w:r>
      <w:r w:rsidR="009B53D3" w:rsidRPr="00012C17">
        <w:rPr>
          <w:rFonts w:cs="Arial"/>
          <w:color w:val="000000"/>
          <w:sz w:val="24"/>
        </w:rPr>
        <w:t xml:space="preserve">, </w:t>
      </w:r>
      <w:r w:rsidR="0086455D" w:rsidRPr="00012C17">
        <w:rPr>
          <w:rFonts w:cs="Arial"/>
          <w:color w:val="000000"/>
          <w:sz w:val="24"/>
        </w:rPr>
        <w:t xml:space="preserve">by local and international </w:t>
      </w:r>
      <w:r w:rsidR="00A14F96" w:rsidRPr="00012C17">
        <w:rPr>
          <w:rFonts w:cs="Arial"/>
          <w:color w:val="000000"/>
          <w:sz w:val="24"/>
        </w:rPr>
        <w:t>observers</w:t>
      </w:r>
      <w:r w:rsidR="009B53D3" w:rsidRPr="00012C17">
        <w:rPr>
          <w:rFonts w:cs="Arial"/>
          <w:color w:val="000000"/>
          <w:sz w:val="24"/>
        </w:rPr>
        <w:t xml:space="preserve"> </w:t>
      </w:r>
      <w:r w:rsidR="0086455D" w:rsidRPr="00012C17">
        <w:rPr>
          <w:rFonts w:cs="Arial"/>
          <w:color w:val="000000"/>
          <w:sz w:val="24"/>
        </w:rPr>
        <w:t>no violation was reported</w:t>
      </w:r>
      <w:r w:rsidR="009B53D3" w:rsidRPr="00012C17">
        <w:rPr>
          <w:rFonts w:cs="Arial"/>
          <w:color w:val="000000"/>
          <w:sz w:val="24"/>
        </w:rPr>
        <w:t xml:space="preserve"> </w:t>
      </w:r>
      <w:r w:rsidR="0086455D" w:rsidRPr="00012C17">
        <w:rPr>
          <w:rFonts w:cs="Arial"/>
          <w:color w:val="000000"/>
          <w:sz w:val="24"/>
        </w:rPr>
        <w:t xml:space="preserve">and no objection in the voting book was reported, and accordingly in these elections it was assessed that there were no irregularities that </w:t>
      </w:r>
      <w:r w:rsidR="00A50585" w:rsidRPr="00012C17">
        <w:rPr>
          <w:rFonts w:cs="Arial"/>
          <w:i/>
          <w:color w:val="000000"/>
          <w:sz w:val="24"/>
        </w:rPr>
        <w:t>“</w:t>
      </w:r>
      <w:r w:rsidR="00767E84" w:rsidRPr="00012C17">
        <w:rPr>
          <w:rFonts w:cs="Arial"/>
          <w:i/>
          <w:color w:val="000000"/>
          <w:sz w:val="24"/>
        </w:rPr>
        <w:t>would violate the election process”</w:t>
      </w:r>
      <w:r w:rsidR="00A50585" w:rsidRPr="00012C17">
        <w:rPr>
          <w:rFonts w:cs="Arial"/>
          <w:i/>
          <w:color w:val="000000"/>
          <w:sz w:val="24"/>
        </w:rPr>
        <w:t>.</w:t>
      </w:r>
      <w:r w:rsidR="00767E84" w:rsidRPr="00012C17">
        <w:rPr>
          <w:rFonts w:cs="Arial"/>
          <w:i/>
          <w:color w:val="000000"/>
          <w:sz w:val="24"/>
        </w:rPr>
        <w:t xml:space="preserve"> </w:t>
      </w:r>
    </w:p>
    <w:p w:rsidR="00D95898" w:rsidRPr="00012C17" w:rsidRDefault="00D95898" w:rsidP="001B11C5">
      <w:pPr>
        <w:pStyle w:val="ListParagraph"/>
        <w:spacing w:after="0" w:line="240" w:lineRule="auto"/>
        <w:ind w:left="540"/>
        <w:jc w:val="both"/>
        <w:rPr>
          <w:rFonts w:ascii="Georgia" w:hAnsi="Georgia" w:cs="Arial"/>
          <w:color w:val="000000"/>
          <w:sz w:val="24"/>
          <w:szCs w:val="24"/>
          <w:lang w:val="en-US"/>
        </w:rPr>
      </w:pPr>
    </w:p>
    <w:p w:rsidR="00A6162A" w:rsidRPr="00012C17" w:rsidRDefault="00767E84" w:rsidP="001B11C5">
      <w:pPr>
        <w:numPr>
          <w:ilvl w:val="0"/>
          <w:numId w:val="1"/>
        </w:numPr>
        <w:spacing w:line="240" w:lineRule="auto"/>
        <w:ind w:left="630" w:hanging="630"/>
        <w:rPr>
          <w:rFonts w:cs="Arial"/>
          <w:color w:val="000000"/>
          <w:sz w:val="24"/>
        </w:rPr>
      </w:pPr>
      <w:r w:rsidRPr="00012C17">
        <w:rPr>
          <w:rFonts w:cs="Arial"/>
          <w:color w:val="000000"/>
          <w:sz w:val="24"/>
        </w:rPr>
        <w:t>On</w:t>
      </w:r>
      <w:r w:rsidR="00A6162A" w:rsidRPr="00012C17">
        <w:rPr>
          <w:rFonts w:cs="Arial"/>
          <w:color w:val="000000"/>
          <w:sz w:val="24"/>
        </w:rPr>
        <w:t xml:space="preserve"> 29 </w:t>
      </w:r>
      <w:r w:rsidRPr="00012C17">
        <w:rPr>
          <w:rFonts w:cs="Arial"/>
          <w:color w:val="000000"/>
          <w:sz w:val="24"/>
        </w:rPr>
        <w:t>November</w:t>
      </w:r>
      <w:r w:rsidR="00A6162A" w:rsidRPr="00012C17">
        <w:rPr>
          <w:rFonts w:cs="Arial"/>
          <w:color w:val="000000"/>
          <w:sz w:val="24"/>
        </w:rPr>
        <w:t xml:space="preserve"> 2017, </w:t>
      </w:r>
      <w:r w:rsidRPr="00012C17">
        <w:rPr>
          <w:rFonts w:cs="Arial"/>
          <w:color w:val="000000"/>
          <w:sz w:val="24"/>
        </w:rPr>
        <w:t>the CEC</w:t>
      </w:r>
      <w:r w:rsidR="00E85605" w:rsidRPr="00012C17">
        <w:rPr>
          <w:rFonts w:cs="Arial"/>
          <w:color w:val="000000"/>
          <w:sz w:val="24"/>
        </w:rPr>
        <w:t xml:space="preserve">, </w:t>
      </w:r>
      <w:r w:rsidRPr="00012C17">
        <w:rPr>
          <w:rFonts w:cs="Arial"/>
          <w:color w:val="000000"/>
          <w:sz w:val="24"/>
        </w:rPr>
        <w:t xml:space="preserve">after the end of the procedures for challenging the preliminary results </w:t>
      </w:r>
      <w:r w:rsidR="00277325" w:rsidRPr="00012C17">
        <w:rPr>
          <w:rFonts w:cs="Arial"/>
          <w:color w:val="000000"/>
          <w:sz w:val="24"/>
        </w:rPr>
        <w:t>before the</w:t>
      </w:r>
      <w:r w:rsidRPr="00012C17">
        <w:rPr>
          <w:rFonts w:cs="Arial"/>
          <w:color w:val="000000"/>
          <w:sz w:val="24"/>
        </w:rPr>
        <w:t xml:space="preserve"> ECAP and the Supreme Court</w:t>
      </w:r>
      <w:r w:rsidR="00E85605" w:rsidRPr="00012C17">
        <w:rPr>
          <w:rFonts w:cs="Arial"/>
          <w:color w:val="000000"/>
          <w:sz w:val="24"/>
        </w:rPr>
        <w:t xml:space="preserve">, </w:t>
      </w:r>
      <w:r w:rsidRPr="00012C17">
        <w:rPr>
          <w:rFonts w:cs="Arial"/>
          <w:color w:val="000000"/>
          <w:sz w:val="24"/>
        </w:rPr>
        <w:t>announced the final results of the elections</w:t>
      </w:r>
      <w:r w:rsidR="00606634" w:rsidRPr="00012C17">
        <w:rPr>
          <w:rFonts w:cs="Arial"/>
          <w:color w:val="000000"/>
          <w:sz w:val="24"/>
        </w:rPr>
        <w:t xml:space="preserve"> </w:t>
      </w:r>
      <w:r w:rsidR="00A14F96" w:rsidRPr="00012C17">
        <w:rPr>
          <w:rFonts w:cs="Arial"/>
          <w:color w:val="000000"/>
          <w:sz w:val="24"/>
        </w:rPr>
        <w:t>for</w:t>
      </w:r>
      <w:r w:rsidRPr="00012C17">
        <w:rPr>
          <w:rFonts w:cs="Arial"/>
          <w:color w:val="000000"/>
          <w:sz w:val="24"/>
        </w:rPr>
        <w:t xml:space="preserve"> the second round</w:t>
      </w:r>
      <w:r w:rsidR="00A6162A" w:rsidRPr="00012C17">
        <w:rPr>
          <w:rFonts w:cs="Arial"/>
          <w:color w:val="000000"/>
          <w:sz w:val="24"/>
        </w:rPr>
        <w:t xml:space="preserve"> </w:t>
      </w:r>
      <w:r w:rsidRPr="00012C17">
        <w:rPr>
          <w:rFonts w:cs="Arial"/>
          <w:color w:val="000000"/>
          <w:sz w:val="24"/>
        </w:rPr>
        <w:t xml:space="preserve">for the </w:t>
      </w:r>
      <w:r w:rsidR="000B3909" w:rsidRPr="00012C17">
        <w:rPr>
          <w:rFonts w:cs="Arial"/>
          <w:color w:val="000000"/>
          <w:sz w:val="24"/>
        </w:rPr>
        <w:t xml:space="preserve">Mayor </w:t>
      </w:r>
      <w:r w:rsidRPr="00012C17">
        <w:rPr>
          <w:color w:val="000000"/>
          <w:sz w:val="24"/>
        </w:rPr>
        <w:t>of</w:t>
      </w:r>
      <w:r w:rsidRPr="00012C17">
        <w:rPr>
          <w:rFonts w:cs="Arial"/>
          <w:color w:val="000000"/>
          <w:sz w:val="24"/>
        </w:rPr>
        <w:t xml:space="preserve"> the Municipality of Prishtina</w:t>
      </w:r>
      <w:r w:rsidR="00A6162A" w:rsidRPr="00012C17">
        <w:rPr>
          <w:rFonts w:cs="Arial"/>
          <w:color w:val="000000"/>
          <w:sz w:val="24"/>
        </w:rPr>
        <w:t xml:space="preserve">. </w:t>
      </w:r>
      <w:r w:rsidRPr="00012C17">
        <w:rPr>
          <w:rFonts w:cs="Arial"/>
          <w:color w:val="000000"/>
          <w:sz w:val="24"/>
        </w:rPr>
        <w:t>According to those results</w:t>
      </w:r>
      <w:r w:rsidR="00A6162A" w:rsidRPr="00012C17">
        <w:rPr>
          <w:rFonts w:cs="Arial"/>
          <w:color w:val="000000"/>
          <w:sz w:val="24"/>
        </w:rPr>
        <w:t xml:space="preserve">, </w:t>
      </w:r>
      <w:r w:rsidRPr="00012C17">
        <w:rPr>
          <w:rFonts w:cs="Arial"/>
          <w:color w:val="000000"/>
          <w:sz w:val="24"/>
        </w:rPr>
        <w:t xml:space="preserve">the first </w:t>
      </w:r>
      <w:r w:rsidR="00277325" w:rsidRPr="00012C17">
        <w:rPr>
          <w:rFonts w:cs="Arial"/>
          <w:color w:val="000000"/>
          <w:sz w:val="24"/>
        </w:rPr>
        <w:t>A</w:t>
      </w:r>
      <w:r w:rsidRPr="00012C17">
        <w:rPr>
          <w:rFonts w:cs="Arial"/>
          <w:color w:val="000000"/>
          <w:sz w:val="24"/>
        </w:rPr>
        <w:t>pplicant</w:t>
      </w:r>
      <w:r w:rsidR="00A6162A" w:rsidRPr="00012C17">
        <w:rPr>
          <w:rFonts w:cs="Arial"/>
          <w:color w:val="000000"/>
          <w:sz w:val="24"/>
        </w:rPr>
        <w:t xml:space="preserve">, </w:t>
      </w:r>
      <w:r w:rsidRPr="00012C17">
        <w:rPr>
          <w:rFonts w:cs="Arial"/>
          <w:color w:val="000000"/>
          <w:sz w:val="24"/>
        </w:rPr>
        <w:t>Mr</w:t>
      </w:r>
      <w:r w:rsidR="00A6162A" w:rsidRPr="00012C17">
        <w:rPr>
          <w:rFonts w:cs="Arial"/>
          <w:color w:val="000000"/>
          <w:sz w:val="24"/>
        </w:rPr>
        <w:t xml:space="preserve">. Arban Abrashi, </w:t>
      </w:r>
      <w:r w:rsidRPr="00012C17">
        <w:rPr>
          <w:rFonts w:cs="Arial"/>
          <w:color w:val="000000"/>
          <w:sz w:val="24"/>
        </w:rPr>
        <w:t xml:space="preserve">received in total </w:t>
      </w:r>
      <w:r w:rsidR="00A6162A" w:rsidRPr="00012C17">
        <w:rPr>
          <w:rFonts w:cs="Arial"/>
          <w:color w:val="000000"/>
          <w:sz w:val="24"/>
        </w:rPr>
        <w:t xml:space="preserve">41,897 </w:t>
      </w:r>
      <w:r w:rsidRPr="00012C17">
        <w:rPr>
          <w:rFonts w:cs="Arial"/>
          <w:color w:val="000000"/>
          <w:sz w:val="24"/>
        </w:rPr>
        <w:t>votes</w:t>
      </w:r>
      <w:r w:rsidR="00A6162A" w:rsidRPr="00012C17">
        <w:rPr>
          <w:rFonts w:cs="Arial"/>
          <w:color w:val="000000"/>
          <w:sz w:val="24"/>
        </w:rPr>
        <w:t xml:space="preserve">, </w:t>
      </w:r>
      <w:r w:rsidRPr="00012C17">
        <w:rPr>
          <w:rFonts w:cs="Arial"/>
          <w:color w:val="000000"/>
          <w:sz w:val="24"/>
        </w:rPr>
        <w:t>namely</w:t>
      </w:r>
      <w:r w:rsidR="00A6162A" w:rsidRPr="00012C17">
        <w:rPr>
          <w:rFonts w:cs="Arial"/>
          <w:color w:val="000000"/>
          <w:sz w:val="24"/>
        </w:rPr>
        <w:t xml:space="preserve"> 49.78% </w:t>
      </w:r>
      <w:r w:rsidRPr="00012C17">
        <w:rPr>
          <w:rFonts w:cs="Arial"/>
          <w:color w:val="000000"/>
          <w:sz w:val="24"/>
        </w:rPr>
        <w:t>of votes,</w:t>
      </w:r>
      <w:r w:rsidR="00A6162A" w:rsidRPr="00012C17">
        <w:rPr>
          <w:rFonts w:cs="Arial"/>
          <w:color w:val="000000"/>
          <w:sz w:val="24"/>
        </w:rPr>
        <w:t xml:space="preserve"> </w:t>
      </w:r>
      <w:r w:rsidRPr="00012C17">
        <w:rPr>
          <w:rFonts w:cs="Arial"/>
          <w:color w:val="000000"/>
          <w:sz w:val="24"/>
        </w:rPr>
        <w:t>whereas</w:t>
      </w:r>
      <w:r w:rsidR="00A6162A" w:rsidRPr="00012C17">
        <w:rPr>
          <w:rFonts w:cs="Arial"/>
          <w:color w:val="000000"/>
          <w:sz w:val="24"/>
        </w:rPr>
        <w:t xml:space="preserve">, </w:t>
      </w:r>
      <w:r w:rsidRPr="00012C17">
        <w:rPr>
          <w:rFonts w:cs="Arial"/>
          <w:color w:val="000000"/>
          <w:sz w:val="24"/>
        </w:rPr>
        <w:t>Mr</w:t>
      </w:r>
      <w:r w:rsidR="00A6162A" w:rsidRPr="00012C17">
        <w:rPr>
          <w:rFonts w:cs="Arial"/>
          <w:color w:val="000000"/>
          <w:sz w:val="24"/>
        </w:rPr>
        <w:t xml:space="preserve">. Shpend Ahmeti </w:t>
      </w:r>
      <w:r w:rsidRPr="00012C17">
        <w:rPr>
          <w:rFonts w:cs="Arial"/>
          <w:color w:val="000000"/>
          <w:sz w:val="24"/>
        </w:rPr>
        <w:t xml:space="preserve">received in total </w:t>
      </w:r>
      <w:r w:rsidR="00A6162A" w:rsidRPr="00012C17">
        <w:rPr>
          <w:rFonts w:cs="Arial"/>
          <w:color w:val="000000"/>
          <w:sz w:val="24"/>
        </w:rPr>
        <w:t>42,262 vot</w:t>
      </w:r>
      <w:r w:rsidRPr="00012C17">
        <w:rPr>
          <w:rFonts w:cs="Arial"/>
          <w:color w:val="000000"/>
          <w:sz w:val="24"/>
        </w:rPr>
        <w:t>es</w:t>
      </w:r>
      <w:r w:rsidR="00A6162A" w:rsidRPr="00012C17">
        <w:rPr>
          <w:rFonts w:cs="Arial"/>
          <w:color w:val="000000"/>
          <w:sz w:val="24"/>
        </w:rPr>
        <w:t xml:space="preserve">, </w:t>
      </w:r>
      <w:r w:rsidRPr="00012C17">
        <w:rPr>
          <w:rFonts w:cs="Arial"/>
          <w:color w:val="000000"/>
          <w:sz w:val="24"/>
        </w:rPr>
        <w:t>namely</w:t>
      </w:r>
      <w:r w:rsidR="00A6162A" w:rsidRPr="00012C17">
        <w:rPr>
          <w:rFonts w:cs="Arial"/>
          <w:color w:val="000000"/>
          <w:sz w:val="24"/>
        </w:rPr>
        <w:t xml:space="preserve"> 50.22% </w:t>
      </w:r>
      <w:r w:rsidRPr="00012C17">
        <w:rPr>
          <w:rFonts w:cs="Arial"/>
          <w:color w:val="000000"/>
          <w:sz w:val="24"/>
        </w:rPr>
        <w:t>of votes</w:t>
      </w:r>
      <w:r w:rsidR="00A6162A" w:rsidRPr="00012C17">
        <w:rPr>
          <w:rFonts w:cs="Arial"/>
          <w:color w:val="000000"/>
          <w:sz w:val="24"/>
        </w:rPr>
        <w:t xml:space="preserve">. </w:t>
      </w:r>
      <w:r w:rsidRPr="00012C17">
        <w:rPr>
          <w:rFonts w:cs="Arial"/>
          <w:color w:val="000000"/>
          <w:sz w:val="24"/>
        </w:rPr>
        <w:t xml:space="preserve">The </w:t>
      </w:r>
      <w:r w:rsidRPr="00012C17">
        <w:rPr>
          <w:rFonts w:cs="Arial"/>
          <w:color w:val="000000"/>
          <w:sz w:val="24"/>
        </w:rPr>
        <w:lastRenderedPageBreak/>
        <w:t xml:space="preserve">difference in votes in this final phase of the election procedure when the CEC counted all votes, including conditional </w:t>
      </w:r>
      <w:r w:rsidR="00AA1341" w:rsidRPr="00012C17">
        <w:rPr>
          <w:rFonts w:cs="Arial"/>
          <w:color w:val="000000"/>
          <w:sz w:val="24"/>
        </w:rPr>
        <w:t>votes</w:t>
      </w:r>
      <w:r w:rsidRPr="00012C17">
        <w:rPr>
          <w:rFonts w:cs="Arial"/>
          <w:color w:val="000000"/>
          <w:sz w:val="24"/>
        </w:rPr>
        <w:t xml:space="preserve">, by mail votes and votes of persons with special needs, was a total of 365 more votes in favor of Mr. Shpend Ahmeti. Based on these results, Mr. Shpend Ahmeti was declared the winner of the competition for the </w:t>
      </w:r>
      <w:r w:rsidR="000B3909" w:rsidRPr="00012C17">
        <w:rPr>
          <w:rFonts w:cs="Arial"/>
          <w:color w:val="000000"/>
          <w:sz w:val="24"/>
        </w:rPr>
        <w:t xml:space="preserve">Mayor </w:t>
      </w:r>
      <w:r w:rsidRPr="00012C17">
        <w:rPr>
          <w:rFonts w:cs="Arial"/>
          <w:color w:val="000000"/>
          <w:sz w:val="24"/>
        </w:rPr>
        <w:t>of the Municipality of Prishtina</w:t>
      </w:r>
      <w:r w:rsidR="00985EA0" w:rsidRPr="00012C17">
        <w:rPr>
          <w:rFonts w:cs="Arial"/>
          <w:color w:val="000000"/>
          <w:sz w:val="24"/>
        </w:rPr>
        <w:t>.</w:t>
      </w:r>
    </w:p>
    <w:p w:rsidR="001777F9" w:rsidRPr="00012C17" w:rsidRDefault="001777F9" w:rsidP="001B11C5">
      <w:pPr>
        <w:spacing w:line="240" w:lineRule="auto"/>
        <w:rPr>
          <w:rFonts w:cs="Arial"/>
          <w:i/>
          <w:color w:val="000000"/>
          <w:sz w:val="24"/>
        </w:rPr>
      </w:pPr>
    </w:p>
    <w:p w:rsidR="00A6162A" w:rsidRPr="00012C17" w:rsidRDefault="007339D6" w:rsidP="001B11C5">
      <w:pPr>
        <w:spacing w:line="240" w:lineRule="auto"/>
        <w:rPr>
          <w:rFonts w:cs="Arial"/>
          <w:i/>
          <w:color w:val="000000"/>
          <w:sz w:val="24"/>
        </w:rPr>
      </w:pPr>
      <w:r w:rsidRPr="00012C17">
        <w:rPr>
          <w:rFonts w:cs="Arial"/>
          <w:i/>
          <w:color w:val="000000"/>
          <w:sz w:val="24"/>
        </w:rPr>
        <w:t xml:space="preserve">Procedure after the announcement of the </w:t>
      </w:r>
      <w:r w:rsidR="00DD17EA" w:rsidRPr="00012C17">
        <w:rPr>
          <w:rFonts w:cs="Arial"/>
          <w:i/>
          <w:color w:val="000000"/>
          <w:sz w:val="24"/>
        </w:rPr>
        <w:t xml:space="preserve">Final Results </w:t>
      </w:r>
      <w:r w:rsidRPr="00012C17">
        <w:rPr>
          <w:rFonts w:cs="Arial"/>
          <w:i/>
          <w:color w:val="000000"/>
          <w:sz w:val="24"/>
        </w:rPr>
        <w:t xml:space="preserve">of the second round of </w:t>
      </w:r>
      <w:r w:rsidR="00A14F96" w:rsidRPr="00012C17">
        <w:rPr>
          <w:rFonts w:cs="Arial"/>
          <w:i/>
          <w:color w:val="000000"/>
          <w:sz w:val="24"/>
        </w:rPr>
        <w:t xml:space="preserve">2017 </w:t>
      </w:r>
      <w:r w:rsidRPr="00012C17">
        <w:rPr>
          <w:rFonts w:cs="Arial"/>
          <w:i/>
          <w:color w:val="000000"/>
          <w:sz w:val="24"/>
        </w:rPr>
        <w:t xml:space="preserve">local elections for </w:t>
      </w:r>
      <w:r w:rsidRPr="00012C17">
        <w:rPr>
          <w:rFonts w:cs="Arial"/>
          <w:i/>
          <w:iCs/>
          <w:color w:val="000000"/>
          <w:sz w:val="24"/>
        </w:rPr>
        <w:t xml:space="preserve">the </w:t>
      </w:r>
      <w:r w:rsidR="00F32DC5" w:rsidRPr="00012C17">
        <w:rPr>
          <w:rFonts w:cs="Arial"/>
          <w:i/>
          <w:iCs/>
          <w:color w:val="000000"/>
          <w:sz w:val="24"/>
        </w:rPr>
        <w:t xml:space="preserve">Mayor </w:t>
      </w:r>
      <w:r w:rsidRPr="00012C17">
        <w:rPr>
          <w:rFonts w:cs="Arial"/>
          <w:i/>
          <w:iCs/>
          <w:color w:val="000000"/>
          <w:sz w:val="24"/>
        </w:rPr>
        <w:t>of the Municipality of Prishtina</w:t>
      </w:r>
    </w:p>
    <w:p w:rsidR="007339D6" w:rsidRPr="00012C17" w:rsidRDefault="007339D6" w:rsidP="001B11C5">
      <w:pPr>
        <w:spacing w:line="240" w:lineRule="auto"/>
        <w:ind w:left="630"/>
        <w:rPr>
          <w:rFonts w:cs="Arial"/>
          <w:color w:val="000000"/>
          <w:sz w:val="24"/>
        </w:rPr>
      </w:pPr>
    </w:p>
    <w:p w:rsidR="0035549C" w:rsidRPr="00012C17" w:rsidRDefault="007339D6" w:rsidP="001B11C5">
      <w:pPr>
        <w:numPr>
          <w:ilvl w:val="0"/>
          <w:numId w:val="1"/>
        </w:numPr>
        <w:spacing w:line="240" w:lineRule="auto"/>
        <w:ind w:left="630" w:hanging="630"/>
        <w:rPr>
          <w:rFonts w:cs="Arial"/>
          <w:color w:val="000000"/>
          <w:sz w:val="24"/>
        </w:rPr>
      </w:pPr>
      <w:r w:rsidRPr="00012C17">
        <w:rPr>
          <w:rFonts w:cs="Arial"/>
          <w:color w:val="000000"/>
          <w:sz w:val="24"/>
        </w:rPr>
        <w:t xml:space="preserve">On 30 November 2017, one day after the final results were announced by the CEC, the Applicants filed </w:t>
      </w:r>
      <w:r w:rsidR="00277325" w:rsidRPr="00012C17">
        <w:rPr>
          <w:rFonts w:cs="Arial"/>
          <w:color w:val="000000"/>
          <w:sz w:val="24"/>
        </w:rPr>
        <w:t>an appeal</w:t>
      </w:r>
      <w:r w:rsidRPr="00012C17">
        <w:rPr>
          <w:rFonts w:cs="Arial"/>
          <w:color w:val="000000"/>
          <w:sz w:val="24"/>
        </w:rPr>
        <w:t xml:space="preserve"> with the ECAP against the CEC decision of 29 November 2017, chal</w:t>
      </w:r>
      <w:r w:rsidR="00277325" w:rsidRPr="00012C17">
        <w:rPr>
          <w:rFonts w:cs="Arial"/>
          <w:color w:val="000000"/>
          <w:sz w:val="24"/>
        </w:rPr>
        <w:t xml:space="preserve">lenging final </w:t>
      </w:r>
      <w:r w:rsidR="00A14F96" w:rsidRPr="00012C17">
        <w:rPr>
          <w:rFonts w:cs="Arial"/>
          <w:color w:val="000000"/>
          <w:sz w:val="24"/>
        </w:rPr>
        <w:t xml:space="preserve">elections </w:t>
      </w:r>
      <w:r w:rsidR="00277325" w:rsidRPr="00012C17">
        <w:rPr>
          <w:rFonts w:cs="Arial"/>
          <w:color w:val="000000"/>
          <w:sz w:val="24"/>
        </w:rPr>
        <w:t>result</w:t>
      </w:r>
      <w:r w:rsidR="00A14F96" w:rsidRPr="00012C17">
        <w:rPr>
          <w:rFonts w:cs="Arial"/>
          <w:color w:val="000000"/>
          <w:sz w:val="24"/>
        </w:rPr>
        <w:t>s</w:t>
      </w:r>
      <w:r w:rsidRPr="00012C17">
        <w:rPr>
          <w:rFonts w:cs="Arial"/>
          <w:color w:val="000000"/>
          <w:sz w:val="24"/>
        </w:rPr>
        <w:t xml:space="preserve"> </w:t>
      </w:r>
      <w:r w:rsidR="00277325" w:rsidRPr="00012C17">
        <w:rPr>
          <w:rFonts w:cs="Arial"/>
          <w:color w:val="000000"/>
          <w:sz w:val="24"/>
        </w:rPr>
        <w:t xml:space="preserve">for the </w:t>
      </w:r>
      <w:r w:rsidR="00F32DC5" w:rsidRPr="00012C17">
        <w:rPr>
          <w:rFonts w:cs="Arial"/>
          <w:color w:val="000000"/>
          <w:sz w:val="24"/>
        </w:rPr>
        <w:t xml:space="preserve">Mayor </w:t>
      </w:r>
      <w:r w:rsidR="00277325" w:rsidRPr="00012C17">
        <w:rPr>
          <w:rFonts w:cs="Arial"/>
          <w:color w:val="000000"/>
          <w:sz w:val="24"/>
        </w:rPr>
        <w:t xml:space="preserve">of the Municipality of </w:t>
      </w:r>
      <w:r w:rsidRPr="00012C17">
        <w:rPr>
          <w:rFonts w:cs="Arial"/>
          <w:color w:val="000000"/>
          <w:sz w:val="24"/>
        </w:rPr>
        <w:t>Pris</w:t>
      </w:r>
      <w:r w:rsidR="00277325" w:rsidRPr="00012C17">
        <w:rPr>
          <w:rFonts w:cs="Arial"/>
          <w:color w:val="000000"/>
          <w:sz w:val="24"/>
        </w:rPr>
        <w:t>h</w:t>
      </w:r>
      <w:r w:rsidRPr="00012C17">
        <w:rPr>
          <w:rFonts w:cs="Arial"/>
          <w:color w:val="000000"/>
          <w:sz w:val="24"/>
        </w:rPr>
        <w:t xml:space="preserve">tina. The Applicants claimed (i) </w:t>
      </w:r>
      <w:r w:rsidR="00277325" w:rsidRPr="00012C17">
        <w:rPr>
          <w:rFonts w:cs="Arial"/>
          <w:color w:val="000000"/>
          <w:sz w:val="24"/>
        </w:rPr>
        <w:t xml:space="preserve">a </w:t>
      </w:r>
      <w:r w:rsidRPr="00012C17">
        <w:rPr>
          <w:rFonts w:cs="Arial"/>
          <w:color w:val="000000"/>
          <w:sz w:val="24"/>
        </w:rPr>
        <w:t>violation of the LGE and election rules, and (ii) violation of Article 45 [</w:t>
      </w:r>
      <w:r w:rsidR="00E323F3" w:rsidRPr="00012C17">
        <w:rPr>
          <w:color w:val="000000"/>
          <w:sz w:val="24"/>
        </w:rPr>
        <w:t>Freedom of Election and Participation</w:t>
      </w:r>
      <w:r w:rsidRPr="00012C17">
        <w:rPr>
          <w:rFonts w:cs="Arial"/>
          <w:color w:val="000000"/>
          <w:sz w:val="24"/>
        </w:rPr>
        <w:t xml:space="preserve">] of the Constitution. According to the Applicants, their rights were violated </w:t>
      </w:r>
      <w:r w:rsidR="00E323F3" w:rsidRPr="00012C17">
        <w:rPr>
          <w:rFonts w:cs="Arial"/>
          <w:color w:val="000000"/>
          <w:sz w:val="24"/>
        </w:rPr>
        <w:t>a</w:t>
      </w:r>
      <w:r w:rsidR="00AA1341" w:rsidRPr="00012C17">
        <w:rPr>
          <w:rFonts w:cs="Arial"/>
          <w:color w:val="000000"/>
          <w:sz w:val="24"/>
        </w:rPr>
        <w:t>s</w:t>
      </w:r>
      <w:r w:rsidRPr="00012C17">
        <w:rPr>
          <w:rFonts w:cs="Arial"/>
          <w:color w:val="000000"/>
          <w:sz w:val="24"/>
        </w:rPr>
        <w:t xml:space="preserve"> </w:t>
      </w:r>
      <w:r w:rsidR="00F05E0A" w:rsidRPr="00012C17">
        <w:rPr>
          <w:rFonts w:cs="Arial"/>
          <w:color w:val="000000"/>
          <w:sz w:val="24"/>
        </w:rPr>
        <w:t>VETËVENDOSJE! Movement</w:t>
      </w:r>
      <w:r w:rsidRPr="00012C17">
        <w:rPr>
          <w:rFonts w:cs="Arial"/>
          <w:color w:val="000000"/>
          <w:sz w:val="24"/>
        </w:rPr>
        <w:t xml:space="preserve"> using different ways had influenced the free will of citizens, among other things</w:t>
      </w:r>
      <w:r w:rsidR="00E323F3" w:rsidRPr="00012C17">
        <w:rPr>
          <w:rFonts w:cs="Arial"/>
          <w:color w:val="000000"/>
          <w:sz w:val="24"/>
        </w:rPr>
        <w:t>, including (i) the use of road/</w:t>
      </w:r>
      <w:r w:rsidRPr="00012C17">
        <w:rPr>
          <w:rFonts w:cs="Arial"/>
          <w:color w:val="000000"/>
          <w:sz w:val="24"/>
        </w:rPr>
        <w:t xml:space="preserve">taxi transport services; (ii) telephone calls; and (iii) sending sms. The Applicants also </w:t>
      </w:r>
      <w:r w:rsidR="00E323F3" w:rsidRPr="00012C17">
        <w:rPr>
          <w:rFonts w:cs="Arial"/>
          <w:color w:val="000000"/>
          <w:sz w:val="24"/>
        </w:rPr>
        <w:t>alleged irregularities</w:t>
      </w:r>
      <w:r w:rsidRPr="00012C17">
        <w:rPr>
          <w:rFonts w:cs="Arial"/>
          <w:color w:val="000000"/>
          <w:sz w:val="24"/>
        </w:rPr>
        <w:t xml:space="preserve"> regarding invalid ballots, </w:t>
      </w:r>
      <w:r w:rsidR="004624A1" w:rsidRPr="00012C17">
        <w:rPr>
          <w:rFonts w:cs="Arial"/>
          <w:color w:val="000000"/>
          <w:sz w:val="24"/>
        </w:rPr>
        <w:t>blank</w:t>
      </w:r>
      <w:r w:rsidRPr="00012C17">
        <w:rPr>
          <w:rFonts w:cs="Arial"/>
          <w:color w:val="000000"/>
          <w:sz w:val="24"/>
        </w:rPr>
        <w:t xml:space="preserve"> ballots and the absence of ballots on some conditional ballots and as a result could have been used for the </w:t>
      </w:r>
      <w:r w:rsidR="00A14F96" w:rsidRPr="00012C17">
        <w:rPr>
          <w:rFonts w:cs="Arial"/>
          <w:color w:val="000000"/>
          <w:sz w:val="24"/>
        </w:rPr>
        <w:t>carrying out</w:t>
      </w:r>
      <w:r w:rsidRPr="00012C17">
        <w:rPr>
          <w:rFonts w:cs="Arial"/>
          <w:color w:val="000000"/>
          <w:sz w:val="24"/>
        </w:rPr>
        <w:t xml:space="preserve"> of the so-called </w:t>
      </w:r>
      <w:r w:rsidR="00E323F3" w:rsidRPr="00012C17">
        <w:rPr>
          <w:rFonts w:cs="Arial"/>
          <w:color w:val="000000"/>
          <w:sz w:val="24"/>
        </w:rPr>
        <w:t>practice of</w:t>
      </w:r>
      <w:r w:rsidR="00AA1341" w:rsidRPr="00012C17">
        <w:rPr>
          <w:rFonts w:cs="Arial"/>
          <w:color w:val="000000"/>
          <w:sz w:val="24"/>
        </w:rPr>
        <w:t xml:space="preserve"> the</w:t>
      </w:r>
      <w:r w:rsidR="00E323F3" w:rsidRPr="00012C17">
        <w:rPr>
          <w:rFonts w:cs="Arial"/>
          <w:color w:val="000000"/>
          <w:sz w:val="24"/>
        </w:rPr>
        <w:t xml:space="preserve"> “</w:t>
      </w:r>
      <w:r w:rsidRPr="00012C17">
        <w:rPr>
          <w:rFonts w:cs="Arial"/>
          <w:i/>
          <w:iCs/>
          <w:color w:val="000000"/>
          <w:sz w:val="24"/>
        </w:rPr>
        <w:t>Bulgarian train</w:t>
      </w:r>
      <w:r w:rsidR="00A6162A" w:rsidRPr="00012C17">
        <w:rPr>
          <w:rFonts w:cs="Arial"/>
          <w:color w:val="000000"/>
          <w:sz w:val="24"/>
        </w:rPr>
        <w:t>”</w:t>
      </w:r>
      <w:r w:rsidR="00660C43" w:rsidRPr="00012C17">
        <w:rPr>
          <w:rFonts w:cs="Arial"/>
          <w:color w:val="000000"/>
          <w:sz w:val="24"/>
        </w:rPr>
        <w:t>.</w:t>
      </w:r>
    </w:p>
    <w:p w:rsidR="0035549C" w:rsidRPr="00012C17" w:rsidRDefault="0035549C" w:rsidP="001B11C5">
      <w:pPr>
        <w:spacing w:line="240" w:lineRule="auto"/>
        <w:ind w:left="540"/>
        <w:rPr>
          <w:rFonts w:cs="Arial"/>
          <w:color w:val="000000"/>
          <w:sz w:val="24"/>
        </w:rPr>
      </w:pPr>
    </w:p>
    <w:p w:rsidR="002F7067" w:rsidRPr="00012C17" w:rsidRDefault="007339D6" w:rsidP="001B11C5">
      <w:pPr>
        <w:numPr>
          <w:ilvl w:val="0"/>
          <w:numId w:val="1"/>
        </w:numPr>
        <w:spacing w:line="240" w:lineRule="auto"/>
        <w:ind w:left="630" w:hanging="630"/>
        <w:rPr>
          <w:rFonts w:cs="Arial"/>
          <w:color w:val="000000"/>
          <w:sz w:val="24"/>
        </w:rPr>
      </w:pPr>
      <w:r w:rsidRPr="00012C17">
        <w:rPr>
          <w:rFonts w:cs="Arial"/>
          <w:color w:val="000000"/>
          <w:sz w:val="24"/>
        </w:rPr>
        <w:t xml:space="preserve">Through this appeal, the Applicants requested the ECAP to order (i) a full recount of votes in the Municipality of Prishtina; (ii) the evaluation of the ballots declared invalid, </w:t>
      </w:r>
      <w:r w:rsidR="004624A1" w:rsidRPr="00012C17">
        <w:rPr>
          <w:rFonts w:cs="Arial"/>
          <w:color w:val="000000"/>
          <w:sz w:val="24"/>
        </w:rPr>
        <w:t>blank</w:t>
      </w:r>
      <w:r w:rsidRPr="00012C17">
        <w:rPr>
          <w:rFonts w:cs="Arial"/>
          <w:color w:val="000000"/>
          <w:sz w:val="24"/>
        </w:rPr>
        <w:t xml:space="preserve"> and </w:t>
      </w:r>
      <w:r w:rsidR="00AA1341" w:rsidRPr="00012C17">
        <w:rPr>
          <w:rFonts w:cs="Arial"/>
          <w:color w:val="000000"/>
          <w:sz w:val="24"/>
        </w:rPr>
        <w:t>spoiled</w:t>
      </w:r>
      <w:r w:rsidRPr="00012C17">
        <w:rPr>
          <w:rFonts w:cs="Arial"/>
          <w:color w:val="000000"/>
          <w:sz w:val="24"/>
        </w:rPr>
        <w:t xml:space="preserve">; and (iii) checking the </w:t>
      </w:r>
      <w:r w:rsidR="00E323F3" w:rsidRPr="00012C17">
        <w:rPr>
          <w:rFonts w:cs="Arial"/>
          <w:color w:val="000000"/>
          <w:sz w:val="24"/>
        </w:rPr>
        <w:t xml:space="preserve">envelopes of </w:t>
      </w:r>
      <w:r w:rsidRPr="00012C17">
        <w:rPr>
          <w:rFonts w:cs="Arial"/>
          <w:color w:val="000000"/>
          <w:sz w:val="24"/>
        </w:rPr>
        <w:t xml:space="preserve">conditional ballot </w:t>
      </w:r>
      <w:r w:rsidR="00E323F3" w:rsidRPr="00012C17">
        <w:rPr>
          <w:rFonts w:cs="Arial"/>
          <w:color w:val="000000"/>
          <w:sz w:val="24"/>
        </w:rPr>
        <w:t xml:space="preserve">papers </w:t>
      </w:r>
      <w:r w:rsidRPr="00012C17">
        <w:rPr>
          <w:rFonts w:cs="Arial"/>
          <w:color w:val="000000"/>
          <w:sz w:val="24"/>
        </w:rPr>
        <w:t>that have not been confirmed</w:t>
      </w:r>
      <w:r w:rsidR="00E323F3" w:rsidRPr="00012C17">
        <w:rPr>
          <w:rFonts w:cs="Arial"/>
          <w:color w:val="000000"/>
          <w:sz w:val="24"/>
        </w:rPr>
        <w:t>,</w:t>
      </w:r>
      <w:r w:rsidRPr="00012C17">
        <w:rPr>
          <w:rFonts w:cs="Arial"/>
          <w:color w:val="000000"/>
          <w:sz w:val="24"/>
        </w:rPr>
        <w:t xml:space="preserve"> and according to the </w:t>
      </w:r>
      <w:r w:rsidR="00E323F3" w:rsidRPr="00012C17">
        <w:rPr>
          <w:rFonts w:cs="Arial"/>
          <w:color w:val="000000"/>
          <w:sz w:val="24"/>
        </w:rPr>
        <w:t>allegation</w:t>
      </w:r>
      <w:r w:rsidRPr="00012C17">
        <w:rPr>
          <w:rFonts w:cs="Arial"/>
          <w:color w:val="000000"/>
          <w:sz w:val="24"/>
        </w:rPr>
        <w:t xml:space="preserve">, </w:t>
      </w:r>
      <w:r w:rsidR="00E323F3" w:rsidRPr="00012C17">
        <w:rPr>
          <w:rFonts w:cs="Arial"/>
          <w:color w:val="000000"/>
          <w:sz w:val="24"/>
        </w:rPr>
        <w:t>consequently have not been</w:t>
      </w:r>
      <w:r w:rsidRPr="00012C17">
        <w:rPr>
          <w:rFonts w:cs="Arial"/>
          <w:color w:val="000000"/>
          <w:sz w:val="24"/>
        </w:rPr>
        <w:t xml:space="preserve"> open</w:t>
      </w:r>
      <w:r w:rsidR="00E323F3" w:rsidRPr="00012C17">
        <w:rPr>
          <w:rFonts w:cs="Arial"/>
          <w:color w:val="000000"/>
          <w:sz w:val="24"/>
        </w:rPr>
        <w:t>ed</w:t>
      </w:r>
      <w:r w:rsidRPr="00012C17">
        <w:rPr>
          <w:rFonts w:cs="Arial"/>
          <w:color w:val="000000"/>
          <w:sz w:val="24"/>
        </w:rPr>
        <w:t xml:space="preserve"> at all. Further on, the Applicants requested the ECAP that, </w:t>
      </w:r>
      <w:r w:rsidR="00E323F3" w:rsidRPr="00012C17">
        <w:rPr>
          <w:rFonts w:cs="Arial"/>
          <w:color w:val="000000"/>
          <w:sz w:val="24"/>
        </w:rPr>
        <w:t xml:space="preserve">in case that </w:t>
      </w:r>
      <w:r w:rsidR="00DD17EA" w:rsidRPr="00012C17">
        <w:rPr>
          <w:rFonts w:cs="Arial"/>
          <w:color w:val="000000"/>
          <w:sz w:val="24"/>
        </w:rPr>
        <w:t>even after the recount</w:t>
      </w:r>
      <w:r w:rsidRPr="00012C17">
        <w:rPr>
          <w:rFonts w:cs="Arial"/>
          <w:color w:val="000000"/>
          <w:sz w:val="24"/>
        </w:rPr>
        <w:t xml:space="preserve"> the</w:t>
      </w:r>
      <w:r w:rsidR="00E323F3" w:rsidRPr="00012C17">
        <w:rPr>
          <w:rFonts w:cs="Arial"/>
          <w:color w:val="000000"/>
          <w:sz w:val="24"/>
        </w:rPr>
        <w:t xml:space="preserve"> alleged violations can</w:t>
      </w:r>
      <w:r w:rsidRPr="00012C17">
        <w:rPr>
          <w:rFonts w:cs="Arial"/>
          <w:color w:val="000000"/>
          <w:sz w:val="24"/>
        </w:rPr>
        <w:t xml:space="preserve">not be avoided, </w:t>
      </w:r>
      <w:r w:rsidR="00E323F3" w:rsidRPr="00012C17">
        <w:rPr>
          <w:rFonts w:cs="Arial"/>
          <w:color w:val="000000"/>
          <w:sz w:val="24"/>
        </w:rPr>
        <w:t xml:space="preserve">the new voting for the </w:t>
      </w:r>
      <w:r w:rsidR="00F32DC5" w:rsidRPr="00012C17">
        <w:rPr>
          <w:rFonts w:cs="Arial"/>
          <w:color w:val="000000"/>
          <w:sz w:val="24"/>
        </w:rPr>
        <w:t xml:space="preserve">Mayor </w:t>
      </w:r>
      <w:r w:rsidRPr="00012C17">
        <w:rPr>
          <w:rFonts w:cs="Arial"/>
          <w:color w:val="000000"/>
          <w:sz w:val="24"/>
        </w:rPr>
        <w:t>of the Municipality of Prishtina</w:t>
      </w:r>
      <w:r w:rsidR="00E323F3" w:rsidRPr="00012C17">
        <w:rPr>
          <w:rFonts w:cs="Arial"/>
          <w:color w:val="000000"/>
          <w:sz w:val="24"/>
        </w:rPr>
        <w:t xml:space="preserve"> be ordered</w:t>
      </w:r>
      <w:r w:rsidR="00A6162A" w:rsidRPr="00012C17">
        <w:rPr>
          <w:rFonts w:cs="Arial"/>
          <w:color w:val="000000"/>
          <w:sz w:val="24"/>
        </w:rPr>
        <w:t xml:space="preserve">. </w:t>
      </w:r>
    </w:p>
    <w:p w:rsidR="002F7067" w:rsidRPr="00012C17" w:rsidRDefault="002F7067" w:rsidP="001B11C5">
      <w:pPr>
        <w:spacing w:line="240" w:lineRule="auto"/>
        <w:ind w:left="540"/>
        <w:rPr>
          <w:rFonts w:cs="Arial"/>
          <w:color w:val="000000"/>
          <w:sz w:val="24"/>
        </w:rPr>
      </w:pPr>
    </w:p>
    <w:p w:rsidR="002F7067" w:rsidRPr="00012C17" w:rsidRDefault="007339D6" w:rsidP="001B11C5">
      <w:pPr>
        <w:numPr>
          <w:ilvl w:val="0"/>
          <w:numId w:val="1"/>
        </w:numPr>
        <w:spacing w:line="240" w:lineRule="auto"/>
        <w:ind w:left="630" w:hanging="630"/>
        <w:rPr>
          <w:rFonts w:cs="Arial"/>
          <w:color w:val="000000"/>
          <w:sz w:val="24"/>
        </w:rPr>
      </w:pPr>
      <w:r w:rsidRPr="00012C17">
        <w:rPr>
          <w:rFonts w:cs="Arial"/>
          <w:color w:val="000000"/>
          <w:sz w:val="24"/>
        </w:rPr>
        <w:t xml:space="preserve">On 1 December 2017, the ECAP </w:t>
      </w:r>
      <w:r w:rsidR="002B1AF7" w:rsidRPr="00012C17">
        <w:rPr>
          <w:rFonts w:cs="Arial"/>
          <w:color w:val="000000"/>
          <w:sz w:val="24"/>
        </w:rPr>
        <w:t>by</w:t>
      </w:r>
      <w:r w:rsidRPr="00012C17">
        <w:rPr>
          <w:rFonts w:cs="Arial"/>
          <w:color w:val="000000"/>
          <w:sz w:val="24"/>
        </w:rPr>
        <w:t xml:space="preserve"> Decision [ZL.</w:t>
      </w:r>
      <w:r w:rsidR="006E1B5F" w:rsidRPr="00012C17">
        <w:rPr>
          <w:rFonts w:cs="Arial"/>
          <w:color w:val="000000"/>
          <w:sz w:val="24"/>
        </w:rPr>
        <w:t xml:space="preserve"> </w:t>
      </w:r>
      <w:r w:rsidRPr="00012C17">
        <w:rPr>
          <w:rFonts w:cs="Arial"/>
          <w:color w:val="000000"/>
          <w:sz w:val="24"/>
        </w:rPr>
        <w:t>An</w:t>
      </w:r>
      <w:r w:rsidR="008E0391" w:rsidRPr="00012C17">
        <w:rPr>
          <w:rFonts w:cs="Arial"/>
          <w:color w:val="000000"/>
          <w:sz w:val="24"/>
        </w:rPr>
        <w:t>o</w:t>
      </w:r>
      <w:r w:rsidRPr="00012C17">
        <w:rPr>
          <w:rFonts w:cs="Arial"/>
          <w:color w:val="000000"/>
          <w:sz w:val="24"/>
        </w:rPr>
        <w:t>.</w:t>
      </w:r>
      <w:r w:rsidR="006E1B5F" w:rsidRPr="00012C17">
        <w:rPr>
          <w:rFonts w:cs="Arial"/>
          <w:color w:val="000000"/>
          <w:sz w:val="24"/>
        </w:rPr>
        <w:t xml:space="preserve"> 1125/</w:t>
      </w:r>
      <w:r w:rsidRPr="00012C17">
        <w:rPr>
          <w:rFonts w:cs="Arial"/>
          <w:color w:val="000000"/>
          <w:sz w:val="24"/>
        </w:rPr>
        <w:t>2017] responded to the Applicants</w:t>
      </w:r>
      <w:r w:rsidR="008E0391" w:rsidRPr="00012C17">
        <w:rPr>
          <w:rFonts w:cs="Arial"/>
          <w:color w:val="000000"/>
          <w:sz w:val="24"/>
        </w:rPr>
        <w:t>’</w:t>
      </w:r>
      <w:r w:rsidRPr="00012C17">
        <w:rPr>
          <w:rFonts w:cs="Arial"/>
          <w:color w:val="000000"/>
          <w:sz w:val="24"/>
        </w:rPr>
        <w:t xml:space="preserve"> </w:t>
      </w:r>
      <w:r w:rsidR="00232D31" w:rsidRPr="00012C17">
        <w:rPr>
          <w:rFonts w:cs="Arial"/>
          <w:color w:val="000000"/>
          <w:sz w:val="24"/>
        </w:rPr>
        <w:t>complaint</w:t>
      </w:r>
      <w:r w:rsidRPr="00012C17">
        <w:rPr>
          <w:rFonts w:cs="Arial"/>
          <w:color w:val="000000"/>
          <w:sz w:val="24"/>
        </w:rPr>
        <w:t xml:space="preserve">. The ECAP divided the </w:t>
      </w:r>
      <w:r w:rsidR="008E0391" w:rsidRPr="00012C17">
        <w:rPr>
          <w:rFonts w:cs="Arial"/>
          <w:color w:val="000000"/>
          <w:sz w:val="24"/>
        </w:rPr>
        <w:t xml:space="preserve">assessment of the </w:t>
      </w:r>
      <w:r w:rsidR="00232D31" w:rsidRPr="00012C17">
        <w:rPr>
          <w:rFonts w:cs="Arial"/>
          <w:color w:val="000000"/>
          <w:sz w:val="24"/>
        </w:rPr>
        <w:t xml:space="preserve">complaint </w:t>
      </w:r>
      <w:r w:rsidRPr="00012C17">
        <w:rPr>
          <w:rFonts w:cs="Arial"/>
          <w:color w:val="000000"/>
          <w:sz w:val="24"/>
        </w:rPr>
        <w:t xml:space="preserve">into two separate </w:t>
      </w:r>
      <w:r w:rsidR="008E0391" w:rsidRPr="00012C17">
        <w:rPr>
          <w:rFonts w:cs="Arial"/>
          <w:color w:val="000000"/>
          <w:sz w:val="24"/>
        </w:rPr>
        <w:t>items</w:t>
      </w:r>
      <w:r w:rsidRPr="00012C17">
        <w:rPr>
          <w:rFonts w:cs="Arial"/>
          <w:color w:val="000000"/>
          <w:sz w:val="24"/>
        </w:rPr>
        <w:t xml:space="preserve">, which pronounced in two </w:t>
      </w:r>
      <w:r w:rsidR="008E0391" w:rsidRPr="00012C17">
        <w:rPr>
          <w:rFonts w:cs="Arial"/>
          <w:color w:val="000000"/>
          <w:sz w:val="24"/>
        </w:rPr>
        <w:t>items</w:t>
      </w:r>
      <w:r w:rsidRPr="00012C17">
        <w:rPr>
          <w:rFonts w:cs="Arial"/>
          <w:color w:val="000000"/>
          <w:sz w:val="24"/>
        </w:rPr>
        <w:t xml:space="preserve"> of its enacting clause. </w:t>
      </w:r>
      <w:r w:rsidR="008E0391" w:rsidRPr="00012C17">
        <w:rPr>
          <w:rFonts w:cs="Arial"/>
          <w:color w:val="000000"/>
          <w:sz w:val="24"/>
        </w:rPr>
        <w:t>In item</w:t>
      </w:r>
      <w:r w:rsidRPr="00012C17">
        <w:rPr>
          <w:rFonts w:cs="Arial"/>
          <w:color w:val="000000"/>
          <w:sz w:val="24"/>
        </w:rPr>
        <w:t xml:space="preserve"> I of the enacting clause, the ECAP rejected as inadmissible the Applicants</w:t>
      </w:r>
      <w:r w:rsidR="008E0391" w:rsidRPr="00012C17">
        <w:rPr>
          <w:rFonts w:cs="Arial"/>
          <w:color w:val="000000"/>
          <w:sz w:val="24"/>
        </w:rPr>
        <w:t>’</w:t>
      </w:r>
      <w:r w:rsidRPr="00012C17">
        <w:rPr>
          <w:rFonts w:cs="Arial"/>
          <w:color w:val="000000"/>
          <w:sz w:val="24"/>
        </w:rPr>
        <w:t xml:space="preserve"> appeal for the part related to the </w:t>
      </w:r>
      <w:r w:rsidR="008E0391" w:rsidRPr="00012C17">
        <w:rPr>
          <w:rFonts w:cs="Arial"/>
          <w:color w:val="000000"/>
          <w:sz w:val="24"/>
        </w:rPr>
        <w:t xml:space="preserve">alleged </w:t>
      </w:r>
      <w:r w:rsidRPr="00012C17">
        <w:rPr>
          <w:rFonts w:cs="Arial"/>
          <w:color w:val="000000"/>
          <w:sz w:val="24"/>
        </w:rPr>
        <w:t xml:space="preserve">irregularities on the voting day for the second round of the local elections, </w:t>
      </w:r>
      <w:r w:rsidR="008E0391" w:rsidRPr="00012C17">
        <w:rPr>
          <w:rFonts w:cs="Arial"/>
          <w:color w:val="000000"/>
          <w:sz w:val="24"/>
        </w:rPr>
        <w:t>namely</w:t>
      </w:r>
      <w:r w:rsidRPr="00012C17">
        <w:rPr>
          <w:rFonts w:cs="Arial"/>
          <w:color w:val="000000"/>
          <w:sz w:val="24"/>
        </w:rPr>
        <w:t xml:space="preserve"> on 19 November 2017. For the phase after the announcement of the final result</w:t>
      </w:r>
      <w:r w:rsidR="00DD17EA" w:rsidRPr="00012C17">
        <w:rPr>
          <w:rFonts w:cs="Arial"/>
          <w:color w:val="000000"/>
          <w:sz w:val="24"/>
        </w:rPr>
        <w:t>s</w:t>
      </w:r>
      <w:r w:rsidRPr="00012C17">
        <w:rPr>
          <w:rFonts w:cs="Arial"/>
          <w:color w:val="000000"/>
          <w:sz w:val="24"/>
        </w:rPr>
        <w:t xml:space="preserve">, the ECAP considered these </w:t>
      </w:r>
      <w:r w:rsidR="008E0391" w:rsidRPr="00012C17">
        <w:rPr>
          <w:rFonts w:cs="Arial"/>
          <w:color w:val="000000"/>
          <w:sz w:val="24"/>
        </w:rPr>
        <w:t>allegations</w:t>
      </w:r>
      <w:r w:rsidRPr="00012C17">
        <w:rPr>
          <w:rFonts w:cs="Arial"/>
          <w:color w:val="000000"/>
          <w:sz w:val="24"/>
        </w:rPr>
        <w:t xml:space="preserve"> as inadmissible. </w:t>
      </w:r>
      <w:r w:rsidR="008E0391" w:rsidRPr="00012C17">
        <w:rPr>
          <w:rFonts w:cs="Arial"/>
          <w:color w:val="000000"/>
          <w:sz w:val="24"/>
        </w:rPr>
        <w:t>In item</w:t>
      </w:r>
      <w:r w:rsidRPr="00012C17">
        <w:rPr>
          <w:rFonts w:cs="Arial"/>
          <w:color w:val="000000"/>
          <w:sz w:val="24"/>
        </w:rPr>
        <w:t xml:space="preserve"> II of the enacting clause, the ECAP rejected as ungrounded the Applicants</w:t>
      </w:r>
      <w:r w:rsidR="008E0391" w:rsidRPr="00012C17">
        <w:rPr>
          <w:rFonts w:cs="Arial"/>
          <w:color w:val="000000"/>
          <w:sz w:val="24"/>
        </w:rPr>
        <w:t>’</w:t>
      </w:r>
      <w:r w:rsidRPr="00012C17">
        <w:rPr>
          <w:rFonts w:cs="Arial"/>
          <w:color w:val="000000"/>
          <w:sz w:val="24"/>
        </w:rPr>
        <w:t xml:space="preserve"> appeal, </w:t>
      </w:r>
      <w:r w:rsidR="008E0391" w:rsidRPr="00012C17">
        <w:rPr>
          <w:rFonts w:cs="Arial"/>
          <w:color w:val="000000"/>
          <w:sz w:val="24"/>
        </w:rPr>
        <w:t>for the part</w:t>
      </w:r>
      <w:r w:rsidRPr="00012C17">
        <w:rPr>
          <w:rFonts w:cs="Arial"/>
          <w:color w:val="000000"/>
          <w:sz w:val="24"/>
        </w:rPr>
        <w:t xml:space="preserve"> relating to the final result</w:t>
      </w:r>
      <w:r w:rsidR="00DD17EA" w:rsidRPr="00012C17">
        <w:rPr>
          <w:rFonts w:cs="Arial"/>
          <w:color w:val="000000"/>
          <w:sz w:val="24"/>
        </w:rPr>
        <w:t>s</w:t>
      </w:r>
      <w:r w:rsidRPr="00012C17">
        <w:rPr>
          <w:rFonts w:cs="Arial"/>
          <w:color w:val="000000"/>
          <w:sz w:val="24"/>
        </w:rPr>
        <w:t xml:space="preserve"> announced by the CEC on 29 November 2017. The ECAP reasoned the division of its Decision in two aspects of the </w:t>
      </w:r>
      <w:r w:rsidR="008E0391" w:rsidRPr="00012C17">
        <w:rPr>
          <w:rFonts w:cs="Arial"/>
          <w:color w:val="000000"/>
          <w:sz w:val="24"/>
        </w:rPr>
        <w:t>assessment of admissibility</w:t>
      </w:r>
      <w:r w:rsidRPr="00012C17">
        <w:rPr>
          <w:rFonts w:cs="Arial"/>
          <w:color w:val="000000"/>
          <w:sz w:val="24"/>
        </w:rPr>
        <w:t xml:space="preserve"> pointing out that the LGE and the Elec</w:t>
      </w:r>
      <w:r w:rsidR="00DD17EA" w:rsidRPr="00012C17">
        <w:rPr>
          <w:rFonts w:cs="Arial"/>
          <w:color w:val="000000"/>
          <w:sz w:val="24"/>
        </w:rPr>
        <w:t>ion</w:t>
      </w:r>
      <w:r w:rsidRPr="00012C17">
        <w:rPr>
          <w:rFonts w:cs="Arial"/>
          <w:color w:val="000000"/>
          <w:sz w:val="24"/>
        </w:rPr>
        <w:t xml:space="preserve"> Rules stipulate that each stage of the electoral process has certain legal deadlines for filing complaints and appeals </w:t>
      </w:r>
      <w:r w:rsidR="008E0391" w:rsidRPr="00012C17">
        <w:rPr>
          <w:rFonts w:cs="Arial"/>
          <w:color w:val="000000"/>
          <w:sz w:val="24"/>
        </w:rPr>
        <w:t>with the</w:t>
      </w:r>
      <w:r w:rsidRPr="00012C17">
        <w:rPr>
          <w:rFonts w:cs="Arial"/>
          <w:color w:val="000000"/>
          <w:sz w:val="24"/>
        </w:rPr>
        <w:t xml:space="preserve"> ECAP related to the specific stage of the electoral process being conducted. In this regard, the ECAP emphasized that in the </w:t>
      </w:r>
      <w:r w:rsidR="008E0391" w:rsidRPr="00012C17">
        <w:rPr>
          <w:rFonts w:cs="Arial"/>
          <w:color w:val="000000"/>
          <w:sz w:val="24"/>
        </w:rPr>
        <w:t>present</w:t>
      </w:r>
      <w:r w:rsidRPr="00012C17">
        <w:rPr>
          <w:rFonts w:cs="Arial"/>
          <w:color w:val="000000"/>
          <w:sz w:val="24"/>
        </w:rPr>
        <w:t xml:space="preserve"> case</w:t>
      </w:r>
      <w:r w:rsidR="00A6162A" w:rsidRPr="00012C17">
        <w:rPr>
          <w:rFonts w:cs="Arial"/>
          <w:color w:val="000000"/>
          <w:sz w:val="24"/>
        </w:rPr>
        <w:t xml:space="preserve">, </w:t>
      </w:r>
      <w:r w:rsidRPr="00012C17">
        <w:rPr>
          <w:rFonts w:cs="Arial"/>
          <w:color w:val="000000"/>
          <w:sz w:val="24"/>
        </w:rPr>
        <w:t xml:space="preserve">the </w:t>
      </w:r>
      <w:r w:rsidR="00DD17EA" w:rsidRPr="00012C17">
        <w:rPr>
          <w:rFonts w:cs="Arial"/>
          <w:color w:val="000000"/>
          <w:sz w:val="24"/>
        </w:rPr>
        <w:t>electoral</w:t>
      </w:r>
      <w:r w:rsidRPr="00012C17">
        <w:rPr>
          <w:rFonts w:cs="Arial"/>
          <w:color w:val="000000"/>
          <w:sz w:val="24"/>
        </w:rPr>
        <w:t xml:space="preserve"> process is in the </w:t>
      </w:r>
      <w:r w:rsidR="008E0391" w:rsidRPr="00012C17">
        <w:rPr>
          <w:rFonts w:cs="Arial"/>
          <w:color w:val="000000"/>
          <w:sz w:val="24"/>
        </w:rPr>
        <w:t>phase “</w:t>
      </w:r>
      <w:r w:rsidR="008E0391" w:rsidRPr="00012C17">
        <w:rPr>
          <w:rFonts w:cs="Arial"/>
          <w:i/>
          <w:iCs/>
          <w:color w:val="000000"/>
          <w:sz w:val="24"/>
        </w:rPr>
        <w:t>after a</w:t>
      </w:r>
      <w:r w:rsidR="00DD17EA" w:rsidRPr="00012C17">
        <w:rPr>
          <w:rFonts w:cs="Arial"/>
          <w:i/>
          <w:iCs/>
          <w:color w:val="000000"/>
          <w:sz w:val="24"/>
        </w:rPr>
        <w:t>nnouncement of the final results</w:t>
      </w:r>
      <w:r w:rsidR="008E0391" w:rsidRPr="00012C17">
        <w:rPr>
          <w:rFonts w:cs="Arial"/>
          <w:i/>
          <w:iCs/>
          <w:color w:val="000000"/>
          <w:sz w:val="24"/>
        </w:rPr>
        <w:t>”</w:t>
      </w:r>
      <w:r w:rsidR="006E52F9" w:rsidRPr="00012C17">
        <w:rPr>
          <w:rFonts w:cs="Arial"/>
          <w:i/>
          <w:iCs/>
          <w:color w:val="000000"/>
          <w:sz w:val="24"/>
        </w:rPr>
        <w:t xml:space="preserve"> </w:t>
      </w:r>
      <w:r w:rsidRPr="00012C17">
        <w:rPr>
          <w:rFonts w:cs="Arial"/>
          <w:color w:val="000000"/>
          <w:sz w:val="24"/>
        </w:rPr>
        <w:t xml:space="preserve">by the CEC, and therefore only </w:t>
      </w:r>
      <w:r w:rsidR="008E0391" w:rsidRPr="00012C17">
        <w:rPr>
          <w:rFonts w:cs="Arial"/>
          <w:color w:val="000000"/>
          <w:sz w:val="24"/>
        </w:rPr>
        <w:t>appeals</w:t>
      </w:r>
      <w:r w:rsidRPr="00012C17">
        <w:rPr>
          <w:rFonts w:cs="Arial"/>
          <w:color w:val="000000"/>
          <w:sz w:val="24"/>
        </w:rPr>
        <w:t xml:space="preserve"> </w:t>
      </w:r>
      <w:r w:rsidR="008E0391" w:rsidRPr="00012C17">
        <w:rPr>
          <w:rFonts w:cs="Arial"/>
          <w:color w:val="000000"/>
          <w:sz w:val="24"/>
        </w:rPr>
        <w:t>on</w:t>
      </w:r>
      <w:r w:rsidRPr="00012C17">
        <w:rPr>
          <w:rFonts w:cs="Arial"/>
          <w:color w:val="000000"/>
          <w:sz w:val="24"/>
        </w:rPr>
        <w:t xml:space="preserve"> CEC decisions related to the same </w:t>
      </w:r>
      <w:r w:rsidR="00DD17EA" w:rsidRPr="00012C17">
        <w:rPr>
          <w:rFonts w:cs="Arial"/>
          <w:color w:val="000000"/>
          <w:sz w:val="24"/>
        </w:rPr>
        <w:t>phase</w:t>
      </w:r>
      <w:r w:rsidRPr="00012C17">
        <w:rPr>
          <w:rFonts w:cs="Arial"/>
          <w:color w:val="000000"/>
          <w:sz w:val="24"/>
        </w:rPr>
        <w:t xml:space="preserve"> are </w:t>
      </w:r>
      <w:r w:rsidR="008E0391" w:rsidRPr="00012C17">
        <w:rPr>
          <w:rFonts w:cs="Arial"/>
          <w:color w:val="000000"/>
          <w:sz w:val="24"/>
        </w:rPr>
        <w:t>admissible</w:t>
      </w:r>
      <w:r w:rsidR="00A6162A" w:rsidRPr="00012C17">
        <w:rPr>
          <w:rFonts w:cs="Arial"/>
          <w:color w:val="000000"/>
          <w:sz w:val="24"/>
        </w:rPr>
        <w:t xml:space="preserve">. </w:t>
      </w:r>
    </w:p>
    <w:p w:rsidR="001777F9" w:rsidRPr="00012C17" w:rsidRDefault="001777F9" w:rsidP="001B11C5">
      <w:pPr>
        <w:spacing w:line="240" w:lineRule="auto"/>
        <w:ind w:left="630"/>
        <w:rPr>
          <w:rFonts w:cs="Arial"/>
          <w:color w:val="000000"/>
          <w:sz w:val="24"/>
        </w:rPr>
      </w:pPr>
    </w:p>
    <w:p w:rsidR="0035549C" w:rsidRPr="00012C17" w:rsidRDefault="00FB3874" w:rsidP="001B11C5">
      <w:pPr>
        <w:numPr>
          <w:ilvl w:val="0"/>
          <w:numId w:val="1"/>
        </w:numPr>
        <w:spacing w:line="240" w:lineRule="auto"/>
        <w:ind w:left="630" w:hanging="630"/>
        <w:rPr>
          <w:rFonts w:cs="Arial"/>
          <w:color w:val="000000"/>
          <w:sz w:val="24"/>
        </w:rPr>
      </w:pPr>
      <w:r w:rsidRPr="00012C17">
        <w:rPr>
          <w:rFonts w:cs="Arial"/>
          <w:color w:val="000000"/>
          <w:sz w:val="24"/>
        </w:rPr>
        <w:lastRenderedPageBreak/>
        <w:t>Accordingly</w:t>
      </w:r>
      <w:r w:rsidR="007339D6" w:rsidRPr="00012C17">
        <w:rPr>
          <w:rFonts w:cs="Arial"/>
          <w:color w:val="000000"/>
          <w:sz w:val="24"/>
        </w:rPr>
        <w:t xml:space="preserve">, and in particular as regards </w:t>
      </w:r>
      <w:r w:rsidRPr="00012C17">
        <w:rPr>
          <w:rFonts w:cs="Arial"/>
          <w:color w:val="000000"/>
          <w:sz w:val="24"/>
        </w:rPr>
        <w:t>item</w:t>
      </w:r>
      <w:r w:rsidR="007339D6" w:rsidRPr="00012C17">
        <w:rPr>
          <w:rFonts w:cs="Arial"/>
          <w:color w:val="000000"/>
          <w:sz w:val="24"/>
        </w:rPr>
        <w:t xml:space="preserve"> I of the enacting clause, the ECAP reasoned that the </w:t>
      </w:r>
      <w:r w:rsidR="006F168E" w:rsidRPr="00012C17">
        <w:rPr>
          <w:rFonts w:cs="Arial"/>
          <w:color w:val="000000"/>
          <w:sz w:val="24"/>
        </w:rPr>
        <w:t>complaints</w:t>
      </w:r>
      <w:r w:rsidR="007339D6" w:rsidRPr="00012C17">
        <w:rPr>
          <w:rFonts w:cs="Arial"/>
          <w:color w:val="000000"/>
          <w:sz w:val="24"/>
        </w:rPr>
        <w:t xml:space="preserve"> of the Applicants </w:t>
      </w:r>
      <w:r w:rsidRPr="00012C17">
        <w:rPr>
          <w:rFonts w:cs="Arial"/>
          <w:color w:val="000000"/>
          <w:sz w:val="24"/>
        </w:rPr>
        <w:t>related to</w:t>
      </w:r>
      <w:r w:rsidR="007339D6" w:rsidRPr="00012C17">
        <w:rPr>
          <w:rFonts w:cs="Arial"/>
          <w:color w:val="000000"/>
          <w:sz w:val="24"/>
        </w:rPr>
        <w:t xml:space="preserve"> the </w:t>
      </w:r>
      <w:r w:rsidRPr="00012C17">
        <w:rPr>
          <w:rFonts w:cs="Arial"/>
          <w:color w:val="000000"/>
          <w:sz w:val="24"/>
        </w:rPr>
        <w:t>election day</w:t>
      </w:r>
      <w:r w:rsidR="007339D6" w:rsidRPr="00012C17">
        <w:rPr>
          <w:rFonts w:cs="Arial"/>
          <w:color w:val="000000"/>
          <w:sz w:val="24"/>
        </w:rPr>
        <w:t xml:space="preserve">, </w:t>
      </w:r>
      <w:r w:rsidRPr="00012C17">
        <w:rPr>
          <w:rFonts w:cs="Arial"/>
          <w:color w:val="000000"/>
          <w:sz w:val="24"/>
        </w:rPr>
        <w:t>namely</w:t>
      </w:r>
      <w:r w:rsidR="007339D6" w:rsidRPr="00012C17">
        <w:rPr>
          <w:rFonts w:cs="Arial"/>
          <w:color w:val="000000"/>
          <w:sz w:val="24"/>
        </w:rPr>
        <w:t xml:space="preserve"> the alleged irregularities of 19 November 2017, which according to the Applicant</w:t>
      </w:r>
      <w:r w:rsidRPr="00012C17">
        <w:rPr>
          <w:rFonts w:cs="Arial"/>
          <w:color w:val="000000"/>
          <w:sz w:val="24"/>
        </w:rPr>
        <w:t>s relate to (i) the use of road/</w:t>
      </w:r>
      <w:r w:rsidR="007339D6" w:rsidRPr="00012C17">
        <w:rPr>
          <w:rFonts w:cs="Arial"/>
          <w:color w:val="000000"/>
          <w:sz w:val="24"/>
        </w:rPr>
        <w:t>taxi transport services; (ii) telephone calls; and (ii) sending sms</w:t>
      </w:r>
      <w:r w:rsidR="00DD17EA" w:rsidRPr="00012C17">
        <w:rPr>
          <w:rFonts w:cs="Arial"/>
          <w:color w:val="000000"/>
          <w:sz w:val="24"/>
        </w:rPr>
        <w:t>,</w:t>
      </w:r>
      <w:r w:rsidR="007339D6" w:rsidRPr="00012C17">
        <w:rPr>
          <w:rFonts w:cs="Arial"/>
          <w:color w:val="000000"/>
          <w:sz w:val="24"/>
        </w:rPr>
        <w:t xml:space="preserve"> are </w:t>
      </w:r>
      <w:r w:rsidRPr="00012C17">
        <w:rPr>
          <w:rFonts w:cs="Arial"/>
          <w:color w:val="000000"/>
          <w:sz w:val="24"/>
        </w:rPr>
        <w:t>out of time</w:t>
      </w:r>
      <w:r w:rsidR="007339D6" w:rsidRPr="00012C17">
        <w:rPr>
          <w:rFonts w:cs="Arial"/>
          <w:color w:val="000000"/>
          <w:sz w:val="24"/>
        </w:rPr>
        <w:t xml:space="preserve"> and </w:t>
      </w:r>
      <w:r w:rsidRPr="00012C17">
        <w:rPr>
          <w:rFonts w:cs="Arial"/>
          <w:color w:val="000000"/>
          <w:sz w:val="24"/>
        </w:rPr>
        <w:t>inadmissible</w:t>
      </w:r>
      <w:r w:rsidR="007339D6" w:rsidRPr="00012C17">
        <w:rPr>
          <w:rFonts w:cs="Arial"/>
          <w:color w:val="000000"/>
          <w:sz w:val="24"/>
        </w:rPr>
        <w:t xml:space="preserve"> at this </w:t>
      </w:r>
      <w:r w:rsidR="00DD17EA" w:rsidRPr="00012C17">
        <w:rPr>
          <w:rFonts w:cs="Arial"/>
          <w:color w:val="000000"/>
          <w:sz w:val="24"/>
        </w:rPr>
        <w:t>phase</w:t>
      </w:r>
      <w:r w:rsidR="007339D6" w:rsidRPr="00012C17">
        <w:rPr>
          <w:rFonts w:cs="Arial"/>
          <w:color w:val="000000"/>
          <w:sz w:val="24"/>
        </w:rPr>
        <w:t xml:space="preserve"> of the </w:t>
      </w:r>
      <w:r w:rsidR="00DD17EA" w:rsidRPr="00012C17">
        <w:rPr>
          <w:rFonts w:cs="Arial"/>
          <w:color w:val="000000"/>
          <w:sz w:val="24"/>
        </w:rPr>
        <w:t>electoral</w:t>
      </w:r>
      <w:r w:rsidR="007339D6" w:rsidRPr="00012C17">
        <w:rPr>
          <w:rFonts w:cs="Arial"/>
          <w:color w:val="000000"/>
          <w:sz w:val="24"/>
        </w:rPr>
        <w:t xml:space="preserve"> process. This is because, according to the ECAP reasoning, based on Article 13 of the Law on </w:t>
      </w:r>
      <w:r w:rsidRPr="00012C17">
        <w:rPr>
          <w:rFonts w:cs="Arial"/>
          <w:color w:val="000000"/>
          <w:sz w:val="24"/>
        </w:rPr>
        <w:t>Amending</w:t>
      </w:r>
      <w:r w:rsidR="007339D6" w:rsidRPr="00012C17">
        <w:rPr>
          <w:rFonts w:cs="Arial"/>
          <w:color w:val="000000"/>
          <w:sz w:val="24"/>
        </w:rPr>
        <w:t xml:space="preserve"> and Supplement</w:t>
      </w:r>
      <w:r w:rsidRPr="00012C17">
        <w:rPr>
          <w:rFonts w:cs="Arial"/>
          <w:color w:val="000000"/>
          <w:sz w:val="24"/>
        </w:rPr>
        <w:t>ing</w:t>
      </w:r>
      <w:r w:rsidR="007339D6" w:rsidRPr="00012C17">
        <w:rPr>
          <w:rFonts w:cs="Arial"/>
          <w:color w:val="000000"/>
          <w:sz w:val="24"/>
        </w:rPr>
        <w:t xml:space="preserve"> the </w:t>
      </w:r>
      <w:r w:rsidRPr="00012C17">
        <w:rPr>
          <w:rFonts w:cs="Arial"/>
          <w:color w:val="000000"/>
          <w:sz w:val="24"/>
        </w:rPr>
        <w:t>LGE</w:t>
      </w:r>
      <w:r w:rsidR="007339D6" w:rsidRPr="00012C17">
        <w:rPr>
          <w:rFonts w:cs="Arial"/>
          <w:color w:val="000000"/>
          <w:sz w:val="24"/>
        </w:rPr>
        <w:t xml:space="preserve"> in relation to paragraph 1 of Article 119 of the LGE, the deadline for filing a complaint regarding the allegations of those irregularities was 24 hours from the closure of the voting centers, </w:t>
      </w:r>
      <w:r w:rsidR="005E6811" w:rsidRPr="00012C17">
        <w:rPr>
          <w:rFonts w:cs="Arial"/>
          <w:color w:val="000000"/>
          <w:sz w:val="24"/>
        </w:rPr>
        <w:t>namely</w:t>
      </w:r>
      <w:r w:rsidR="007339D6" w:rsidRPr="00012C17">
        <w:rPr>
          <w:rFonts w:cs="Arial"/>
          <w:color w:val="000000"/>
          <w:sz w:val="24"/>
        </w:rPr>
        <w:t xml:space="preserve"> until 20 November 2017, at 19:00</w:t>
      </w:r>
      <w:r w:rsidRPr="00012C17">
        <w:rPr>
          <w:rFonts w:cs="Arial"/>
          <w:color w:val="000000"/>
          <w:sz w:val="24"/>
        </w:rPr>
        <w:t xml:space="preserve"> hrs</w:t>
      </w:r>
      <w:r w:rsidR="007339D6" w:rsidRPr="00012C17">
        <w:rPr>
          <w:rFonts w:cs="Arial"/>
          <w:color w:val="000000"/>
          <w:sz w:val="24"/>
        </w:rPr>
        <w:t xml:space="preserve">. </w:t>
      </w:r>
      <w:r w:rsidRPr="00012C17">
        <w:rPr>
          <w:rFonts w:cs="Arial"/>
          <w:color w:val="000000"/>
          <w:sz w:val="24"/>
        </w:rPr>
        <w:t>In addition</w:t>
      </w:r>
      <w:r w:rsidR="007339D6" w:rsidRPr="00012C17">
        <w:rPr>
          <w:rFonts w:cs="Arial"/>
          <w:color w:val="000000"/>
          <w:sz w:val="24"/>
        </w:rPr>
        <w:t xml:space="preserve">, the ECAP clarified that </w:t>
      </w:r>
      <w:r w:rsidRPr="00012C17">
        <w:rPr>
          <w:rFonts w:cs="Arial"/>
          <w:color w:val="000000"/>
          <w:sz w:val="24"/>
        </w:rPr>
        <w:t xml:space="preserve">the </w:t>
      </w:r>
      <w:r w:rsidR="007339D6" w:rsidRPr="00012C17">
        <w:rPr>
          <w:rFonts w:cs="Arial"/>
          <w:color w:val="000000"/>
          <w:sz w:val="24"/>
        </w:rPr>
        <w:t xml:space="preserve">allegations related to </w:t>
      </w:r>
      <w:r w:rsidR="005E6811" w:rsidRPr="00012C17">
        <w:rPr>
          <w:rFonts w:cs="Arial"/>
          <w:color w:val="000000"/>
          <w:sz w:val="24"/>
        </w:rPr>
        <w:t xml:space="preserve">the </w:t>
      </w:r>
      <w:r w:rsidR="007339D6" w:rsidRPr="00012C17">
        <w:rPr>
          <w:rFonts w:cs="Arial"/>
          <w:color w:val="000000"/>
          <w:sz w:val="24"/>
        </w:rPr>
        <w:t xml:space="preserve">irregularities on the voting day were already decided by the Supreme Court </w:t>
      </w:r>
      <w:r w:rsidRPr="00012C17">
        <w:rPr>
          <w:rFonts w:cs="Arial"/>
          <w:color w:val="000000"/>
          <w:sz w:val="24"/>
        </w:rPr>
        <w:t>by</w:t>
      </w:r>
      <w:r w:rsidR="007339D6" w:rsidRPr="00012C17">
        <w:rPr>
          <w:rFonts w:cs="Arial"/>
          <w:color w:val="000000"/>
          <w:sz w:val="24"/>
        </w:rPr>
        <w:t xml:space="preserve"> the </w:t>
      </w:r>
      <w:r w:rsidRPr="00012C17">
        <w:rPr>
          <w:rFonts w:cs="Arial"/>
          <w:color w:val="000000"/>
          <w:sz w:val="24"/>
        </w:rPr>
        <w:t>Decision</w:t>
      </w:r>
      <w:r w:rsidR="007339D6" w:rsidRPr="00012C17">
        <w:rPr>
          <w:rFonts w:cs="Arial"/>
          <w:color w:val="000000"/>
          <w:sz w:val="24"/>
        </w:rPr>
        <w:t xml:space="preserve"> [AA. No.</w:t>
      </w:r>
      <w:r w:rsidR="002D0A92" w:rsidRPr="00012C17">
        <w:rPr>
          <w:rFonts w:cs="Arial"/>
          <w:color w:val="000000"/>
          <w:sz w:val="24"/>
        </w:rPr>
        <w:t xml:space="preserve"> 52/</w:t>
      </w:r>
      <w:r w:rsidR="007339D6" w:rsidRPr="00012C17">
        <w:rPr>
          <w:rFonts w:cs="Arial"/>
          <w:color w:val="000000"/>
          <w:sz w:val="24"/>
        </w:rPr>
        <w:t xml:space="preserve">2017] </w:t>
      </w:r>
      <w:r w:rsidRPr="00012C17">
        <w:rPr>
          <w:rFonts w:cs="Arial"/>
          <w:color w:val="000000"/>
          <w:sz w:val="24"/>
        </w:rPr>
        <w:t>of</w:t>
      </w:r>
      <w:r w:rsidR="007339D6" w:rsidRPr="00012C17">
        <w:rPr>
          <w:rFonts w:cs="Arial"/>
          <w:color w:val="000000"/>
          <w:sz w:val="24"/>
        </w:rPr>
        <w:t xml:space="preserve"> 25 November </w:t>
      </w:r>
      <w:r w:rsidR="00D76200" w:rsidRPr="00012C17">
        <w:rPr>
          <w:rFonts w:cs="Arial"/>
          <w:color w:val="000000"/>
          <w:sz w:val="24"/>
        </w:rPr>
        <w:t xml:space="preserve">2017. </w:t>
      </w:r>
    </w:p>
    <w:p w:rsidR="00C87867" w:rsidRPr="00012C17" w:rsidRDefault="00C87867" w:rsidP="001B11C5">
      <w:pPr>
        <w:spacing w:line="240" w:lineRule="auto"/>
        <w:rPr>
          <w:rFonts w:cs="Arial"/>
          <w:color w:val="000000"/>
          <w:sz w:val="24"/>
        </w:rPr>
      </w:pPr>
    </w:p>
    <w:p w:rsidR="00D76200" w:rsidRPr="00012C17" w:rsidRDefault="007339D6" w:rsidP="001B11C5">
      <w:pPr>
        <w:numPr>
          <w:ilvl w:val="0"/>
          <w:numId w:val="1"/>
        </w:numPr>
        <w:spacing w:line="240" w:lineRule="auto"/>
        <w:ind w:left="630" w:hanging="630"/>
        <w:rPr>
          <w:rFonts w:cs="Arial"/>
          <w:color w:val="000000"/>
          <w:sz w:val="24"/>
        </w:rPr>
      </w:pPr>
      <w:r w:rsidRPr="00012C17">
        <w:rPr>
          <w:rFonts w:cs="Arial"/>
          <w:color w:val="000000"/>
          <w:sz w:val="24"/>
        </w:rPr>
        <w:t xml:space="preserve">With regard to </w:t>
      </w:r>
      <w:r w:rsidR="00FB3874" w:rsidRPr="00012C17">
        <w:rPr>
          <w:rFonts w:cs="Arial"/>
          <w:color w:val="000000"/>
          <w:sz w:val="24"/>
        </w:rPr>
        <w:t>item</w:t>
      </w:r>
      <w:r w:rsidRPr="00012C17">
        <w:rPr>
          <w:rFonts w:cs="Arial"/>
          <w:color w:val="000000"/>
          <w:sz w:val="24"/>
        </w:rPr>
        <w:t xml:space="preserve"> II of the enacting clause, the ECAP considered that the </w:t>
      </w:r>
      <w:r w:rsidR="00FB3874" w:rsidRPr="00012C17">
        <w:rPr>
          <w:rFonts w:cs="Arial"/>
          <w:color w:val="000000"/>
          <w:sz w:val="24"/>
        </w:rPr>
        <w:t>A</w:t>
      </w:r>
      <w:r w:rsidRPr="00012C17">
        <w:rPr>
          <w:rFonts w:cs="Arial"/>
          <w:color w:val="000000"/>
          <w:sz w:val="24"/>
        </w:rPr>
        <w:t>pplicants</w:t>
      </w:r>
      <w:r w:rsidR="00FB3874" w:rsidRPr="00012C17">
        <w:rPr>
          <w:rFonts w:cs="Arial"/>
          <w:color w:val="000000"/>
          <w:sz w:val="24"/>
        </w:rPr>
        <w:t>’</w:t>
      </w:r>
      <w:r w:rsidRPr="00012C17">
        <w:rPr>
          <w:rFonts w:cs="Arial"/>
          <w:color w:val="000000"/>
          <w:sz w:val="24"/>
        </w:rPr>
        <w:t xml:space="preserve"> </w:t>
      </w:r>
      <w:r w:rsidR="00FB3874" w:rsidRPr="00012C17">
        <w:rPr>
          <w:rFonts w:cs="Arial"/>
          <w:color w:val="000000"/>
          <w:sz w:val="24"/>
        </w:rPr>
        <w:t>appeal</w:t>
      </w:r>
      <w:r w:rsidRPr="00012C17">
        <w:rPr>
          <w:rFonts w:cs="Arial"/>
          <w:color w:val="000000"/>
          <w:sz w:val="24"/>
        </w:rPr>
        <w:t xml:space="preserve"> was un</w:t>
      </w:r>
      <w:r w:rsidR="00FB3874" w:rsidRPr="00012C17">
        <w:rPr>
          <w:rFonts w:cs="Arial"/>
          <w:color w:val="000000"/>
          <w:sz w:val="24"/>
        </w:rPr>
        <w:t>gr</w:t>
      </w:r>
      <w:r w:rsidRPr="00012C17">
        <w:rPr>
          <w:rFonts w:cs="Arial"/>
          <w:color w:val="000000"/>
          <w:sz w:val="24"/>
        </w:rPr>
        <w:t>ounded</w:t>
      </w:r>
      <w:r w:rsidR="00FB3874" w:rsidRPr="00012C17">
        <w:rPr>
          <w:rFonts w:cs="Arial"/>
          <w:color w:val="000000"/>
          <w:sz w:val="24"/>
        </w:rPr>
        <w:t>,</w:t>
      </w:r>
      <w:r w:rsidRPr="00012C17">
        <w:rPr>
          <w:rFonts w:cs="Arial"/>
          <w:color w:val="000000"/>
          <w:sz w:val="24"/>
        </w:rPr>
        <w:t xml:space="preserve"> </w:t>
      </w:r>
      <w:r w:rsidR="00FB3874" w:rsidRPr="00012C17">
        <w:rPr>
          <w:rFonts w:cs="Arial"/>
          <w:color w:val="000000"/>
          <w:sz w:val="24"/>
        </w:rPr>
        <w:t>as</w:t>
      </w:r>
      <w:r w:rsidRPr="00012C17">
        <w:rPr>
          <w:rFonts w:cs="Arial"/>
          <w:color w:val="000000"/>
          <w:sz w:val="24"/>
        </w:rPr>
        <w:t xml:space="preserve"> they </w:t>
      </w:r>
      <w:r w:rsidR="005E6811" w:rsidRPr="00012C17">
        <w:rPr>
          <w:rFonts w:cs="Arial"/>
          <w:color w:val="000000"/>
          <w:sz w:val="24"/>
        </w:rPr>
        <w:t>failed</w:t>
      </w:r>
      <w:r w:rsidRPr="00012C17">
        <w:rPr>
          <w:rFonts w:cs="Arial"/>
          <w:color w:val="000000"/>
          <w:sz w:val="24"/>
        </w:rPr>
        <w:t xml:space="preserve"> </w:t>
      </w:r>
      <w:r w:rsidR="00FB3874" w:rsidRPr="00012C17">
        <w:rPr>
          <w:rFonts w:cs="Arial"/>
          <w:color w:val="000000"/>
          <w:sz w:val="24"/>
        </w:rPr>
        <w:t xml:space="preserve">to </w:t>
      </w:r>
      <w:r w:rsidR="005E6811" w:rsidRPr="00012C17">
        <w:rPr>
          <w:rFonts w:cs="Arial"/>
          <w:color w:val="000000"/>
          <w:sz w:val="24"/>
        </w:rPr>
        <w:t>substantiate</w:t>
      </w:r>
      <w:r w:rsidRPr="00012C17">
        <w:rPr>
          <w:rFonts w:cs="Arial"/>
          <w:color w:val="000000"/>
          <w:sz w:val="24"/>
        </w:rPr>
        <w:t xml:space="preserve"> their allegations </w:t>
      </w:r>
      <w:r w:rsidR="00FB3874" w:rsidRPr="00012C17">
        <w:rPr>
          <w:rFonts w:cs="Arial"/>
          <w:color w:val="000000"/>
          <w:sz w:val="24"/>
        </w:rPr>
        <w:t xml:space="preserve">indicated </w:t>
      </w:r>
      <w:r w:rsidRPr="00012C17">
        <w:rPr>
          <w:rFonts w:cs="Arial"/>
          <w:color w:val="000000"/>
          <w:sz w:val="24"/>
        </w:rPr>
        <w:t xml:space="preserve">in the </w:t>
      </w:r>
      <w:r w:rsidR="00FB3874" w:rsidRPr="00012C17">
        <w:rPr>
          <w:rFonts w:cs="Arial"/>
          <w:color w:val="000000"/>
          <w:sz w:val="24"/>
        </w:rPr>
        <w:t>appeal</w:t>
      </w:r>
      <w:r w:rsidRPr="00012C17">
        <w:rPr>
          <w:rFonts w:cs="Arial"/>
          <w:color w:val="000000"/>
          <w:sz w:val="24"/>
        </w:rPr>
        <w:t xml:space="preserve"> </w:t>
      </w:r>
      <w:r w:rsidR="00FB3874" w:rsidRPr="00012C17">
        <w:rPr>
          <w:rFonts w:cs="Arial"/>
          <w:color w:val="000000"/>
          <w:sz w:val="24"/>
        </w:rPr>
        <w:t>regarding</w:t>
      </w:r>
      <w:r w:rsidRPr="00012C17">
        <w:rPr>
          <w:rFonts w:cs="Arial"/>
          <w:color w:val="000000"/>
          <w:sz w:val="24"/>
        </w:rPr>
        <w:t xml:space="preserve"> the discrepancies of the final result</w:t>
      </w:r>
      <w:r w:rsidR="005E6811" w:rsidRPr="00012C17">
        <w:rPr>
          <w:rFonts w:cs="Arial"/>
          <w:color w:val="000000"/>
          <w:sz w:val="24"/>
        </w:rPr>
        <w:t>s</w:t>
      </w:r>
      <w:r w:rsidR="00A6162A" w:rsidRPr="00012C17">
        <w:rPr>
          <w:color w:val="000000"/>
          <w:sz w:val="24"/>
        </w:rPr>
        <w:t xml:space="preserve">. </w:t>
      </w:r>
    </w:p>
    <w:p w:rsidR="00D76200" w:rsidRPr="00012C17" w:rsidRDefault="00D76200" w:rsidP="001B11C5">
      <w:pPr>
        <w:spacing w:line="240" w:lineRule="auto"/>
        <w:rPr>
          <w:color w:val="000000"/>
          <w:sz w:val="24"/>
        </w:rPr>
      </w:pPr>
    </w:p>
    <w:p w:rsidR="00752325" w:rsidRPr="00012C17" w:rsidRDefault="007339D6" w:rsidP="001B11C5">
      <w:pPr>
        <w:numPr>
          <w:ilvl w:val="0"/>
          <w:numId w:val="1"/>
        </w:numPr>
        <w:spacing w:line="240" w:lineRule="auto"/>
        <w:ind w:left="630" w:hanging="630"/>
        <w:rPr>
          <w:rFonts w:cs="Arial"/>
          <w:color w:val="000000"/>
          <w:sz w:val="24"/>
        </w:rPr>
      </w:pPr>
      <w:r w:rsidRPr="00012C17">
        <w:rPr>
          <w:color w:val="000000"/>
          <w:sz w:val="24"/>
        </w:rPr>
        <w:t xml:space="preserve">The ECAP emphasized that the Applicants, as evidence, attached a list of 31 polling stations where </w:t>
      </w:r>
      <w:r w:rsidR="00DB5DE0" w:rsidRPr="00012C17">
        <w:rPr>
          <w:color w:val="000000"/>
          <w:sz w:val="24"/>
        </w:rPr>
        <w:t xml:space="preserve">in </w:t>
      </w:r>
      <w:r w:rsidRPr="00012C17">
        <w:rPr>
          <w:color w:val="000000"/>
          <w:sz w:val="24"/>
        </w:rPr>
        <w:t xml:space="preserve">each of them, according to the Applicants, </w:t>
      </w:r>
      <w:r w:rsidR="00DB5DE0" w:rsidRPr="00012C17">
        <w:rPr>
          <w:color w:val="000000"/>
          <w:sz w:val="24"/>
        </w:rPr>
        <w:t>were</w:t>
      </w:r>
      <w:r w:rsidRPr="00012C17">
        <w:rPr>
          <w:color w:val="000000"/>
          <w:sz w:val="24"/>
        </w:rPr>
        <w:t xml:space="preserve"> declared 5 to 9 invalid ballots. According to the decision, for the purpose of investigating and verifying </w:t>
      </w:r>
      <w:r w:rsidR="00DB5DE0" w:rsidRPr="00012C17">
        <w:rPr>
          <w:color w:val="000000"/>
          <w:sz w:val="24"/>
        </w:rPr>
        <w:t>the Applicants’ allegations</w:t>
      </w:r>
      <w:r w:rsidRPr="00012C17">
        <w:rPr>
          <w:color w:val="000000"/>
          <w:sz w:val="24"/>
        </w:rPr>
        <w:t xml:space="preserve"> in respect of the discrepancies of the final result</w:t>
      </w:r>
      <w:r w:rsidR="005E6811" w:rsidRPr="00012C17">
        <w:rPr>
          <w:color w:val="000000"/>
          <w:sz w:val="24"/>
        </w:rPr>
        <w:t>s</w:t>
      </w:r>
      <w:r w:rsidRPr="00012C17">
        <w:rPr>
          <w:color w:val="000000"/>
          <w:sz w:val="24"/>
        </w:rPr>
        <w:t xml:space="preserve">, </w:t>
      </w:r>
      <w:r w:rsidR="00DB5DE0" w:rsidRPr="00012C17">
        <w:rPr>
          <w:color w:val="000000"/>
          <w:sz w:val="24"/>
        </w:rPr>
        <w:t>namely</w:t>
      </w:r>
      <w:r w:rsidRPr="00012C17">
        <w:rPr>
          <w:color w:val="000000"/>
          <w:sz w:val="24"/>
        </w:rPr>
        <w:t xml:space="preserve">, </w:t>
      </w:r>
      <w:r w:rsidR="00DB5DE0" w:rsidRPr="00012C17">
        <w:rPr>
          <w:color w:val="000000"/>
          <w:sz w:val="24"/>
        </w:rPr>
        <w:t xml:space="preserve">irregularities </w:t>
      </w:r>
      <w:r w:rsidR="00B13B47" w:rsidRPr="00012C17">
        <w:rPr>
          <w:color w:val="000000"/>
          <w:sz w:val="24"/>
        </w:rPr>
        <w:t xml:space="preserve">regarding </w:t>
      </w:r>
      <w:r w:rsidR="00DB5DE0" w:rsidRPr="00012C17">
        <w:rPr>
          <w:color w:val="000000"/>
          <w:sz w:val="24"/>
        </w:rPr>
        <w:t>the invalid ballot</w:t>
      </w:r>
      <w:r w:rsidRPr="00012C17">
        <w:rPr>
          <w:color w:val="000000"/>
          <w:sz w:val="24"/>
        </w:rPr>
        <w:t xml:space="preserve"> </w:t>
      </w:r>
      <w:r w:rsidR="00DB5DE0" w:rsidRPr="00012C17">
        <w:rPr>
          <w:color w:val="000000"/>
          <w:sz w:val="24"/>
        </w:rPr>
        <w:t>papers</w:t>
      </w:r>
      <w:r w:rsidRPr="00012C17">
        <w:rPr>
          <w:color w:val="000000"/>
          <w:sz w:val="24"/>
        </w:rPr>
        <w:t xml:space="preserve">, </w:t>
      </w:r>
      <w:r w:rsidR="004624A1" w:rsidRPr="00012C17">
        <w:rPr>
          <w:color w:val="000000"/>
          <w:sz w:val="24"/>
        </w:rPr>
        <w:t>blank</w:t>
      </w:r>
      <w:r w:rsidR="00DB5DE0" w:rsidRPr="00012C17">
        <w:rPr>
          <w:color w:val="000000"/>
          <w:sz w:val="24"/>
        </w:rPr>
        <w:t xml:space="preserve"> ballot papers</w:t>
      </w:r>
      <w:r w:rsidRPr="00012C17">
        <w:rPr>
          <w:color w:val="000000"/>
          <w:sz w:val="24"/>
        </w:rPr>
        <w:t xml:space="preserve">, and the absence of envelopes containing </w:t>
      </w:r>
      <w:r w:rsidR="00DB5DE0" w:rsidRPr="00012C17">
        <w:rPr>
          <w:color w:val="000000"/>
          <w:sz w:val="24"/>
        </w:rPr>
        <w:t>the conditional votes, and</w:t>
      </w:r>
      <w:r w:rsidRPr="00012C17">
        <w:rPr>
          <w:color w:val="000000"/>
          <w:sz w:val="24"/>
        </w:rPr>
        <w:t xml:space="preserve"> which could ha</w:t>
      </w:r>
      <w:r w:rsidR="00DB5DE0" w:rsidRPr="00012C17">
        <w:rPr>
          <w:color w:val="000000"/>
          <w:sz w:val="24"/>
        </w:rPr>
        <w:t>ve</w:t>
      </w:r>
      <w:r w:rsidRPr="00012C17">
        <w:rPr>
          <w:color w:val="000000"/>
          <w:sz w:val="24"/>
        </w:rPr>
        <w:t xml:space="preserve"> resulted in the </w:t>
      </w:r>
      <w:r w:rsidR="00DB5DE0" w:rsidRPr="00012C17">
        <w:rPr>
          <w:color w:val="000000"/>
          <w:sz w:val="24"/>
        </w:rPr>
        <w:t xml:space="preserve">irregularities of the </w:t>
      </w:r>
      <w:r w:rsidRPr="00012C17">
        <w:rPr>
          <w:color w:val="000000"/>
          <w:sz w:val="24"/>
        </w:rPr>
        <w:t xml:space="preserve">chain </w:t>
      </w:r>
      <w:r w:rsidR="005E6811" w:rsidRPr="00012C17">
        <w:rPr>
          <w:color w:val="000000"/>
          <w:sz w:val="24"/>
        </w:rPr>
        <w:t>character</w:t>
      </w:r>
      <w:r w:rsidRPr="00012C17">
        <w:rPr>
          <w:color w:val="000000"/>
          <w:sz w:val="24"/>
        </w:rPr>
        <w:t xml:space="preserve"> known as the </w:t>
      </w:r>
      <w:r w:rsidR="00DB5DE0" w:rsidRPr="00012C17">
        <w:rPr>
          <w:color w:val="000000"/>
          <w:sz w:val="24"/>
        </w:rPr>
        <w:t>“</w:t>
      </w:r>
      <w:r w:rsidRPr="00012C17">
        <w:rPr>
          <w:i/>
          <w:iCs/>
          <w:color w:val="000000"/>
          <w:sz w:val="24"/>
        </w:rPr>
        <w:t>Bulgarian train</w:t>
      </w:r>
      <w:r w:rsidR="00DB5DE0" w:rsidRPr="00012C17">
        <w:rPr>
          <w:color w:val="000000"/>
          <w:sz w:val="24"/>
        </w:rPr>
        <w:t>”</w:t>
      </w:r>
      <w:r w:rsidRPr="00012C17">
        <w:rPr>
          <w:color w:val="000000"/>
          <w:sz w:val="24"/>
        </w:rPr>
        <w:t xml:space="preserve">, </w:t>
      </w:r>
      <w:r w:rsidR="005E6811" w:rsidRPr="00012C17">
        <w:rPr>
          <w:color w:val="000000"/>
          <w:sz w:val="24"/>
        </w:rPr>
        <w:t xml:space="preserve">the </w:t>
      </w:r>
      <w:r w:rsidRPr="00012C17">
        <w:rPr>
          <w:color w:val="000000"/>
          <w:sz w:val="24"/>
        </w:rPr>
        <w:t xml:space="preserve">ECAP, based on Rule 14 of </w:t>
      </w:r>
      <w:r w:rsidR="00B13B47" w:rsidRPr="00012C17">
        <w:rPr>
          <w:color w:val="000000"/>
          <w:sz w:val="24"/>
        </w:rPr>
        <w:t xml:space="preserve">Regulation </w:t>
      </w:r>
      <w:r w:rsidRPr="00012C17">
        <w:rPr>
          <w:color w:val="000000"/>
          <w:sz w:val="24"/>
        </w:rPr>
        <w:t>No. 02/2015</w:t>
      </w:r>
      <w:r w:rsidR="005F3372" w:rsidRPr="00012C17">
        <w:rPr>
          <w:color w:val="000000"/>
          <w:sz w:val="24"/>
        </w:rPr>
        <w:t xml:space="preserve"> on ECAP Rules and Procedures (hereinafter: Rule No. 02/2015),</w:t>
      </w:r>
      <w:r w:rsidRPr="00012C17">
        <w:rPr>
          <w:color w:val="000000"/>
          <w:sz w:val="24"/>
        </w:rPr>
        <w:t xml:space="preserve"> engaged investigative teams consisting of 8 judges and 10 officials</w:t>
      </w:r>
      <w:r w:rsidR="005E6811" w:rsidRPr="00012C17">
        <w:rPr>
          <w:color w:val="000000"/>
          <w:sz w:val="24"/>
        </w:rPr>
        <w:t xml:space="preserve"> of secretariat</w:t>
      </w:r>
      <w:r w:rsidRPr="00012C17">
        <w:rPr>
          <w:color w:val="000000"/>
          <w:sz w:val="24"/>
        </w:rPr>
        <w:t xml:space="preserve">. This investigating team, according to the ECAP reasoning, </w:t>
      </w:r>
      <w:r w:rsidR="005E6811" w:rsidRPr="00012C17">
        <w:rPr>
          <w:color w:val="000000"/>
          <w:sz w:val="24"/>
        </w:rPr>
        <w:t>examined</w:t>
      </w:r>
      <w:r w:rsidR="00DB5DE0" w:rsidRPr="00012C17">
        <w:rPr>
          <w:color w:val="000000"/>
          <w:sz w:val="24"/>
        </w:rPr>
        <w:t xml:space="preserve"> and re</w:t>
      </w:r>
      <w:r w:rsidRPr="00012C17">
        <w:rPr>
          <w:color w:val="000000"/>
          <w:sz w:val="24"/>
        </w:rPr>
        <w:t xml:space="preserve">evaluated invalid votes in all 31 polling stations specified by the Applicants and found that 4 out of 183 invalid ballots were actually valid. As a result, the ECAP </w:t>
      </w:r>
      <w:r w:rsidR="00DB5DE0" w:rsidRPr="00012C17">
        <w:rPr>
          <w:color w:val="000000"/>
          <w:sz w:val="24"/>
        </w:rPr>
        <w:t>reasoned</w:t>
      </w:r>
      <w:r w:rsidRPr="00012C17">
        <w:rPr>
          <w:color w:val="000000"/>
          <w:sz w:val="24"/>
        </w:rPr>
        <w:t xml:space="preserve"> that in addition to the changes in 4 votes which were declared as valid by the investigative </w:t>
      </w:r>
      <w:r w:rsidR="00DB5DE0" w:rsidRPr="00012C17">
        <w:rPr>
          <w:color w:val="000000"/>
          <w:sz w:val="24"/>
        </w:rPr>
        <w:t>team</w:t>
      </w:r>
      <w:r w:rsidRPr="00012C17">
        <w:rPr>
          <w:color w:val="000000"/>
          <w:sz w:val="24"/>
        </w:rPr>
        <w:t xml:space="preserve"> and </w:t>
      </w:r>
      <w:r w:rsidR="00DB5DE0" w:rsidRPr="00012C17">
        <w:rPr>
          <w:color w:val="000000"/>
          <w:sz w:val="24"/>
        </w:rPr>
        <w:t xml:space="preserve">which were </w:t>
      </w:r>
      <w:r w:rsidRPr="00012C17">
        <w:rPr>
          <w:color w:val="000000"/>
          <w:sz w:val="24"/>
        </w:rPr>
        <w:t xml:space="preserve">included in the final election results, the ECAP teams did not find any other irregularities in the 31 polling stations that were the subject of the investigation, according to the </w:t>
      </w:r>
      <w:r w:rsidR="00DB5DE0" w:rsidRPr="00012C17">
        <w:rPr>
          <w:color w:val="000000"/>
          <w:sz w:val="24"/>
        </w:rPr>
        <w:t>Applicants’</w:t>
      </w:r>
      <w:r w:rsidRPr="00012C17">
        <w:rPr>
          <w:color w:val="000000"/>
          <w:sz w:val="24"/>
        </w:rPr>
        <w:t xml:space="preserve"> request. </w:t>
      </w:r>
      <w:r w:rsidR="00DB5DE0" w:rsidRPr="00012C17">
        <w:rPr>
          <w:color w:val="000000"/>
          <w:sz w:val="24"/>
        </w:rPr>
        <w:t>The</w:t>
      </w:r>
      <w:r w:rsidRPr="00012C17">
        <w:rPr>
          <w:color w:val="000000"/>
          <w:sz w:val="24"/>
        </w:rPr>
        <w:t xml:space="preserve"> ECAP </w:t>
      </w:r>
      <w:r w:rsidR="00DB5DE0" w:rsidRPr="00012C17">
        <w:rPr>
          <w:color w:val="000000"/>
          <w:sz w:val="24"/>
        </w:rPr>
        <w:t xml:space="preserve">further </w:t>
      </w:r>
      <w:r w:rsidRPr="00012C17">
        <w:rPr>
          <w:color w:val="000000"/>
          <w:sz w:val="24"/>
        </w:rPr>
        <w:t xml:space="preserve">noted that, in addition to </w:t>
      </w:r>
      <w:r w:rsidR="007F3190" w:rsidRPr="00012C17">
        <w:rPr>
          <w:color w:val="000000"/>
          <w:sz w:val="24"/>
        </w:rPr>
        <w:t xml:space="preserve">the </w:t>
      </w:r>
      <w:r w:rsidR="00DB5DE0" w:rsidRPr="00012C17">
        <w:rPr>
          <w:color w:val="000000"/>
          <w:sz w:val="24"/>
        </w:rPr>
        <w:t>reassessment</w:t>
      </w:r>
      <w:r w:rsidR="006E52F9" w:rsidRPr="00012C17">
        <w:rPr>
          <w:color w:val="000000"/>
          <w:sz w:val="24"/>
        </w:rPr>
        <w:t xml:space="preserve"> </w:t>
      </w:r>
      <w:r w:rsidR="00DB5DE0" w:rsidRPr="00012C17">
        <w:rPr>
          <w:color w:val="000000"/>
          <w:sz w:val="24"/>
        </w:rPr>
        <w:t>of invalid ballot</w:t>
      </w:r>
      <w:r w:rsidR="007F3190" w:rsidRPr="00012C17">
        <w:rPr>
          <w:color w:val="000000"/>
          <w:sz w:val="24"/>
        </w:rPr>
        <w:t>s</w:t>
      </w:r>
      <w:r w:rsidRPr="00012C17">
        <w:rPr>
          <w:color w:val="000000"/>
          <w:sz w:val="24"/>
        </w:rPr>
        <w:t>, the E</w:t>
      </w:r>
      <w:r w:rsidR="00DB5DE0" w:rsidRPr="00012C17">
        <w:rPr>
          <w:color w:val="000000"/>
          <w:sz w:val="24"/>
        </w:rPr>
        <w:t xml:space="preserve">CAC investigative teams have </w:t>
      </w:r>
      <w:r w:rsidR="00B13B47" w:rsidRPr="00012C17">
        <w:rPr>
          <w:color w:val="000000"/>
          <w:sz w:val="24"/>
        </w:rPr>
        <w:t xml:space="preserve">also </w:t>
      </w:r>
      <w:r w:rsidRPr="00012C17">
        <w:rPr>
          <w:color w:val="000000"/>
          <w:sz w:val="24"/>
        </w:rPr>
        <w:t xml:space="preserve">counted the regular </w:t>
      </w:r>
      <w:r w:rsidR="00B274B5" w:rsidRPr="00012C17">
        <w:rPr>
          <w:color w:val="000000"/>
          <w:sz w:val="24"/>
        </w:rPr>
        <w:t>ballot</w:t>
      </w:r>
      <w:r w:rsidR="00B13B47" w:rsidRPr="00012C17">
        <w:rPr>
          <w:color w:val="000000"/>
          <w:sz w:val="24"/>
        </w:rPr>
        <w:t>s</w:t>
      </w:r>
      <w:r w:rsidRPr="00012C17">
        <w:rPr>
          <w:color w:val="000000"/>
          <w:sz w:val="24"/>
        </w:rPr>
        <w:t xml:space="preserve">, a recount that has resulted to be </w:t>
      </w:r>
      <w:r w:rsidR="00B13B47" w:rsidRPr="00012C17">
        <w:rPr>
          <w:color w:val="000000"/>
          <w:sz w:val="24"/>
        </w:rPr>
        <w:t>compatible</w:t>
      </w:r>
      <w:r w:rsidRPr="00012C17">
        <w:rPr>
          <w:color w:val="000000"/>
          <w:sz w:val="24"/>
        </w:rPr>
        <w:t xml:space="preserve"> with the </w:t>
      </w:r>
      <w:r w:rsidR="00B274B5" w:rsidRPr="00012C17">
        <w:rPr>
          <w:color w:val="000000"/>
          <w:sz w:val="24"/>
        </w:rPr>
        <w:t xml:space="preserve">final </w:t>
      </w:r>
      <w:r w:rsidRPr="00012C17">
        <w:rPr>
          <w:color w:val="000000"/>
          <w:sz w:val="24"/>
        </w:rPr>
        <w:t>result</w:t>
      </w:r>
      <w:r w:rsidR="005E6811" w:rsidRPr="00012C17">
        <w:rPr>
          <w:color w:val="000000"/>
          <w:sz w:val="24"/>
        </w:rPr>
        <w:t>s</w:t>
      </w:r>
      <w:r w:rsidRPr="00012C17">
        <w:rPr>
          <w:color w:val="000000"/>
          <w:sz w:val="24"/>
        </w:rPr>
        <w:t xml:space="preserve"> announced by the CEC</w:t>
      </w:r>
      <w:r w:rsidR="00A6162A" w:rsidRPr="00012C17">
        <w:rPr>
          <w:color w:val="000000"/>
          <w:sz w:val="24"/>
        </w:rPr>
        <w:t xml:space="preserve">. </w:t>
      </w:r>
    </w:p>
    <w:p w:rsidR="00752325" w:rsidRPr="00012C17" w:rsidRDefault="00752325" w:rsidP="001B11C5">
      <w:pPr>
        <w:spacing w:line="240" w:lineRule="auto"/>
        <w:ind w:left="540"/>
        <w:rPr>
          <w:rFonts w:cs="Arial"/>
          <w:color w:val="000000"/>
          <w:sz w:val="24"/>
        </w:rPr>
      </w:pPr>
    </w:p>
    <w:p w:rsidR="003C49C2" w:rsidRPr="00012C17" w:rsidRDefault="007339D6" w:rsidP="001B11C5">
      <w:pPr>
        <w:numPr>
          <w:ilvl w:val="0"/>
          <w:numId w:val="1"/>
        </w:numPr>
        <w:spacing w:line="240" w:lineRule="auto"/>
        <w:ind w:left="630" w:hanging="630"/>
        <w:rPr>
          <w:rFonts w:cs="Arial"/>
          <w:color w:val="000000"/>
          <w:sz w:val="24"/>
        </w:rPr>
      </w:pPr>
      <w:r w:rsidRPr="00012C17">
        <w:rPr>
          <w:color w:val="000000"/>
          <w:sz w:val="24"/>
        </w:rPr>
        <w:t xml:space="preserve">The ECAP also referred </w:t>
      </w:r>
      <w:r w:rsidR="00B13B47" w:rsidRPr="00012C17">
        <w:rPr>
          <w:color w:val="000000"/>
          <w:sz w:val="24"/>
        </w:rPr>
        <w:t xml:space="preserve">to </w:t>
      </w:r>
      <w:r w:rsidRPr="00012C17">
        <w:rPr>
          <w:color w:val="000000"/>
          <w:sz w:val="24"/>
        </w:rPr>
        <w:t xml:space="preserve">the </w:t>
      </w:r>
      <w:r w:rsidR="002A550C" w:rsidRPr="00012C17">
        <w:rPr>
          <w:color w:val="000000"/>
          <w:sz w:val="24"/>
        </w:rPr>
        <w:t xml:space="preserve">response to </w:t>
      </w:r>
      <w:r w:rsidRPr="00012C17">
        <w:rPr>
          <w:color w:val="000000"/>
          <w:sz w:val="24"/>
        </w:rPr>
        <w:t xml:space="preserve">CEC to the </w:t>
      </w:r>
      <w:r w:rsidR="006F168E" w:rsidRPr="00012C17">
        <w:rPr>
          <w:color w:val="000000"/>
          <w:sz w:val="24"/>
        </w:rPr>
        <w:t>complaint</w:t>
      </w:r>
      <w:r w:rsidRPr="00012C17">
        <w:rPr>
          <w:color w:val="000000"/>
          <w:sz w:val="24"/>
        </w:rPr>
        <w:t xml:space="preserve"> of the </w:t>
      </w:r>
      <w:r w:rsidR="00026B3C" w:rsidRPr="00012C17">
        <w:rPr>
          <w:color w:val="000000"/>
          <w:sz w:val="24"/>
        </w:rPr>
        <w:t>A</w:t>
      </w:r>
      <w:r w:rsidRPr="00012C17">
        <w:rPr>
          <w:color w:val="000000"/>
          <w:sz w:val="24"/>
        </w:rPr>
        <w:t xml:space="preserve">pplicants </w:t>
      </w:r>
      <w:r w:rsidR="00B13B47" w:rsidRPr="00012C17">
        <w:rPr>
          <w:color w:val="000000"/>
          <w:sz w:val="24"/>
        </w:rPr>
        <w:t xml:space="preserve">through </w:t>
      </w:r>
      <w:r w:rsidR="00026B3C" w:rsidRPr="00012C17">
        <w:rPr>
          <w:color w:val="000000"/>
          <w:sz w:val="24"/>
        </w:rPr>
        <w:t>which</w:t>
      </w:r>
      <w:r w:rsidRPr="00012C17">
        <w:rPr>
          <w:color w:val="000000"/>
          <w:sz w:val="24"/>
        </w:rPr>
        <w:t xml:space="preserve"> the CEC </w:t>
      </w:r>
      <w:r w:rsidR="00026B3C" w:rsidRPr="00012C17">
        <w:rPr>
          <w:rFonts w:cs="Arial"/>
          <w:color w:val="000000"/>
          <w:sz w:val="24"/>
        </w:rPr>
        <w:t>emphasized</w:t>
      </w:r>
      <w:r w:rsidRPr="00012C17">
        <w:rPr>
          <w:color w:val="000000"/>
          <w:sz w:val="24"/>
        </w:rPr>
        <w:t xml:space="preserve"> that there is no legal basis for the </w:t>
      </w:r>
      <w:r w:rsidR="00026B3C" w:rsidRPr="00012C17">
        <w:rPr>
          <w:color w:val="000000"/>
          <w:sz w:val="24"/>
        </w:rPr>
        <w:t>Applicants’ allegations</w:t>
      </w:r>
      <w:r w:rsidRPr="00012C17">
        <w:rPr>
          <w:color w:val="000000"/>
          <w:sz w:val="24"/>
        </w:rPr>
        <w:t xml:space="preserve"> </w:t>
      </w:r>
      <w:r w:rsidRPr="00012C17">
        <w:rPr>
          <w:rFonts w:cs="Arial"/>
          <w:color w:val="000000"/>
          <w:sz w:val="24"/>
        </w:rPr>
        <w:t>that</w:t>
      </w:r>
      <w:r w:rsidRPr="00012C17">
        <w:rPr>
          <w:color w:val="000000"/>
          <w:sz w:val="24"/>
        </w:rPr>
        <w:t xml:space="preserve"> </w:t>
      </w:r>
      <w:r w:rsidR="00026B3C" w:rsidRPr="00012C17">
        <w:rPr>
          <w:color w:val="000000"/>
          <w:sz w:val="24"/>
        </w:rPr>
        <w:t xml:space="preserve">the invalid and </w:t>
      </w:r>
      <w:r w:rsidR="004624A1" w:rsidRPr="00012C17">
        <w:rPr>
          <w:color w:val="000000"/>
          <w:sz w:val="24"/>
        </w:rPr>
        <w:t>blank</w:t>
      </w:r>
      <w:r w:rsidR="00026B3C" w:rsidRPr="00012C17">
        <w:rPr>
          <w:color w:val="000000"/>
          <w:sz w:val="24"/>
        </w:rPr>
        <w:t xml:space="preserve"> ballot papers</w:t>
      </w:r>
      <w:r w:rsidRPr="00012C17">
        <w:rPr>
          <w:color w:val="000000"/>
          <w:sz w:val="24"/>
        </w:rPr>
        <w:t xml:space="preserve"> may be considered as </w:t>
      </w:r>
      <w:r w:rsidR="005E6811" w:rsidRPr="00012C17">
        <w:rPr>
          <w:color w:val="000000"/>
          <w:sz w:val="24"/>
        </w:rPr>
        <w:t>an evidence for recount</w:t>
      </w:r>
      <w:r w:rsidRPr="00012C17">
        <w:rPr>
          <w:color w:val="000000"/>
          <w:sz w:val="24"/>
        </w:rPr>
        <w:t xml:space="preserve">. According to the CEC, this is because the members of the Polling Station Council sign </w:t>
      </w:r>
      <w:r w:rsidR="007F3190" w:rsidRPr="00012C17">
        <w:rPr>
          <w:color w:val="000000"/>
          <w:sz w:val="24"/>
        </w:rPr>
        <w:t>the Final Result Form</w:t>
      </w:r>
      <w:r w:rsidR="005E6811" w:rsidRPr="00012C17">
        <w:rPr>
          <w:color w:val="000000"/>
          <w:sz w:val="24"/>
        </w:rPr>
        <w:t>s</w:t>
      </w:r>
      <w:r w:rsidR="007F3190" w:rsidRPr="00012C17">
        <w:rPr>
          <w:color w:val="000000"/>
          <w:sz w:val="24"/>
        </w:rPr>
        <w:t xml:space="preserve"> (</w:t>
      </w:r>
      <w:r w:rsidR="00EA0A33" w:rsidRPr="00012C17">
        <w:rPr>
          <w:color w:val="000000"/>
          <w:sz w:val="24"/>
        </w:rPr>
        <w:t>FRF) and the Candidate Result Forms (CRF) after</w:t>
      </w:r>
      <w:r w:rsidRPr="00012C17">
        <w:rPr>
          <w:color w:val="000000"/>
          <w:sz w:val="24"/>
        </w:rPr>
        <w:t xml:space="preserve"> the end of voting and counting, and this means that at the moment of signing the above mentioned forms, the </w:t>
      </w:r>
      <w:r w:rsidR="00EA0A33" w:rsidRPr="00012C17">
        <w:rPr>
          <w:color w:val="000000"/>
          <w:sz w:val="24"/>
        </w:rPr>
        <w:t xml:space="preserve">Polling Station Council </w:t>
      </w:r>
      <w:r w:rsidRPr="00012C17">
        <w:rPr>
          <w:color w:val="000000"/>
          <w:sz w:val="24"/>
        </w:rPr>
        <w:t>agrees to conclude the process</w:t>
      </w:r>
      <w:r w:rsidR="003C49C2" w:rsidRPr="00012C17">
        <w:rPr>
          <w:color w:val="000000"/>
          <w:sz w:val="24"/>
        </w:rPr>
        <w:t>.</w:t>
      </w:r>
    </w:p>
    <w:p w:rsidR="003C49C2" w:rsidRPr="00012C17" w:rsidRDefault="003C49C2" w:rsidP="001B11C5">
      <w:pPr>
        <w:spacing w:line="240" w:lineRule="auto"/>
        <w:ind w:left="540"/>
        <w:rPr>
          <w:rFonts w:cs="Arial"/>
          <w:color w:val="000000"/>
          <w:sz w:val="24"/>
        </w:rPr>
      </w:pPr>
    </w:p>
    <w:p w:rsidR="002F7067" w:rsidRPr="00012C17" w:rsidRDefault="007339D6" w:rsidP="001B11C5">
      <w:pPr>
        <w:numPr>
          <w:ilvl w:val="0"/>
          <w:numId w:val="1"/>
        </w:numPr>
        <w:spacing w:line="240" w:lineRule="auto"/>
        <w:ind w:left="630" w:hanging="630"/>
        <w:rPr>
          <w:rFonts w:cs="Arial"/>
          <w:color w:val="000000"/>
          <w:sz w:val="24"/>
        </w:rPr>
      </w:pPr>
      <w:r w:rsidRPr="00012C17">
        <w:rPr>
          <w:rFonts w:cs="Arial"/>
          <w:color w:val="000000"/>
          <w:sz w:val="24"/>
        </w:rPr>
        <w:lastRenderedPageBreak/>
        <w:t xml:space="preserve">On 5 December 2017, the Applicants filed </w:t>
      </w:r>
      <w:r w:rsidR="00026B3C" w:rsidRPr="00012C17">
        <w:rPr>
          <w:rFonts w:cs="Arial"/>
          <w:color w:val="000000"/>
          <w:sz w:val="24"/>
        </w:rPr>
        <w:t>an appeal</w:t>
      </w:r>
      <w:r w:rsidRPr="00012C17">
        <w:rPr>
          <w:rFonts w:cs="Arial"/>
          <w:color w:val="000000"/>
          <w:sz w:val="24"/>
        </w:rPr>
        <w:t xml:space="preserve"> with the Supreme Court against the </w:t>
      </w:r>
      <w:r w:rsidR="00026B3C" w:rsidRPr="00012C17">
        <w:rPr>
          <w:rFonts w:cs="Arial"/>
          <w:color w:val="000000"/>
          <w:sz w:val="24"/>
        </w:rPr>
        <w:t>Decision</w:t>
      </w:r>
      <w:r w:rsidRPr="00012C17">
        <w:rPr>
          <w:rFonts w:cs="Arial"/>
          <w:color w:val="000000"/>
          <w:sz w:val="24"/>
        </w:rPr>
        <w:t xml:space="preserve"> [ZL.</w:t>
      </w:r>
      <w:r w:rsidR="00026B3C" w:rsidRPr="00012C17">
        <w:rPr>
          <w:rFonts w:cs="Arial"/>
          <w:color w:val="000000"/>
          <w:sz w:val="24"/>
        </w:rPr>
        <w:t xml:space="preserve"> </w:t>
      </w:r>
      <w:r w:rsidRPr="00012C17">
        <w:rPr>
          <w:rFonts w:cs="Arial"/>
          <w:color w:val="000000"/>
          <w:sz w:val="24"/>
        </w:rPr>
        <w:t>A</w:t>
      </w:r>
      <w:r w:rsidR="00460F9F" w:rsidRPr="00012C17">
        <w:rPr>
          <w:rFonts w:cs="Arial"/>
          <w:color w:val="000000"/>
          <w:sz w:val="24"/>
        </w:rPr>
        <w:t xml:space="preserve">. </w:t>
      </w:r>
      <w:r w:rsidRPr="00012C17">
        <w:rPr>
          <w:rFonts w:cs="Arial"/>
          <w:color w:val="000000"/>
          <w:sz w:val="24"/>
        </w:rPr>
        <w:t>n</w:t>
      </w:r>
      <w:r w:rsidR="00026B3C" w:rsidRPr="00012C17">
        <w:rPr>
          <w:rFonts w:cs="Arial"/>
          <w:color w:val="000000"/>
          <w:sz w:val="24"/>
        </w:rPr>
        <w:t>o</w:t>
      </w:r>
      <w:r w:rsidRPr="00012C17">
        <w:rPr>
          <w:rFonts w:cs="Arial"/>
          <w:color w:val="000000"/>
          <w:sz w:val="24"/>
        </w:rPr>
        <w:t>.</w:t>
      </w:r>
      <w:r w:rsidR="00026B3C" w:rsidRPr="00012C17">
        <w:rPr>
          <w:rFonts w:cs="Arial"/>
          <w:color w:val="000000"/>
          <w:sz w:val="24"/>
        </w:rPr>
        <w:t xml:space="preserve"> </w:t>
      </w:r>
      <w:r w:rsidRPr="00012C17">
        <w:rPr>
          <w:rFonts w:cs="Arial"/>
          <w:color w:val="000000"/>
          <w:sz w:val="24"/>
        </w:rPr>
        <w:t>11</w:t>
      </w:r>
      <w:r w:rsidR="00026B3C" w:rsidRPr="00012C17">
        <w:rPr>
          <w:rFonts w:cs="Arial"/>
          <w:color w:val="000000"/>
          <w:sz w:val="24"/>
        </w:rPr>
        <w:t>25/</w:t>
      </w:r>
      <w:r w:rsidRPr="00012C17">
        <w:rPr>
          <w:rFonts w:cs="Arial"/>
          <w:color w:val="000000"/>
          <w:sz w:val="24"/>
        </w:rPr>
        <w:t xml:space="preserve">2017] </w:t>
      </w:r>
      <w:r w:rsidR="00026B3C" w:rsidRPr="00012C17">
        <w:rPr>
          <w:rFonts w:cs="Arial"/>
          <w:color w:val="000000"/>
          <w:sz w:val="24"/>
        </w:rPr>
        <w:t>of</w:t>
      </w:r>
      <w:r w:rsidRPr="00012C17">
        <w:rPr>
          <w:rFonts w:cs="Arial"/>
          <w:color w:val="000000"/>
          <w:sz w:val="24"/>
        </w:rPr>
        <w:t xml:space="preserve"> 1 December 2017 of the ECAP. In their appeal, the Applicants</w:t>
      </w:r>
      <w:r w:rsidR="002A1665" w:rsidRPr="00012C17">
        <w:rPr>
          <w:rFonts w:cs="Arial"/>
          <w:color w:val="000000"/>
          <w:sz w:val="24"/>
        </w:rPr>
        <w:t>’</w:t>
      </w:r>
      <w:r w:rsidRPr="00012C17">
        <w:rPr>
          <w:rFonts w:cs="Arial"/>
          <w:color w:val="000000"/>
          <w:sz w:val="24"/>
        </w:rPr>
        <w:t xml:space="preserve"> raised three categories of </w:t>
      </w:r>
      <w:r w:rsidR="002A1665" w:rsidRPr="00012C17">
        <w:rPr>
          <w:rFonts w:cs="Arial"/>
          <w:color w:val="000000"/>
          <w:sz w:val="24"/>
        </w:rPr>
        <w:t>issues</w:t>
      </w:r>
      <w:r w:rsidRPr="00012C17">
        <w:rPr>
          <w:rFonts w:cs="Arial"/>
          <w:color w:val="000000"/>
          <w:sz w:val="24"/>
        </w:rPr>
        <w:t xml:space="preserve">, </w:t>
      </w:r>
      <w:r w:rsidR="00026B3C" w:rsidRPr="00012C17">
        <w:rPr>
          <w:rFonts w:cs="Arial"/>
          <w:color w:val="000000"/>
          <w:sz w:val="24"/>
        </w:rPr>
        <w:t>namely</w:t>
      </w:r>
      <w:r w:rsidRPr="00012C17">
        <w:rPr>
          <w:rFonts w:cs="Arial"/>
          <w:color w:val="000000"/>
          <w:sz w:val="24"/>
        </w:rPr>
        <w:t xml:space="preserve"> </w:t>
      </w:r>
      <w:r w:rsidR="00026B3C" w:rsidRPr="00012C17">
        <w:rPr>
          <w:rFonts w:cs="Arial"/>
          <w:color w:val="000000"/>
          <w:sz w:val="24"/>
        </w:rPr>
        <w:t>the appealing allegations</w:t>
      </w:r>
      <w:r w:rsidRPr="00012C17">
        <w:rPr>
          <w:rFonts w:cs="Arial"/>
          <w:color w:val="000000"/>
          <w:sz w:val="24"/>
        </w:rPr>
        <w:t xml:space="preserve"> against the ECA</w:t>
      </w:r>
      <w:r w:rsidR="005E6811" w:rsidRPr="00012C17">
        <w:rPr>
          <w:rFonts w:cs="Arial"/>
          <w:color w:val="000000"/>
          <w:sz w:val="24"/>
        </w:rPr>
        <w:t>P</w:t>
      </w:r>
      <w:r w:rsidRPr="00012C17">
        <w:rPr>
          <w:rFonts w:cs="Arial"/>
          <w:color w:val="000000"/>
          <w:sz w:val="24"/>
        </w:rPr>
        <w:t xml:space="preserve"> Decision. The first category of </w:t>
      </w:r>
      <w:r w:rsidR="00026B3C" w:rsidRPr="00012C17">
        <w:rPr>
          <w:rFonts w:cs="Arial"/>
          <w:color w:val="000000"/>
          <w:sz w:val="24"/>
        </w:rPr>
        <w:t>the allegations</w:t>
      </w:r>
      <w:r w:rsidRPr="00012C17">
        <w:rPr>
          <w:rFonts w:cs="Arial"/>
          <w:color w:val="000000"/>
          <w:sz w:val="24"/>
        </w:rPr>
        <w:t xml:space="preserve"> of the </w:t>
      </w:r>
      <w:r w:rsidR="00026B3C" w:rsidRPr="00012C17">
        <w:rPr>
          <w:rFonts w:cs="Arial"/>
          <w:color w:val="000000"/>
          <w:sz w:val="24"/>
        </w:rPr>
        <w:t>Applicants</w:t>
      </w:r>
      <w:r w:rsidRPr="00012C17">
        <w:rPr>
          <w:rFonts w:cs="Arial"/>
          <w:color w:val="000000"/>
          <w:sz w:val="24"/>
        </w:rPr>
        <w:t xml:space="preserve"> </w:t>
      </w:r>
      <w:r w:rsidR="005E6811" w:rsidRPr="00012C17">
        <w:rPr>
          <w:rFonts w:cs="Arial"/>
          <w:color w:val="000000"/>
          <w:sz w:val="24"/>
        </w:rPr>
        <w:t>concerned</w:t>
      </w:r>
      <w:r w:rsidRPr="00012C17">
        <w:rPr>
          <w:rFonts w:cs="Arial"/>
          <w:color w:val="000000"/>
          <w:sz w:val="24"/>
        </w:rPr>
        <w:t xml:space="preserve"> the fact that, according to them, the ECAP had not </w:t>
      </w:r>
      <w:r w:rsidR="00026B3C" w:rsidRPr="00012C17">
        <w:rPr>
          <w:rFonts w:cs="Arial"/>
          <w:color w:val="000000"/>
          <w:sz w:val="24"/>
        </w:rPr>
        <w:t>assessed at all</w:t>
      </w:r>
      <w:r w:rsidRPr="00012C17">
        <w:rPr>
          <w:rFonts w:cs="Arial"/>
          <w:color w:val="000000"/>
          <w:sz w:val="24"/>
        </w:rPr>
        <w:t xml:space="preserve"> their claim as to the allegedly unlawful influence on the will of the voters exercised by </w:t>
      </w:r>
      <w:r w:rsidR="00F05E0A" w:rsidRPr="00012C17">
        <w:rPr>
          <w:rFonts w:cs="Arial"/>
          <w:color w:val="000000"/>
          <w:sz w:val="24"/>
        </w:rPr>
        <w:t>VETËVENDOSJE! Movement</w:t>
      </w:r>
      <w:r w:rsidRPr="00012C17">
        <w:rPr>
          <w:rFonts w:cs="Arial"/>
          <w:color w:val="000000"/>
          <w:sz w:val="24"/>
        </w:rPr>
        <w:t xml:space="preserve"> through, among other things, the transport of voters</w:t>
      </w:r>
      <w:r w:rsidR="00D359F8" w:rsidRPr="00012C17">
        <w:rPr>
          <w:rFonts w:cs="Arial"/>
          <w:color w:val="000000"/>
          <w:sz w:val="24"/>
        </w:rPr>
        <w:t>,</w:t>
      </w:r>
      <w:r w:rsidRPr="00012C17">
        <w:rPr>
          <w:rFonts w:cs="Arial"/>
          <w:color w:val="000000"/>
          <w:sz w:val="24"/>
        </w:rPr>
        <w:t xml:space="preserve"> telephone calls and sending sms. The Applicants </w:t>
      </w:r>
      <w:r w:rsidR="00026B3C" w:rsidRPr="00012C17">
        <w:rPr>
          <w:rFonts w:cs="Arial"/>
          <w:color w:val="000000"/>
          <w:sz w:val="24"/>
        </w:rPr>
        <w:t>challenge</w:t>
      </w:r>
      <w:r w:rsidRPr="00012C17">
        <w:rPr>
          <w:rFonts w:cs="Arial"/>
          <w:color w:val="000000"/>
          <w:sz w:val="24"/>
        </w:rPr>
        <w:t xml:space="preserve"> the fact that the ECAP declared this </w:t>
      </w:r>
      <w:r w:rsidR="00026B3C" w:rsidRPr="00012C17">
        <w:rPr>
          <w:rFonts w:cs="Arial"/>
          <w:color w:val="000000"/>
          <w:sz w:val="24"/>
        </w:rPr>
        <w:t>appeal</w:t>
      </w:r>
      <w:r w:rsidRPr="00012C17">
        <w:rPr>
          <w:rFonts w:cs="Arial"/>
          <w:color w:val="000000"/>
          <w:sz w:val="24"/>
        </w:rPr>
        <w:t xml:space="preserve"> as inadmissible </w:t>
      </w:r>
      <w:r w:rsidR="00026B3C" w:rsidRPr="00012C17">
        <w:rPr>
          <w:rFonts w:cs="Arial"/>
          <w:color w:val="000000"/>
          <w:sz w:val="24"/>
        </w:rPr>
        <w:t>based on</w:t>
      </w:r>
      <w:r w:rsidRPr="00012C17">
        <w:rPr>
          <w:rFonts w:cs="Arial"/>
          <w:color w:val="000000"/>
          <w:sz w:val="24"/>
        </w:rPr>
        <w:t xml:space="preserve"> the </w:t>
      </w:r>
      <w:r w:rsidR="00026B3C" w:rsidRPr="00012C17">
        <w:rPr>
          <w:rFonts w:cs="Arial"/>
          <w:color w:val="000000"/>
          <w:sz w:val="24"/>
        </w:rPr>
        <w:t>LGE</w:t>
      </w:r>
      <w:r w:rsidRPr="00012C17">
        <w:rPr>
          <w:rFonts w:cs="Arial"/>
          <w:color w:val="000000"/>
          <w:sz w:val="24"/>
        </w:rPr>
        <w:t xml:space="preserve"> provisions, </w:t>
      </w:r>
      <w:r w:rsidR="00026B3C" w:rsidRPr="00012C17">
        <w:rPr>
          <w:rFonts w:cs="Arial"/>
          <w:color w:val="000000"/>
          <w:sz w:val="24"/>
        </w:rPr>
        <w:t>reasoning</w:t>
      </w:r>
      <w:r w:rsidRPr="00012C17">
        <w:rPr>
          <w:rFonts w:cs="Arial"/>
          <w:color w:val="000000"/>
          <w:sz w:val="24"/>
        </w:rPr>
        <w:t xml:space="preserve"> that </w:t>
      </w:r>
      <w:r w:rsidR="00026B3C" w:rsidRPr="00012C17">
        <w:rPr>
          <w:rFonts w:cs="Arial"/>
          <w:color w:val="000000"/>
          <w:sz w:val="24"/>
        </w:rPr>
        <w:t>appeals</w:t>
      </w:r>
      <w:r w:rsidRPr="00012C17">
        <w:rPr>
          <w:rFonts w:cs="Arial"/>
          <w:color w:val="000000"/>
          <w:sz w:val="24"/>
        </w:rPr>
        <w:t xml:space="preserve"> relating to the voting day should be filed within 24 hours, but the Applicants claim that the event was made known one hour after the deadline within which they could </w:t>
      </w:r>
      <w:r w:rsidR="00026B3C" w:rsidRPr="00012C17">
        <w:rPr>
          <w:rFonts w:cs="Arial"/>
          <w:color w:val="000000"/>
          <w:sz w:val="24"/>
        </w:rPr>
        <w:t>file appeal</w:t>
      </w:r>
      <w:r w:rsidRPr="00012C17">
        <w:rPr>
          <w:rFonts w:cs="Arial"/>
          <w:color w:val="000000"/>
          <w:sz w:val="24"/>
        </w:rPr>
        <w:t xml:space="preserve"> </w:t>
      </w:r>
      <w:r w:rsidR="00026B3C" w:rsidRPr="00012C17">
        <w:rPr>
          <w:rFonts w:cs="Arial"/>
          <w:color w:val="000000"/>
          <w:sz w:val="24"/>
        </w:rPr>
        <w:t>regarding the</w:t>
      </w:r>
      <w:r w:rsidRPr="00012C17">
        <w:rPr>
          <w:rFonts w:cs="Arial"/>
          <w:color w:val="000000"/>
          <w:sz w:val="24"/>
        </w:rPr>
        <w:t xml:space="preserve"> issues pertaining to the voting day. The second category of </w:t>
      </w:r>
      <w:r w:rsidR="00026B3C" w:rsidRPr="00012C17">
        <w:rPr>
          <w:rFonts w:cs="Arial"/>
          <w:color w:val="000000"/>
          <w:sz w:val="24"/>
        </w:rPr>
        <w:t>the allegations</w:t>
      </w:r>
      <w:r w:rsidRPr="00012C17">
        <w:rPr>
          <w:rFonts w:cs="Arial"/>
          <w:color w:val="000000"/>
          <w:sz w:val="24"/>
        </w:rPr>
        <w:t xml:space="preserve"> of the Applicants concerned invalid </w:t>
      </w:r>
      <w:r w:rsidR="00026B3C" w:rsidRPr="00012C17">
        <w:rPr>
          <w:rFonts w:cs="Arial"/>
          <w:color w:val="000000"/>
          <w:sz w:val="24"/>
        </w:rPr>
        <w:t>ballot papers</w:t>
      </w:r>
      <w:r w:rsidRPr="00012C17">
        <w:rPr>
          <w:rFonts w:cs="Arial"/>
          <w:color w:val="000000"/>
          <w:sz w:val="24"/>
        </w:rPr>
        <w:t xml:space="preserve">, </w:t>
      </w:r>
      <w:r w:rsidR="00D359F8" w:rsidRPr="00012C17">
        <w:rPr>
          <w:rFonts w:cs="Arial"/>
          <w:color w:val="000000"/>
          <w:sz w:val="24"/>
        </w:rPr>
        <w:t>on</w:t>
      </w:r>
      <w:r w:rsidRPr="00012C17">
        <w:rPr>
          <w:rFonts w:cs="Arial"/>
          <w:color w:val="000000"/>
          <w:sz w:val="24"/>
        </w:rPr>
        <w:t xml:space="preserve"> which, according to them, the ECAP had not decided at all. According to the Applicants, considering that the ECAP investigation resulted in the valid announ</w:t>
      </w:r>
      <w:r w:rsidR="00026B3C" w:rsidRPr="00012C17">
        <w:rPr>
          <w:rFonts w:cs="Arial"/>
          <w:color w:val="000000"/>
          <w:sz w:val="24"/>
        </w:rPr>
        <w:t>cement of a number (4) of ballot papers</w:t>
      </w:r>
      <w:r w:rsidRPr="00012C17">
        <w:rPr>
          <w:rFonts w:cs="Arial"/>
          <w:color w:val="000000"/>
          <w:sz w:val="24"/>
        </w:rPr>
        <w:t xml:space="preserve"> which had been declared invalid </w:t>
      </w:r>
      <w:r w:rsidR="00026B3C" w:rsidRPr="00012C17">
        <w:rPr>
          <w:rFonts w:cs="Arial"/>
          <w:color w:val="000000"/>
          <w:sz w:val="24"/>
        </w:rPr>
        <w:t>previously</w:t>
      </w:r>
      <w:r w:rsidRPr="00012C17">
        <w:rPr>
          <w:rFonts w:cs="Arial"/>
          <w:color w:val="000000"/>
          <w:sz w:val="24"/>
        </w:rPr>
        <w:t>, it was important for the process and the accuracy of the final</w:t>
      </w:r>
      <w:r w:rsidR="00026B3C" w:rsidRPr="00012C17">
        <w:rPr>
          <w:rFonts w:cs="Arial"/>
          <w:color w:val="000000"/>
          <w:sz w:val="24"/>
        </w:rPr>
        <w:t xml:space="preserve"> results that all ballots be re</w:t>
      </w:r>
      <w:r w:rsidRPr="00012C17">
        <w:rPr>
          <w:rFonts w:cs="Arial"/>
          <w:color w:val="000000"/>
          <w:sz w:val="24"/>
        </w:rPr>
        <w:t xml:space="preserve">evaluated. The third category of </w:t>
      </w:r>
      <w:r w:rsidR="00026B3C" w:rsidRPr="00012C17">
        <w:rPr>
          <w:rFonts w:cs="Arial"/>
          <w:color w:val="000000"/>
          <w:sz w:val="24"/>
        </w:rPr>
        <w:t>the Applicants’ allegations</w:t>
      </w:r>
      <w:r w:rsidRPr="00012C17">
        <w:rPr>
          <w:rFonts w:cs="Arial"/>
          <w:color w:val="000000"/>
          <w:sz w:val="24"/>
        </w:rPr>
        <w:t xml:space="preserve"> concerned the opening of the envelopes </w:t>
      </w:r>
      <w:r w:rsidR="00DD2612" w:rsidRPr="00012C17">
        <w:rPr>
          <w:rFonts w:cs="Arial"/>
          <w:color w:val="000000"/>
          <w:sz w:val="24"/>
        </w:rPr>
        <w:t>of conditional votes</w:t>
      </w:r>
      <w:r w:rsidR="00D359F8" w:rsidRPr="00012C17">
        <w:rPr>
          <w:rFonts w:cs="Arial"/>
          <w:color w:val="000000"/>
          <w:sz w:val="24"/>
        </w:rPr>
        <w:t>,</w:t>
      </w:r>
      <w:r w:rsidRPr="00012C17">
        <w:rPr>
          <w:rFonts w:cs="Arial"/>
          <w:color w:val="000000"/>
          <w:sz w:val="24"/>
        </w:rPr>
        <w:t xml:space="preserve"> </w:t>
      </w:r>
      <w:r w:rsidR="00D359F8" w:rsidRPr="00012C17">
        <w:rPr>
          <w:rFonts w:cs="Arial"/>
          <w:color w:val="000000"/>
          <w:sz w:val="24"/>
        </w:rPr>
        <w:t>on</w:t>
      </w:r>
      <w:r w:rsidRPr="00012C17">
        <w:rPr>
          <w:rFonts w:cs="Arial"/>
          <w:color w:val="000000"/>
          <w:sz w:val="24"/>
        </w:rPr>
        <w:t xml:space="preserve"> which, according to the claim, the ECAP had not decided that they should be opened and checked - despite the fact that, according to them, their request for an explanation of the </w:t>
      </w:r>
      <w:r w:rsidR="00DD2612" w:rsidRPr="00012C17">
        <w:rPr>
          <w:rFonts w:cs="Arial"/>
          <w:color w:val="000000"/>
          <w:sz w:val="24"/>
        </w:rPr>
        <w:t>absence of ballot papers</w:t>
      </w:r>
      <w:r w:rsidRPr="00012C17">
        <w:rPr>
          <w:rFonts w:cs="Arial"/>
          <w:color w:val="000000"/>
          <w:sz w:val="24"/>
        </w:rPr>
        <w:t xml:space="preserve"> was completely </w:t>
      </w:r>
      <w:r w:rsidR="009B07E9" w:rsidRPr="00012C17">
        <w:rPr>
          <w:rFonts w:cs="Arial"/>
          <w:color w:val="000000"/>
          <w:sz w:val="24"/>
        </w:rPr>
        <w:t>lawful</w:t>
      </w:r>
      <w:r w:rsidRPr="00012C17">
        <w:rPr>
          <w:rFonts w:cs="Arial"/>
          <w:color w:val="000000"/>
          <w:sz w:val="24"/>
        </w:rPr>
        <w:t xml:space="preserve"> and re</w:t>
      </w:r>
      <w:r w:rsidR="00DD2612" w:rsidRPr="00012C17">
        <w:rPr>
          <w:rFonts w:cs="Arial"/>
          <w:color w:val="000000"/>
          <w:sz w:val="24"/>
        </w:rPr>
        <w:t>asonable considering the danger</w:t>
      </w:r>
      <w:r w:rsidRPr="00012C17">
        <w:rPr>
          <w:rFonts w:cs="Arial"/>
          <w:color w:val="000000"/>
          <w:sz w:val="24"/>
        </w:rPr>
        <w:t xml:space="preserve"> posed by the practice known as the </w:t>
      </w:r>
      <w:r w:rsidR="00DD2612" w:rsidRPr="00012C17">
        <w:rPr>
          <w:rFonts w:cs="Arial"/>
          <w:color w:val="000000"/>
          <w:sz w:val="24"/>
        </w:rPr>
        <w:t>“</w:t>
      </w:r>
      <w:r w:rsidRPr="00012C17">
        <w:rPr>
          <w:rFonts w:cs="Arial"/>
          <w:i/>
          <w:iCs/>
          <w:color w:val="000000"/>
          <w:sz w:val="24"/>
        </w:rPr>
        <w:t>Bulgarian train</w:t>
      </w:r>
      <w:r w:rsidR="00DD2612" w:rsidRPr="00012C17">
        <w:rPr>
          <w:rFonts w:cs="Arial"/>
          <w:color w:val="000000"/>
          <w:sz w:val="24"/>
        </w:rPr>
        <w:t>”</w:t>
      </w:r>
      <w:r w:rsidRPr="00012C17">
        <w:rPr>
          <w:rFonts w:cs="Arial"/>
          <w:color w:val="000000"/>
          <w:sz w:val="24"/>
        </w:rPr>
        <w:t>. The Applicants also alleged violations of their rights guaranteed by Article 45 of the Constitution, namely the right to be elected and to elect</w:t>
      </w:r>
      <w:r w:rsidR="009A0297" w:rsidRPr="00012C17">
        <w:rPr>
          <w:rFonts w:cs="Arial"/>
          <w:color w:val="000000"/>
          <w:sz w:val="24"/>
        </w:rPr>
        <w:t xml:space="preserve">. </w:t>
      </w:r>
    </w:p>
    <w:p w:rsidR="002F7067" w:rsidRPr="00012C17" w:rsidRDefault="002F7067" w:rsidP="001B11C5">
      <w:pPr>
        <w:spacing w:line="240" w:lineRule="auto"/>
        <w:ind w:left="540"/>
        <w:rPr>
          <w:rFonts w:cs="Arial"/>
          <w:color w:val="000000"/>
          <w:sz w:val="24"/>
        </w:rPr>
      </w:pPr>
    </w:p>
    <w:p w:rsidR="002F7067" w:rsidRPr="00012C17" w:rsidRDefault="007339D6" w:rsidP="001B11C5">
      <w:pPr>
        <w:numPr>
          <w:ilvl w:val="0"/>
          <w:numId w:val="1"/>
        </w:numPr>
        <w:spacing w:line="240" w:lineRule="auto"/>
        <w:ind w:left="630" w:hanging="630"/>
        <w:rPr>
          <w:rFonts w:cs="Arial"/>
          <w:color w:val="000000"/>
          <w:sz w:val="24"/>
        </w:rPr>
      </w:pPr>
      <w:r w:rsidRPr="00012C17">
        <w:rPr>
          <w:color w:val="000000"/>
          <w:sz w:val="24"/>
        </w:rPr>
        <w:t xml:space="preserve">The Applicants </w:t>
      </w:r>
      <w:r w:rsidRPr="00012C17">
        <w:rPr>
          <w:rFonts w:cs="Arial"/>
          <w:color w:val="000000"/>
          <w:sz w:val="24"/>
        </w:rPr>
        <w:t>requested</w:t>
      </w:r>
      <w:r w:rsidRPr="00012C17">
        <w:rPr>
          <w:color w:val="000000"/>
          <w:sz w:val="24"/>
        </w:rPr>
        <w:t xml:space="preserve"> the Supreme Court</w:t>
      </w:r>
      <w:r w:rsidR="006F168E" w:rsidRPr="00012C17">
        <w:rPr>
          <w:color w:val="000000"/>
          <w:sz w:val="24"/>
        </w:rPr>
        <w:t>:</w:t>
      </w:r>
      <w:r w:rsidRPr="00012C17">
        <w:rPr>
          <w:color w:val="000000"/>
          <w:sz w:val="24"/>
        </w:rPr>
        <w:t xml:space="preserve"> (i) to approve their appeal as grounded and to </w:t>
      </w:r>
      <w:r w:rsidR="00DD2612" w:rsidRPr="00012C17">
        <w:rPr>
          <w:color w:val="000000"/>
          <w:sz w:val="24"/>
        </w:rPr>
        <w:t>modify</w:t>
      </w:r>
      <w:r w:rsidRPr="00012C17">
        <w:rPr>
          <w:color w:val="000000"/>
          <w:sz w:val="24"/>
        </w:rPr>
        <w:t xml:space="preserve"> the </w:t>
      </w:r>
      <w:r w:rsidR="00DD2612" w:rsidRPr="00012C17">
        <w:rPr>
          <w:color w:val="000000"/>
          <w:sz w:val="24"/>
        </w:rPr>
        <w:t>challenged</w:t>
      </w:r>
      <w:r w:rsidRPr="00012C17">
        <w:rPr>
          <w:color w:val="000000"/>
          <w:sz w:val="24"/>
        </w:rPr>
        <w:t xml:space="preserve"> ECAP decision</w:t>
      </w:r>
      <w:r w:rsidR="00DD2612" w:rsidRPr="00012C17">
        <w:rPr>
          <w:color w:val="000000"/>
          <w:sz w:val="24"/>
        </w:rPr>
        <w:t>,</w:t>
      </w:r>
      <w:r w:rsidRPr="00012C17">
        <w:rPr>
          <w:color w:val="000000"/>
          <w:sz w:val="24"/>
        </w:rPr>
        <w:t xml:space="preserve"> </w:t>
      </w:r>
      <w:r w:rsidR="00DD2612" w:rsidRPr="00012C17">
        <w:rPr>
          <w:color w:val="000000"/>
          <w:sz w:val="24"/>
        </w:rPr>
        <w:t xml:space="preserve">so that </w:t>
      </w:r>
      <w:r w:rsidRPr="00012C17">
        <w:rPr>
          <w:color w:val="000000"/>
          <w:sz w:val="24"/>
        </w:rPr>
        <w:t>their re</w:t>
      </w:r>
      <w:r w:rsidR="00DD2612" w:rsidRPr="00012C17">
        <w:rPr>
          <w:color w:val="000000"/>
          <w:sz w:val="24"/>
        </w:rPr>
        <w:t>quest for recount of all ballot papers and re</w:t>
      </w:r>
      <w:r w:rsidRPr="00012C17">
        <w:rPr>
          <w:color w:val="000000"/>
          <w:sz w:val="24"/>
        </w:rPr>
        <w:t xml:space="preserve">evaluation </w:t>
      </w:r>
      <w:r w:rsidR="00DD2612" w:rsidRPr="00012C17">
        <w:rPr>
          <w:color w:val="000000"/>
          <w:sz w:val="24"/>
        </w:rPr>
        <w:t xml:space="preserve">of </w:t>
      </w:r>
      <w:r w:rsidRPr="00012C17">
        <w:rPr>
          <w:color w:val="000000"/>
          <w:sz w:val="24"/>
        </w:rPr>
        <w:t xml:space="preserve">invalid </w:t>
      </w:r>
      <w:r w:rsidR="00DD2612" w:rsidRPr="00012C17">
        <w:rPr>
          <w:color w:val="000000"/>
          <w:sz w:val="24"/>
        </w:rPr>
        <w:t xml:space="preserve">ballot papers </w:t>
      </w:r>
      <w:r w:rsidR="00EE4F87" w:rsidRPr="00012C17">
        <w:rPr>
          <w:color w:val="000000"/>
          <w:sz w:val="24"/>
        </w:rPr>
        <w:t>be approved</w:t>
      </w:r>
      <w:r w:rsidR="006F168E" w:rsidRPr="00012C17">
        <w:rPr>
          <w:color w:val="000000"/>
          <w:sz w:val="24"/>
        </w:rPr>
        <w:t>;</w:t>
      </w:r>
      <w:r w:rsidR="00EE4F87" w:rsidRPr="00012C17">
        <w:rPr>
          <w:color w:val="000000"/>
          <w:sz w:val="24"/>
        </w:rPr>
        <w:t xml:space="preserve"> </w:t>
      </w:r>
      <w:r w:rsidRPr="00012C17">
        <w:rPr>
          <w:color w:val="000000"/>
          <w:sz w:val="24"/>
        </w:rPr>
        <w:t xml:space="preserve">and (ii) </w:t>
      </w:r>
      <w:r w:rsidR="00EE4F87" w:rsidRPr="00012C17">
        <w:rPr>
          <w:color w:val="000000"/>
          <w:sz w:val="24"/>
        </w:rPr>
        <w:t xml:space="preserve">to </w:t>
      </w:r>
      <w:r w:rsidRPr="00012C17">
        <w:rPr>
          <w:color w:val="000000"/>
          <w:sz w:val="24"/>
        </w:rPr>
        <w:t xml:space="preserve">declare </w:t>
      </w:r>
      <w:r w:rsidR="00DD2612" w:rsidRPr="00012C17">
        <w:rPr>
          <w:rFonts w:cs="Arial"/>
          <w:color w:val="000000"/>
          <w:sz w:val="24"/>
        </w:rPr>
        <w:t>unlawful</w:t>
      </w:r>
      <w:r w:rsidR="00DD2612" w:rsidRPr="00012C17">
        <w:rPr>
          <w:color w:val="000000"/>
          <w:sz w:val="24"/>
        </w:rPr>
        <w:t xml:space="preserve"> </w:t>
      </w:r>
      <w:r w:rsidRPr="00012C17">
        <w:rPr>
          <w:color w:val="000000"/>
          <w:sz w:val="24"/>
        </w:rPr>
        <w:t xml:space="preserve">the transportation of citizens </w:t>
      </w:r>
      <w:r w:rsidR="009B07E9" w:rsidRPr="00012C17">
        <w:rPr>
          <w:color w:val="000000"/>
          <w:sz w:val="24"/>
        </w:rPr>
        <w:t>which</w:t>
      </w:r>
      <w:r w:rsidRPr="00012C17">
        <w:rPr>
          <w:color w:val="000000"/>
          <w:sz w:val="24"/>
        </w:rPr>
        <w:t xml:space="preserve">, </w:t>
      </w:r>
      <w:r w:rsidR="00DD2612" w:rsidRPr="00012C17">
        <w:rPr>
          <w:color w:val="000000"/>
          <w:sz w:val="24"/>
        </w:rPr>
        <w:t>according to the Applicants</w:t>
      </w:r>
      <w:r w:rsidRPr="00012C17">
        <w:rPr>
          <w:color w:val="000000"/>
          <w:sz w:val="24"/>
        </w:rPr>
        <w:t xml:space="preserve">, </w:t>
      </w:r>
      <w:r w:rsidR="00DD2612" w:rsidRPr="00012C17">
        <w:rPr>
          <w:color w:val="000000"/>
          <w:sz w:val="24"/>
        </w:rPr>
        <w:t>had</w:t>
      </w:r>
      <w:r w:rsidRPr="00012C17">
        <w:rPr>
          <w:color w:val="000000"/>
          <w:sz w:val="24"/>
        </w:rPr>
        <w:t xml:space="preserve"> general impact on the irregularity of the </w:t>
      </w:r>
      <w:r w:rsidR="009B07E9" w:rsidRPr="00012C17">
        <w:rPr>
          <w:rFonts w:cs="Arial"/>
          <w:color w:val="000000"/>
          <w:sz w:val="24"/>
        </w:rPr>
        <w:t xml:space="preserve">electoral </w:t>
      </w:r>
      <w:r w:rsidRPr="00012C17">
        <w:rPr>
          <w:color w:val="000000"/>
          <w:sz w:val="24"/>
        </w:rPr>
        <w:t xml:space="preserve">process and on the final results for the </w:t>
      </w:r>
      <w:r w:rsidR="00F32DC5" w:rsidRPr="00012C17">
        <w:rPr>
          <w:color w:val="000000"/>
          <w:sz w:val="24"/>
        </w:rPr>
        <w:t xml:space="preserve">Mayor </w:t>
      </w:r>
      <w:r w:rsidR="00DD2612" w:rsidRPr="00012C17">
        <w:rPr>
          <w:color w:val="000000"/>
          <w:sz w:val="24"/>
        </w:rPr>
        <w:t>of the Municipality</w:t>
      </w:r>
      <w:r w:rsidRPr="00012C17">
        <w:rPr>
          <w:color w:val="000000"/>
          <w:sz w:val="24"/>
        </w:rPr>
        <w:t xml:space="preserve"> of Pris</w:t>
      </w:r>
      <w:r w:rsidR="00DD2612" w:rsidRPr="00012C17">
        <w:rPr>
          <w:color w:val="000000"/>
          <w:sz w:val="24"/>
        </w:rPr>
        <w:t>h</w:t>
      </w:r>
      <w:r w:rsidRPr="00012C17">
        <w:rPr>
          <w:color w:val="000000"/>
          <w:sz w:val="24"/>
        </w:rPr>
        <w:t>tina</w:t>
      </w:r>
      <w:r w:rsidR="00A6162A" w:rsidRPr="00012C17">
        <w:rPr>
          <w:color w:val="000000"/>
          <w:sz w:val="24"/>
        </w:rPr>
        <w:t xml:space="preserve">. </w:t>
      </w:r>
    </w:p>
    <w:p w:rsidR="002F7067" w:rsidRPr="00012C17" w:rsidRDefault="002F7067" w:rsidP="001B11C5">
      <w:pPr>
        <w:spacing w:line="240" w:lineRule="auto"/>
        <w:rPr>
          <w:rFonts w:cs="Arial"/>
          <w:color w:val="000000"/>
          <w:sz w:val="24"/>
        </w:rPr>
      </w:pPr>
    </w:p>
    <w:p w:rsidR="002F7067" w:rsidRPr="00012C17" w:rsidRDefault="007339D6" w:rsidP="001B11C5">
      <w:pPr>
        <w:numPr>
          <w:ilvl w:val="0"/>
          <w:numId w:val="1"/>
        </w:numPr>
        <w:spacing w:line="240" w:lineRule="auto"/>
        <w:ind w:left="630" w:hanging="630"/>
        <w:rPr>
          <w:rFonts w:cs="Arial"/>
          <w:color w:val="000000"/>
          <w:sz w:val="24"/>
        </w:rPr>
      </w:pPr>
      <w:r w:rsidRPr="00012C17">
        <w:rPr>
          <w:rFonts w:ascii="Times New Roman" w:hAnsi="Times New Roman"/>
          <w:color w:val="000000"/>
          <w:sz w:val="24"/>
        </w:rPr>
        <w:t>​​</w:t>
      </w:r>
      <w:r w:rsidRPr="00012C17">
        <w:rPr>
          <w:rFonts w:cs="Georgia"/>
          <w:color w:val="000000"/>
          <w:sz w:val="24"/>
        </w:rPr>
        <w:t xml:space="preserve">On 7 December 2017, the Supreme Court issued its </w:t>
      </w:r>
      <w:r w:rsidR="009B07E9" w:rsidRPr="00012C17">
        <w:rPr>
          <w:rFonts w:cs="Georgia"/>
          <w:color w:val="000000"/>
          <w:sz w:val="24"/>
        </w:rPr>
        <w:t>s</w:t>
      </w:r>
      <w:r w:rsidR="00902AEF" w:rsidRPr="00012C17">
        <w:rPr>
          <w:rFonts w:cs="Georgia"/>
          <w:color w:val="000000"/>
          <w:sz w:val="24"/>
        </w:rPr>
        <w:t xml:space="preserve">econd Decision </w:t>
      </w:r>
      <w:r w:rsidRPr="00012C17">
        <w:rPr>
          <w:rFonts w:cs="Georgia"/>
          <w:color w:val="000000"/>
          <w:sz w:val="24"/>
        </w:rPr>
        <w:t>[A.A. U.ZH. No.</w:t>
      </w:r>
      <w:r w:rsidR="00672A75" w:rsidRPr="00012C17">
        <w:rPr>
          <w:rFonts w:cs="Georgia"/>
          <w:color w:val="000000"/>
          <w:sz w:val="24"/>
        </w:rPr>
        <w:t xml:space="preserve"> 62/</w:t>
      </w:r>
      <w:r w:rsidRPr="00012C17">
        <w:rPr>
          <w:rFonts w:cs="Georgia"/>
          <w:color w:val="000000"/>
          <w:sz w:val="24"/>
        </w:rPr>
        <w:t>2017],</w:t>
      </w:r>
      <w:r w:rsidR="006E52F9" w:rsidRPr="00012C17">
        <w:rPr>
          <w:rFonts w:cs="Georgia"/>
          <w:color w:val="000000"/>
          <w:sz w:val="24"/>
        </w:rPr>
        <w:t xml:space="preserve"> </w:t>
      </w:r>
      <w:r w:rsidRPr="00012C17">
        <w:rPr>
          <w:rFonts w:cs="Georgia"/>
          <w:color w:val="000000"/>
          <w:sz w:val="24"/>
        </w:rPr>
        <w:t xml:space="preserve">which </w:t>
      </w:r>
      <w:r w:rsidRPr="00012C17">
        <w:rPr>
          <w:rFonts w:cs="Arial"/>
          <w:color w:val="000000"/>
          <w:sz w:val="24"/>
        </w:rPr>
        <w:t>rejected</w:t>
      </w:r>
      <w:r w:rsidRPr="00012C17">
        <w:rPr>
          <w:rFonts w:cs="Georgia"/>
          <w:color w:val="000000"/>
          <w:sz w:val="24"/>
        </w:rPr>
        <w:t xml:space="preserve"> as ungrounded the Applicant's appeal an</w:t>
      </w:r>
      <w:r w:rsidRPr="00012C17">
        <w:rPr>
          <w:rFonts w:cs="Arial"/>
          <w:color w:val="000000"/>
          <w:sz w:val="24"/>
        </w:rPr>
        <w:t xml:space="preserve">d upheld </w:t>
      </w:r>
      <w:r w:rsidR="00672A75" w:rsidRPr="00012C17">
        <w:rPr>
          <w:rFonts w:cs="Arial"/>
          <w:color w:val="000000"/>
          <w:sz w:val="24"/>
        </w:rPr>
        <w:t>Decision</w:t>
      </w:r>
      <w:r w:rsidRPr="00012C17">
        <w:rPr>
          <w:rFonts w:cs="Arial"/>
          <w:color w:val="000000"/>
          <w:sz w:val="24"/>
        </w:rPr>
        <w:t xml:space="preserve"> [A.</w:t>
      </w:r>
      <w:r w:rsidR="00672A75" w:rsidRPr="00012C17">
        <w:rPr>
          <w:rFonts w:cs="Arial"/>
          <w:color w:val="000000"/>
          <w:sz w:val="24"/>
        </w:rPr>
        <w:t xml:space="preserve"> </w:t>
      </w:r>
      <w:r w:rsidRPr="00012C17">
        <w:rPr>
          <w:rFonts w:cs="Arial"/>
          <w:color w:val="000000"/>
          <w:sz w:val="24"/>
        </w:rPr>
        <w:t>ZL.</w:t>
      </w:r>
      <w:r w:rsidR="00672A75" w:rsidRPr="00012C17">
        <w:rPr>
          <w:rFonts w:cs="Arial"/>
          <w:color w:val="000000"/>
          <w:sz w:val="24"/>
        </w:rPr>
        <w:t xml:space="preserve"> No</w:t>
      </w:r>
      <w:r w:rsidRPr="00012C17">
        <w:rPr>
          <w:rFonts w:cs="Arial"/>
          <w:color w:val="000000"/>
          <w:sz w:val="24"/>
        </w:rPr>
        <w:t>.</w:t>
      </w:r>
      <w:r w:rsidR="00672A75" w:rsidRPr="00012C17">
        <w:rPr>
          <w:rFonts w:cs="Arial"/>
          <w:color w:val="000000"/>
          <w:sz w:val="24"/>
        </w:rPr>
        <w:t xml:space="preserve"> 1125/</w:t>
      </w:r>
      <w:r w:rsidRPr="00012C17">
        <w:rPr>
          <w:rFonts w:cs="Arial"/>
          <w:color w:val="000000"/>
          <w:sz w:val="24"/>
        </w:rPr>
        <w:t xml:space="preserve">2017] </w:t>
      </w:r>
      <w:r w:rsidR="00672A75" w:rsidRPr="00012C17">
        <w:rPr>
          <w:rFonts w:cs="Arial"/>
          <w:color w:val="000000"/>
          <w:sz w:val="24"/>
        </w:rPr>
        <w:t>of</w:t>
      </w:r>
      <w:r w:rsidRPr="00012C17">
        <w:rPr>
          <w:rFonts w:cs="Arial"/>
          <w:color w:val="000000"/>
          <w:sz w:val="24"/>
        </w:rPr>
        <w:t xml:space="preserve"> 1 December 2017</w:t>
      </w:r>
      <w:r w:rsidR="009B07E9" w:rsidRPr="00012C17">
        <w:rPr>
          <w:rFonts w:cs="Arial"/>
          <w:color w:val="000000"/>
          <w:sz w:val="24"/>
        </w:rPr>
        <w:t xml:space="preserve"> of the ECAP</w:t>
      </w:r>
      <w:r w:rsidRPr="00012C17">
        <w:rPr>
          <w:rFonts w:cs="Arial"/>
          <w:color w:val="000000"/>
          <w:sz w:val="24"/>
        </w:rPr>
        <w:t xml:space="preserve">. In this </w:t>
      </w:r>
      <w:r w:rsidR="00672A75" w:rsidRPr="00012C17">
        <w:rPr>
          <w:rFonts w:cs="Arial"/>
          <w:color w:val="000000"/>
          <w:sz w:val="24"/>
        </w:rPr>
        <w:t>respect</w:t>
      </w:r>
      <w:r w:rsidRPr="00012C17">
        <w:rPr>
          <w:rFonts w:cs="Arial"/>
          <w:color w:val="000000"/>
          <w:sz w:val="24"/>
        </w:rPr>
        <w:t xml:space="preserve">, as regards </w:t>
      </w:r>
      <w:r w:rsidR="00672A75" w:rsidRPr="00012C17">
        <w:rPr>
          <w:rFonts w:cs="Arial"/>
          <w:color w:val="000000"/>
          <w:sz w:val="24"/>
        </w:rPr>
        <w:t>item</w:t>
      </w:r>
      <w:r w:rsidRPr="00012C17">
        <w:rPr>
          <w:rFonts w:cs="Arial"/>
          <w:color w:val="000000"/>
          <w:sz w:val="24"/>
        </w:rPr>
        <w:t xml:space="preserve"> I of the enacting clause of the </w:t>
      </w:r>
      <w:r w:rsidR="00672A75" w:rsidRPr="00012C17">
        <w:rPr>
          <w:rFonts w:cs="Arial"/>
          <w:color w:val="000000"/>
          <w:sz w:val="24"/>
        </w:rPr>
        <w:t>challenged</w:t>
      </w:r>
      <w:r w:rsidRPr="00012C17">
        <w:rPr>
          <w:rFonts w:cs="Arial"/>
          <w:color w:val="000000"/>
          <w:sz w:val="24"/>
        </w:rPr>
        <w:t xml:space="preserve"> ECAP Decision, the Supreme Court considered that the ECAP had correctly </w:t>
      </w:r>
      <w:r w:rsidR="006F168E" w:rsidRPr="00012C17">
        <w:rPr>
          <w:rFonts w:cs="Arial"/>
          <w:color w:val="000000"/>
          <w:sz w:val="24"/>
        </w:rPr>
        <w:t>decided</w:t>
      </w:r>
      <w:r w:rsidRPr="00012C17">
        <w:rPr>
          <w:rFonts w:cs="Arial"/>
          <w:color w:val="000000"/>
          <w:sz w:val="24"/>
        </w:rPr>
        <w:t xml:space="preserve"> </w:t>
      </w:r>
      <w:r w:rsidR="00672A75" w:rsidRPr="00012C17">
        <w:rPr>
          <w:rFonts w:cs="Arial"/>
          <w:color w:val="000000"/>
          <w:sz w:val="24"/>
        </w:rPr>
        <w:t>when</w:t>
      </w:r>
      <w:r w:rsidRPr="00012C17">
        <w:rPr>
          <w:rFonts w:cs="Arial"/>
          <w:color w:val="000000"/>
          <w:sz w:val="24"/>
        </w:rPr>
        <w:t xml:space="preserve"> dismissing the Applicants' appeal as inadmissible. This is because, according to the Supreme Court, the deadline for </w:t>
      </w:r>
      <w:r w:rsidR="009B07E9" w:rsidRPr="00012C17">
        <w:rPr>
          <w:rFonts w:cs="Arial"/>
          <w:color w:val="000000"/>
          <w:sz w:val="24"/>
        </w:rPr>
        <w:t>complaining against</w:t>
      </w:r>
      <w:r w:rsidRPr="00012C17">
        <w:rPr>
          <w:rFonts w:cs="Arial"/>
          <w:color w:val="000000"/>
          <w:sz w:val="24"/>
        </w:rPr>
        <w:t xml:space="preserve"> irregularities related to the voting day had </w:t>
      </w:r>
      <w:r w:rsidR="00672A75" w:rsidRPr="00012C17">
        <w:rPr>
          <w:rFonts w:cs="Arial"/>
          <w:color w:val="000000"/>
          <w:sz w:val="24"/>
        </w:rPr>
        <w:t>expired</w:t>
      </w:r>
      <w:r w:rsidRPr="00012C17">
        <w:rPr>
          <w:rFonts w:cs="Arial"/>
          <w:color w:val="000000"/>
          <w:sz w:val="24"/>
        </w:rPr>
        <w:t xml:space="preserve">. As a consequence, the Supreme Court concluded that the ECAP had correctly </w:t>
      </w:r>
      <w:r w:rsidR="00672A75" w:rsidRPr="00012C17">
        <w:rPr>
          <w:rFonts w:cs="Arial"/>
          <w:color w:val="000000"/>
          <w:sz w:val="24"/>
        </w:rPr>
        <w:t>decided</w:t>
      </w:r>
      <w:r w:rsidRPr="00012C17">
        <w:rPr>
          <w:rFonts w:cs="Arial"/>
          <w:color w:val="000000"/>
          <w:sz w:val="24"/>
        </w:rPr>
        <w:t xml:space="preserve"> </w:t>
      </w:r>
      <w:r w:rsidR="00672A75" w:rsidRPr="00012C17">
        <w:rPr>
          <w:rFonts w:cs="Arial"/>
          <w:color w:val="000000"/>
          <w:sz w:val="24"/>
        </w:rPr>
        <w:t>when</w:t>
      </w:r>
      <w:r w:rsidRPr="00012C17">
        <w:rPr>
          <w:rFonts w:cs="Arial"/>
          <w:color w:val="000000"/>
          <w:sz w:val="24"/>
        </w:rPr>
        <w:t xml:space="preserve"> it rejected as inadmissible the Applicants' appeal, </w:t>
      </w:r>
      <w:r w:rsidR="00672A75" w:rsidRPr="00012C17">
        <w:rPr>
          <w:rFonts w:cs="Arial"/>
          <w:color w:val="000000"/>
          <w:sz w:val="24"/>
        </w:rPr>
        <w:t>as</w:t>
      </w:r>
      <w:r w:rsidRPr="00012C17">
        <w:rPr>
          <w:rFonts w:cs="Arial"/>
          <w:color w:val="000000"/>
          <w:sz w:val="24"/>
        </w:rPr>
        <w:t xml:space="preserve"> </w:t>
      </w:r>
      <w:r w:rsidR="00672A75" w:rsidRPr="00012C17">
        <w:rPr>
          <w:rFonts w:cs="Arial"/>
          <w:color w:val="000000"/>
          <w:sz w:val="24"/>
        </w:rPr>
        <w:t>based on</w:t>
      </w:r>
      <w:r w:rsidRPr="00012C17">
        <w:rPr>
          <w:rFonts w:cs="Arial"/>
          <w:color w:val="000000"/>
          <w:sz w:val="24"/>
        </w:rPr>
        <w:t xml:space="preserve"> Article 13 of the Law on </w:t>
      </w:r>
      <w:r w:rsidR="00672A75" w:rsidRPr="00012C17">
        <w:rPr>
          <w:rFonts w:cs="Arial"/>
          <w:color w:val="000000"/>
          <w:sz w:val="24"/>
        </w:rPr>
        <w:t>Amending</w:t>
      </w:r>
      <w:r w:rsidRPr="00012C17">
        <w:rPr>
          <w:rFonts w:cs="Arial"/>
          <w:color w:val="000000"/>
          <w:sz w:val="24"/>
        </w:rPr>
        <w:t xml:space="preserve"> and Supplement</w:t>
      </w:r>
      <w:r w:rsidR="00672A75" w:rsidRPr="00012C17">
        <w:rPr>
          <w:rFonts w:cs="Arial"/>
          <w:color w:val="000000"/>
          <w:sz w:val="24"/>
        </w:rPr>
        <w:t>ing the LGE</w:t>
      </w:r>
      <w:r w:rsidRPr="00012C17">
        <w:rPr>
          <w:rFonts w:cs="Arial"/>
          <w:color w:val="000000"/>
          <w:sz w:val="24"/>
        </w:rPr>
        <w:t xml:space="preserve"> in conjunction with Article 119 of the </w:t>
      </w:r>
      <w:r w:rsidR="00672A75" w:rsidRPr="00012C17">
        <w:rPr>
          <w:rFonts w:cs="Arial"/>
          <w:color w:val="000000"/>
          <w:sz w:val="24"/>
        </w:rPr>
        <w:t>LGE</w:t>
      </w:r>
      <w:r w:rsidRPr="00012C17">
        <w:rPr>
          <w:rFonts w:cs="Arial"/>
          <w:color w:val="000000"/>
          <w:sz w:val="24"/>
        </w:rPr>
        <w:t xml:space="preserve">, the deadline for the </w:t>
      </w:r>
      <w:r w:rsidR="00672A75" w:rsidRPr="00012C17">
        <w:rPr>
          <w:rFonts w:cs="Arial"/>
          <w:color w:val="000000"/>
          <w:sz w:val="24"/>
        </w:rPr>
        <w:t>appeal</w:t>
      </w:r>
      <w:r w:rsidRPr="00012C17">
        <w:rPr>
          <w:rFonts w:cs="Arial"/>
          <w:color w:val="000000"/>
          <w:sz w:val="24"/>
        </w:rPr>
        <w:t xml:space="preserve"> is 24 hours from the closure of the </w:t>
      </w:r>
      <w:r w:rsidR="00672A75" w:rsidRPr="00012C17">
        <w:rPr>
          <w:rFonts w:cs="Arial"/>
          <w:color w:val="000000"/>
          <w:sz w:val="24"/>
        </w:rPr>
        <w:t>voting centers</w:t>
      </w:r>
      <w:r w:rsidRPr="00012C17">
        <w:rPr>
          <w:rFonts w:cs="Arial"/>
          <w:color w:val="000000"/>
          <w:sz w:val="24"/>
        </w:rPr>
        <w:t>, and</w:t>
      </w:r>
      <w:r w:rsidR="00902AEF" w:rsidRPr="00012C17">
        <w:rPr>
          <w:rFonts w:cs="Arial"/>
          <w:color w:val="000000"/>
          <w:sz w:val="24"/>
        </w:rPr>
        <w:t>,</w:t>
      </w:r>
      <w:r w:rsidRPr="00012C17">
        <w:rPr>
          <w:rFonts w:cs="Arial"/>
          <w:color w:val="000000"/>
          <w:sz w:val="24"/>
        </w:rPr>
        <w:t xml:space="preserve"> therefore</w:t>
      </w:r>
      <w:r w:rsidR="00902AEF" w:rsidRPr="00012C17">
        <w:rPr>
          <w:rFonts w:cs="Arial"/>
          <w:color w:val="000000"/>
          <w:sz w:val="24"/>
        </w:rPr>
        <w:t>,</w:t>
      </w:r>
      <w:r w:rsidRPr="00012C17">
        <w:rPr>
          <w:rFonts w:cs="Arial"/>
          <w:color w:val="000000"/>
          <w:sz w:val="24"/>
        </w:rPr>
        <w:t xml:space="preserve"> the deadline for the appeal was 20 November 2017, at 19:00</w:t>
      </w:r>
      <w:r w:rsidR="00672A75" w:rsidRPr="00012C17">
        <w:rPr>
          <w:rFonts w:cs="Arial"/>
          <w:color w:val="000000"/>
          <w:sz w:val="24"/>
        </w:rPr>
        <w:t xml:space="preserve"> hrs</w:t>
      </w:r>
      <w:r w:rsidRPr="00012C17">
        <w:rPr>
          <w:rFonts w:cs="Arial"/>
          <w:color w:val="000000"/>
          <w:sz w:val="24"/>
        </w:rPr>
        <w:t xml:space="preserve">, </w:t>
      </w:r>
      <w:r w:rsidR="009B07E9" w:rsidRPr="00012C17">
        <w:rPr>
          <w:rFonts w:cs="Arial"/>
          <w:color w:val="000000"/>
          <w:sz w:val="24"/>
        </w:rPr>
        <w:t xml:space="preserve">whereas </w:t>
      </w:r>
      <w:r w:rsidR="00E27A8F" w:rsidRPr="00012C17">
        <w:rPr>
          <w:rFonts w:cs="Arial"/>
          <w:color w:val="000000"/>
          <w:sz w:val="24"/>
        </w:rPr>
        <w:t>these allegations were</w:t>
      </w:r>
      <w:r w:rsidRPr="00012C17">
        <w:rPr>
          <w:rFonts w:cs="Arial"/>
          <w:color w:val="000000"/>
          <w:sz w:val="24"/>
        </w:rPr>
        <w:t xml:space="preserve"> filed after 10 days, </w:t>
      </w:r>
      <w:r w:rsidR="00672A75" w:rsidRPr="00012C17">
        <w:rPr>
          <w:rFonts w:cs="Arial"/>
          <w:color w:val="000000"/>
          <w:sz w:val="24"/>
        </w:rPr>
        <w:t>namely</w:t>
      </w:r>
      <w:r w:rsidRPr="00012C17">
        <w:rPr>
          <w:rFonts w:cs="Arial"/>
          <w:color w:val="000000"/>
          <w:sz w:val="24"/>
        </w:rPr>
        <w:t xml:space="preserve"> on 30 November 201</w:t>
      </w:r>
      <w:r w:rsidR="009B07E9" w:rsidRPr="00012C17">
        <w:rPr>
          <w:rFonts w:cs="Arial"/>
          <w:color w:val="000000"/>
          <w:sz w:val="24"/>
        </w:rPr>
        <w:t>7</w:t>
      </w:r>
      <w:r w:rsidRPr="00012C17">
        <w:rPr>
          <w:rFonts w:cs="Arial"/>
          <w:color w:val="000000"/>
          <w:sz w:val="24"/>
        </w:rPr>
        <w:t xml:space="preserve">. The Supreme Court </w:t>
      </w:r>
      <w:r w:rsidR="00672A75" w:rsidRPr="00012C17">
        <w:rPr>
          <w:rFonts w:cs="Arial"/>
          <w:color w:val="000000"/>
          <w:sz w:val="24"/>
        </w:rPr>
        <w:t>in its reasoning</w:t>
      </w:r>
      <w:r w:rsidR="006E52F9" w:rsidRPr="00012C17">
        <w:rPr>
          <w:rFonts w:cs="Arial"/>
          <w:color w:val="000000"/>
          <w:sz w:val="24"/>
        </w:rPr>
        <w:t xml:space="preserve"> </w:t>
      </w:r>
      <w:r w:rsidRPr="00012C17">
        <w:rPr>
          <w:rFonts w:cs="Arial"/>
          <w:color w:val="000000"/>
          <w:sz w:val="24"/>
        </w:rPr>
        <w:lastRenderedPageBreak/>
        <w:t xml:space="preserve">emphasized that </w:t>
      </w:r>
      <w:r w:rsidR="00672A75" w:rsidRPr="00012C17">
        <w:rPr>
          <w:rFonts w:cs="Arial"/>
          <w:color w:val="000000"/>
          <w:sz w:val="24"/>
        </w:rPr>
        <w:t xml:space="preserve">in </w:t>
      </w:r>
      <w:r w:rsidRPr="00012C17">
        <w:rPr>
          <w:rFonts w:cs="Arial"/>
          <w:color w:val="000000"/>
          <w:sz w:val="24"/>
        </w:rPr>
        <w:t xml:space="preserve">this phase of the </w:t>
      </w:r>
      <w:r w:rsidR="00672A75" w:rsidRPr="00012C17">
        <w:rPr>
          <w:rFonts w:cs="Arial"/>
          <w:color w:val="000000"/>
          <w:sz w:val="24"/>
        </w:rPr>
        <w:t>election</w:t>
      </w:r>
      <w:r w:rsidRPr="00012C17">
        <w:rPr>
          <w:rFonts w:cs="Arial"/>
          <w:color w:val="000000"/>
          <w:sz w:val="24"/>
        </w:rPr>
        <w:t xml:space="preserve"> process </w:t>
      </w:r>
      <w:r w:rsidR="00672A75" w:rsidRPr="00012C17">
        <w:rPr>
          <w:rFonts w:cs="Arial"/>
          <w:color w:val="000000"/>
          <w:sz w:val="24"/>
        </w:rPr>
        <w:t>an appeal may be filed</w:t>
      </w:r>
      <w:r w:rsidRPr="00012C17">
        <w:rPr>
          <w:rFonts w:cs="Arial"/>
          <w:color w:val="000000"/>
          <w:sz w:val="24"/>
        </w:rPr>
        <w:t xml:space="preserve"> </w:t>
      </w:r>
      <w:r w:rsidR="00672A75" w:rsidRPr="00012C17">
        <w:rPr>
          <w:rFonts w:cs="Arial"/>
          <w:color w:val="000000"/>
          <w:sz w:val="24"/>
        </w:rPr>
        <w:t xml:space="preserve">only </w:t>
      </w:r>
      <w:r w:rsidRPr="00012C17">
        <w:rPr>
          <w:rFonts w:cs="Arial"/>
          <w:color w:val="000000"/>
          <w:sz w:val="24"/>
        </w:rPr>
        <w:t>with regard to CEC decisions, after the announcement of the final result</w:t>
      </w:r>
      <w:r w:rsidR="009B07E9" w:rsidRPr="00012C17">
        <w:rPr>
          <w:rFonts w:cs="Arial"/>
          <w:color w:val="000000"/>
          <w:sz w:val="24"/>
        </w:rPr>
        <w:t>s</w:t>
      </w:r>
      <w:r w:rsidR="00BA45A1" w:rsidRPr="00012C17">
        <w:rPr>
          <w:rFonts w:cs="Arial"/>
          <w:color w:val="000000"/>
          <w:sz w:val="24"/>
        </w:rPr>
        <w:t>.</w:t>
      </w:r>
    </w:p>
    <w:p w:rsidR="00D95898" w:rsidRPr="00012C17" w:rsidRDefault="00D95898" w:rsidP="001B11C5">
      <w:pPr>
        <w:autoSpaceDE w:val="0"/>
        <w:autoSpaceDN w:val="0"/>
        <w:adjustRightInd w:val="0"/>
        <w:spacing w:line="240" w:lineRule="auto"/>
        <w:ind w:left="540"/>
        <w:rPr>
          <w:rFonts w:cs="Arial"/>
          <w:color w:val="000000"/>
          <w:sz w:val="24"/>
        </w:rPr>
      </w:pPr>
    </w:p>
    <w:p w:rsidR="002F7067" w:rsidRPr="00012C17" w:rsidRDefault="00672A75" w:rsidP="001B11C5">
      <w:pPr>
        <w:numPr>
          <w:ilvl w:val="0"/>
          <w:numId w:val="1"/>
        </w:numPr>
        <w:spacing w:line="240" w:lineRule="auto"/>
        <w:ind w:left="630" w:hanging="630"/>
        <w:rPr>
          <w:rFonts w:cs="Arial"/>
          <w:color w:val="000000"/>
          <w:sz w:val="24"/>
        </w:rPr>
      </w:pPr>
      <w:r w:rsidRPr="00012C17">
        <w:rPr>
          <w:rFonts w:cs="Arial"/>
          <w:color w:val="000000"/>
          <w:sz w:val="24"/>
        </w:rPr>
        <w:t>In addition</w:t>
      </w:r>
      <w:r w:rsidR="007339D6" w:rsidRPr="00012C17">
        <w:rPr>
          <w:rFonts w:cs="Arial"/>
          <w:color w:val="000000"/>
          <w:sz w:val="24"/>
        </w:rPr>
        <w:t xml:space="preserve">, as regards </w:t>
      </w:r>
      <w:r w:rsidRPr="00012C17">
        <w:rPr>
          <w:rFonts w:cs="Arial"/>
          <w:color w:val="000000"/>
          <w:sz w:val="24"/>
        </w:rPr>
        <w:t>item</w:t>
      </w:r>
      <w:r w:rsidR="007339D6" w:rsidRPr="00012C17">
        <w:rPr>
          <w:rFonts w:cs="Arial"/>
          <w:color w:val="000000"/>
          <w:sz w:val="24"/>
        </w:rPr>
        <w:t xml:space="preserve"> II of the enacting clause of the </w:t>
      </w:r>
      <w:r w:rsidRPr="00012C17">
        <w:rPr>
          <w:rFonts w:cs="Arial"/>
          <w:color w:val="000000"/>
          <w:sz w:val="24"/>
        </w:rPr>
        <w:t>challenged</w:t>
      </w:r>
      <w:r w:rsidR="007339D6" w:rsidRPr="00012C17">
        <w:rPr>
          <w:rFonts w:cs="Arial"/>
          <w:color w:val="000000"/>
          <w:sz w:val="24"/>
        </w:rPr>
        <w:t xml:space="preserve"> ECAP Decision, the Supreme Court held that the </w:t>
      </w:r>
      <w:r w:rsidRPr="00012C17">
        <w:rPr>
          <w:rFonts w:cs="Arial"/>
          <w:color w:val="000000"/>
          <w:sz w:val="24"/>
        </w:rPr>
        <w:t>A</w:t>
      </w:r>
      <w:r w:rsidR="007339D6" w:rsidRPr="00012C17">
        <w:rPr>
          <w:rFonts w:cs="Arial"/>
          <w:color w:val="000000"/>
          <w:sz w:val="24"/>
        </w:rPr>
        <w:t xml:space="preserve">pplicants' </w:t>
      </w:r>
      <w:r w:rsidRPr="00012C17">
        <w:rPr>
          <w:rFonts w:cs="Arial"/>
          <w:color w:val="000000"/>
          <w:sz w:val="24"/>
        </w:rPr>
        <w:t>allegations</w:t>
      </w:r>
      <w:r w:rsidR="007339D6" w:rsidRPr="00012C17">
        <w:rPr>
          <w:rFonts w:cs="Arial"/>
          <w:color w:val="000000"/>
          <w:sz w:val="24"/>
        </w:rPr>
        <w:t xml:space="preserve"> as to the final results are in contradiction with the factual situation </w:t>
      </w:r>
      <w:r w:rsidR="009B07E9" w:rsidRPr="00012C17">
        <w:rPr>
          <w:rFonts w:cs="Arial"/>
          <w:color w:val="000000"/>
          <w:sz w:val="24"/>
        </w:rPr>
        <w:t>determined</w:t>
      </w:r>
      <w:r w:rsidR="007339D6" w:rsidRPr="00012C17">
        <w:rPr>
          <w:rFonts w:cs="Arial"/>
          <w:color w:val="000000"/>
          <w:sz w:val="24"/>
        </w:rPr>
        <w:t xml:space="preserve"> by </w:t>
      </w:r>
      <w:r w:rsidRPr="00012C17">
        <w:rPr>
          <w:rFonts w:cs="Arial"/>
          <w:color w:val="000000"/>
          <w:sz w:val="24"/>
        </w:rPr>
        <w:t xml:space="preserve">the </w:t>
      </w:r>
      <w:r w:rsidR="007339D6" w:rsidRPr="00012C17">
        <w:rPr>
          <w:rFonts w:cs="Arial"/>
          <w:color w:val="000000"/>
          <w:sz w:val="24"/>
        </w:rPr>
        <w:t>ECAP. According to the Supreme Court, based on Article 14 of Rule No.</w:t>
      </w:r>
      <w:r w:rsidRPr="00012C17">
        <w:rPr>
          <w:rFonts w:cs="Arial"/>
          <w:color w:val="000000"/>
          <w:sz w:val="24"/>
        </w:rPr>
        <w:t xml:space="preserve"> 02/</w:t>
      </w:r>
      <w:r w:rsidR="007339D6" w:rsidRPr="00012C17">
        <w:rPr>
          <w:rFonts w:cs="Arial"/>
          <w:color w:val="000000"/>
          <w:sz w:val="24"/>
        </w:rPr>
        <w:t xml:space="preserve">2015, the investigative </w:t>
      </w:r>
      <w:r w:rsidRPr="00012C17">
        <w:rPr>
          <w:rFonts w:cs="Arial"/>
          <w:color w:val="000000"/>
          <w:sz w:val="24"/>
        </w:rPr>
        <w:t>team</w:t>
      </w:r>
      <w:r w:rsidR="007339D6" w:rsidRPr="00012C17">
        <w:rPr>
          <w:rFonts w:cs="Arial"/>
          <w:color w:val="000000"/>
          <w:sz w:val="24"/>
        </w:rPr>
        <w:t xml:space="preserve"> of ECAP had found that out of 31 ballot boxes in which 183 ballots were declared invalid, only 4 are valid, while others are invalid as initially announced by </w:t>
      </w:r>
      <w:r w:rsidR="009B07E9" w:rsidRPr="00012C17">
        <w:rPr>
          <w:rFonts w:cs="Arial"/>
          <w:color w:val="000000"/>
          <w:sz w:val="24"/>
        </w:rPr>
        <w:t xml:space="preserve">the </w:t>
      </w:r>
      <w:r w:rsidR="007339D6" w:rsidRPr="00012C17">
        <w:rPr>
          <w:rFonts w:cs="Arial"/>
          <w:color w:val="000000"/>
          <w:sz w:val="24"/>
        </w:rPr>
        <w:t xml:space="preserve">polling station councils. </w:t>
      </w:r>
      <w:r w:rsidR="007F4199" w:rsidRPr="00012C17">
        <w:rPr>
          <w:rFonts w:cs="Arial"/>
          <w:color w:val="000000"/>
          <w:sz w:val="24"/>
        </w:rPr>
        <w:t>The</w:t>
      </w:r>
      <w:r w:rsidR="007339D6" w:rsidRPr="00012C17">
        <w:rPr>
          <w:rFonts w:cs="Arial"/>
          <w:color w:val="000000"/>
          <w:sz w:val="24"/>
        </w:rPr>
        <w:t xml:space="preserve"> Supreme Court </w:t>
      </w:r>
      <w:r w:rsidR="007F4199" w:rsidRPr="00012C17">
        <w:rPr>
          <w:rFonts w:cs="Arial"/>
          <w:color w:val="000000"/>
          <w:sz w:val="24"/>
        </w:rPr>
        <w:t xml:space="preserve">further </w:t>
      </w:r>
      <w:r w:rsidR="007339D6" w:rsidRPr="00012C17">
        <w:rPr>
          <w:rFonts w:cs="Arial"/>
          <w:color w:val="000000"/>
          <w:sz w:val="24"/>
        </w:rPr>
        <w:t xml:space="preserve">noted that in addition to the 4 invalid votes, the ECAP investigating teams did not find any other irregularities in 31 polling stations that were the subject of the investigation. </w:t>
      </w:r>
      <w:r w:rsidR="007F4199" w:rsidRPr="00012C17">
        <w:rPr>
          <w:rFonts w:cs="Arial"/>
          <w:color w:val="000000"/>
          <w:sz w:val="24"/>
        </w:rPr>
        <w:t>In addition</w:t>
      </w:r>
      <w:r w:rsidR="007339D6" w:rsidRPr="00012C17">
        <w:rPr>
          <w:rFonts w:cs="Arial"/>
          <w:color w:val="000000"/>
          <w:sz w:val="24"/>
        </w:rPr>
        <w:t xml:space="preserve">, the Supreme Court stated that the ECAP had recounted all the regular ballot papers and verified the stamps on each ballot, concluding that the final </w:t>
      </w:r>
      <w:r w:rsidR="007F4199" w:rsidRPr="00012C17">
        <w:rPr>
          <w:rFonts w:cs="Arial"/>
          <w:color w:val="000000"/>
          <w:sz w:val="24"/>
        </w:rPr>
        <w:t>result</w:t>
      </w:r>
      <w:r w:rsidR="007339D6" w:rsidRPr="00012C17">
        <w:rPr>
          <w:rFonts w:cs="Arial"/>
          <w:color w:val="000000"/>
          <w:sz w:val="24"/>
        </w:rPr>
        <w:t xml:space="preserve"> was in line with that announced by the CEC. </w:t>
      </w:r>
      <w:r w:rsidR="007F4199" w:rsidRPr="00012C17">
        <w:rPr>
          <w:rFonts w:cs="Arial"/>
          <w:color w:val="000000"/>
          <w:sz w:val="24"/>
        </w:rPr>
        <w:t xml:space="preserve">According to the </w:t>
      </w:r>
      <w:r w:rsidR="00902AEF" w:rsidRPr="00012C17">
        <w:rPr>
          <w:rFonts w:cs="Arial"/>
          <w:color w:val="000000"/>
          <w:sz w:val="24"/>
        </w:rPr>
        <w:t xml:space="preserve">assessment of the </w:t>
      </w:r>
      <w:r w:rsidR="007F4199" w:rsidRPr="00012C17">
        <w:rPr>
          <w:rFonts w:cs="Arial"/>
          <w:color w:val="000000"/>
          <w:sz w:val="24"/>
        </w:rPr>
        <w:t>Supreme Court</w:t>
      </w:r>
      <w:r w:rsidR="007339D6" w:rsidRPr="00012C17">
        <w:rPr>
          <w:rFonts w:cs="Arial"/>
          <w:color w:val="000000"/>
          <w:sz w:val="24"/>
        </w:rPr>
        <w:t xml:space="preserve">, the challenged decision of the ECAP was clear and comprehensible and as such contained sufficient </w:t>
      </w:r>
      <w:r w:rsidR="007F4199" w:rsidRPr="00012C17">
        <w:rPr>
          <w:rFonts w:cs="Arial"/>
          <w:color w:val="000000"/>
          <w:sz w:val="24"/>
        </w:rPr>
        <w:t>reasons</w:t>
      </w:r>
      <w:r w:rsidR="007339D6" w:rsidRPr="00012C17">
        <w:rPr>
          <w:rFonts w:cs="Arial"/>
          <w:color w:val="000000"/>
          <w:sz w:val="24"/>
        </w:rPr>
        <w:t xml:space="preserve"> for decisive facts and that the substantive law was correctly applied</w:t>
      </w:r>
      <w:r w:rsidR="00A6162A" w:rsidRPr="00012C17">
        <w:rPr>
          <w:rFonts w:cs="Arial"/>
          <w:color w:val="000000"/>
          <w:sz w:val="24"/>
        </w:rPr>
        <w:t xml:space="preserve">. </w:t>
      </w:r>
    </w:p>
    <w:p w:rsidR="002F7067" w:rsidRPr="00012C17" w:rsidRDefault="002F7067" w:rsidP="001B11C5">
      <w:pPr>
        <w:spacing w:line="240" w:lineRule="auto"/>
        <w:ind w:left="540"/>
        <w:rPr>
          <w:rFonts w:cs="Arial"/>
          <w:color w:val="000000"/>
          <w:sz w:val="24"/>
        </w:rPr>
      </w:pPr>
    </w:p>
    <w:p w:rsidR="00A6162A" w:rsidRPr="00012C17" w:rsidRDefault="007339D6" w:rsidP="001B11C5">
      <w:pPr>
        <w:numPr>
          <w:ilvl w:val="0"/>
          <w:numId w:val="1"/>
        </w:numPr>
        <w:spacing w:line="240" w:lineRule="auto"/>
        <w:ind w:left="630" w:hanging="630"/>
        <w:rPr>
          <w:rFonts w:cs="Arial"/>
          <w:color w:val="000000"/>
          <w:sz w:val="24"/>
        </w:rPr>
      </w:pPr>
      <w:r w:rsidRPr="00012C17">
        <w:rPr>
          <w:rFonts w:eastAsia="Times New Roman"/>
          <w:color w:val="000000"/>
          <w:sz w:val="24"/>
        </w:rPr>
        <w:t xml:space="preserve">On 11 December 2017, the CEC certified the final results of the local elections for </w:t>
      </w:r>
      <w:r w:rsidR="00F32DC5" w:rsidRPr="00012C17">
        <w:rPr>
          <w:rFonts w:eastAsia="Times New Roman"/>
          <w:color w:val="000000"/>
          <w:sz w:val="24"/>
        </w:rPr>
        <w:t xml:space="preserve">Mayor </w:t>
      </w:r>
      <w:r w:rsidR="007F4199" w:rsidRPr="00012C17">
        <w:rPr>
          <w:rFonts w:eastAsia="Times New Roman"/>
          <w:color w:val="000000"/>
          <w:sz w:val="24"/>
        </w:rPr>
        <w:t xml:space="preserve">of the </w:t>
      </w:r>
      <w:r w:rsidR="007F4199" w:rsidRPr="00012C17">
        <w:rPr>
          <w:rFonts w:cs="Arial"/>
          <w:color w:val="000000"/>
          <w:sz w:val="24"/>
        </w:rPr>
        <w:t>Municipality</w:t>
      </w:r>
      <w:r w:rsidRPr="00012C17">
        <w:rPr>
          <w:rFonts w:eastAsia="Times New Roman"/>
          <w:color w:val="000000"/>
          <w:sz w:val="24"/>
        </w:rPr>
        <w:t xml:space="preserve"> of Prishtina. On that occasion, Mr. Shpend Ahmeti was officially declared the </w:t>
      </w:r>
      <w:r w:rsidR="00F32DC5" w:rsidRPr="00012C17">
        <w:rPr>
          <w:rFonts w:eastAsia="Times New Roman"/>
          <w:color w:val="000000"/>
          <w:sz w:val="24"/>
        </w:rPr>
        <w:t xml:space="preserve">Mayor </w:t>
      </w:r>
      <w:r w:rsidRPr="00012C17">
        <w:rPr>
          <w:rFonts w:eastAsia="Times New Roman"/>
          <w:color w:val="000000"/>
          <w:sz w:val="24"/>
        </w:rPr>
        <w:t xml:space="preserve">of </w:t>
      </w:r>
      <w:r w:rsidR="007F4199" w:rsidRPr="00012C17">
        <w:rPr>
          <w:rFonts w:eastAsia="Times New Roman"/>
          <w:color w:val="000000"/>
          <w:sz w:val="24"/>
        </w:rPr>
        <w:t xml:space="preserve">the Municipality of </w:t>
      </w:r>
      <w:r w:rsidRPr="00012C17">
        <w:rPr>
          <w:rFonts w:eastAsia="Times New Roman"/>
          <w:color w:val="000000"/>
          <w:sz w:val="24"/>
        </w:rPr>
        <w:t>Pris</w:t>
      </w:r>
      <w:r w:rsidR="007F4199" w:rsidRPr="00012C17">
        <w:rPr>
          <w:rFonts w:eastAsia="Times New Roman"/>
          <w:color w:val="000000"/>
          <w:sz w:val="24"/>
        </w:rPr>
        <w:t>h</w:t>
      </w:r>
      <w:r w:rsidRPr="00012C17">
        <w:rPr>
          <w:rFonts w:eastAsia="Times New Roman"/>
          <w:color w:val="000000"/>
          <w:sz w:val="24"/>
        </w:rPr>
        <w:t>tina</w:t>
      </w:r>
      <w:r w:rsidR="00A6162A" w:rsidRPr="00012C17">
        <w:rPr>
          <w:rFonts w:eastAsia="Times New Roman"/>
          <w:color w:val="000000"/>
          <w:sz w:val="24"/>
        </w:rPr>
        <w:t>.</w:t>
      </w:r>
    </w:p>
    <w:p w:rsidR="006A0961" w:rsidRPr="00012C17" w:rsidRDefault="006A0961" w:rsidP="001B11C5">
      <w:pPr>
        <w:spacing w:line="240" w:lineRule="auto"/>
        <w:rPr>
          <w:rFonts w:cs="Arial"/>
          <w:color w:val="000000"/>
          <w:sz w:val="24"/>
        </w:rPr>
      </w:pPr>
    </w:p>
    <w:p w:rsidR="006C63FA" w:rsidRPr="00012C17" w:rsidRDefault="007339D6" w:rsidP="001B11C5">
      <w:pPr>
        <w:spacing w:line="240" w:lineRule="auto"/>
        <w:rPr>
          <w:rFonts w:cs="Arial"/>
          <w:b/>
          <w:color w:val="000000"/>
          <w:sz w:val="24"/>
        </w:rPr>
      </w:pPr>
      <w:r w:rsidRPr="00012C17">
        <w:rPr>
          <w:rFonts w:cs="Arial"/>
          <w:b/>
          <w:color w:val="000000"/>
          <w:sz w:val="24"/>
        </w:rPr>
        <w:t>Applicants’ allegations</w:t>
      </w:r>
    </w:p>
    <w:p w:rsidR="00174C1F" w:rsidRPr="00012C17" w:rsidRDefault="00174C1F" w:rsidP="001B11C5">
      <w:pPr>
        <w:spacing w:line="240" w:lineRule="auto"/>
        <w:rPr>
          <w:rFonts w:cs="Arial"/>
          <w:b/>
          <w:color w:val="000000"/>
          <w:sz w:val="24"/>
        </w:rPr>
      </w:pPr>
    </w:p>
    <w:p w:rsidR="000721BA" w:rsidRPr="00012C17" w:rsidRDefault="007339D6" w:rsidP="001B11C5">
      <w:pPr>
        <w:numPr>
          <w:ilvl w:val="0"/>
          <w:numId w:val="1"/>
        </w:numPr>
        <w:spacing w:line="240" w:lineRule="auto"/>
        <w:ind w:left="630" w:hanging="630"/>
        <w:rPr>
          <w:color w:val="000000"/>
          <w:sz w:val="24"/>
        </w:rPr>
      </w:pPr>
      <w:r w:rsidRPr="00012C17">
        <w:rPr>
          <w:color w:val="000000"/>
          <w:sz w:val="24"/>
        </w:rPr>
        <w:t xml:space="preserve">The Applicants initially </w:t>
      </w:r>
      <w:r w:rsidR="007F4199" w:rsidRPr="00012C17">
        <w:rPr>
          <w:rFonts w:cs="Arial"/>
          <w:color w:val="000000"/>
          <w:sz w:val="24"/>
        </w:rPr>
        <w:t>allege</w:t>
      </w:r>
      <w:r w:rsidRPr="00012C17">
        <w:rPr>
          <w:color w:val="000000"/>
          <w:sz w:val="24"/>
        </w:rPr>
        <w:t xml:space="preserve"> that the Court should assess the constitutionality of the entire electoral process, assessing both the facts and the procedure </w:t>
      </w:r>
      <w:r w:rsidR="007F4199" w:rsidRPr="00012C17">
        <w:rPr>
          <w:color w:val="000000"/>
          <w:sz w:val="24"/>
        </w:rPr>
        <w:t>conducted</w:t>
      </w:r>
      <w:r w:rsidRPr="00012C17">
        <w:rPr>
          <w:color w:val="000000"/>
          <w:sz w:val="24"/>
        </w:rPr>
        <w:t xml:space="preserve"> and </w:t>
      </w:r>
      <w:r w:rsidRPr="00012C17">
        <w:rPr>
          <w:rFonts w:cs="Arial"/>
          <w:color w:val="000000"/>
          <w:sz w:val="24"/>
        </w:rPr>
        <w:t>not</w:t>
      </w:r>
      <w:r w:rsidRPr="00012C17">
        <w:rPr>
          <w:color w:val="000000"/>
          <w:sz w:val="24"/>
        </w:rPr>
        <w:t xml:space="preserve"> limited to the assessment of fundamental rights and freedoms. In support of this argument, the Applicants refer to the Opinion of the Venice Commission </w:t>
      </w:r>
      <w:r w:rsidR="009B07E9" w:rsidRPr="00012C17">
        <w:rPr>
          <w:color w:val="000000"/>
          <w:sz w:val="24"/>
        </w:rPr>
        <w:t>(</w:t>
      </w:r>
      <w:r w:rsidRPr="00012C17">
        <w:rPr>
          <w:color w:val="000000"/>
          <w:sz w:val="24"/>
        </w:rPr>
        <w:t xml:space="preserve">CDL-PI (2017) 007 and the </w:t>
      </w:r>
      <w:r w:rsidR="007F4199" w:rsidRPr="00012C17">
        <w:rPr>
          <w:color w:val="000000"/>
          <w:sz w:val="24"/>
        </w:rPr>
        <w:t xml:space="preserve">Decision of the </w:t>
      </w:r>
      <w:r w:rsidRPr="00012C17">
        <w:rPr>
          <w:color w:val="000000"/>
          <w:sz w:val="24"/>
        </w:rPr>
        <w:t>C</w:t>
      </w:r>
      <w:r w:rsidR="007F4199" w:rsidRPr="00012C17">
        <w:rPr>
          <w:color w:val="000000"/>
          <w:sz w:val="24"/>
        </w:rPr>
        <w:t>onstitutional Court of Austria</w:t>
      </w:r>
      <w:r w:rsidR="009B07E9" w:rsidRPr="00012C17">
        <w:rPr>
          <w:color w:val="000000"/>
          <w:sz w:val="24"/>
        </w:rPr>
        <w:t xml:space="preserve"> (E 17/2016 -20)</w:t>
      </w:r>
      <w:r w:rsidRPr="00012C17">
        <w:rPr>
          <w:color w:val="000000"/>
          <w:sz w:val="24"/>
        </w:rPr>
        <w:t xml:space="preserve"> </w:t>
      </w:r>
      <w:r w:rsidR="007F4199" w:rsidRPr="00012C17">
        <w:rPr>
          <w:color w:val="000000"/>
          <w:sz w:val="24"/>
        </w:rPr>
        <w:t xml:space="preserve">of </w:t>
      </w:r>
      <w:r w:rsidRPr="00012C17">
        <w:rPr>
          <w:color w:val="000000"/>
          <w:sz w:val="24"/>
        </w:rPr>
        <w:t xml:space="preserve">1 </w:t>
      </w:r>
      <w:r w:rsidR="007F4199" w:rsidRPr="00012C17">
        <w:rPr>
          <w:color w:val="000000"/>
          <w:sz w:val="24"/>
        </w:rPr>
        <w:t xml:space="preserve">July </w:t>
      </w:r>
      <w:r w:rsidR="008F6E07" w:rsidRPr="00012C17">
        <w:rPr>
          <w:color w:val="000000"/>
          <w:sz w:val="24"/>
        </w:rPr>
        <w:t>2016.</w:t>
      </w:r>
    </w:p>
    <w:p w:rsidR="000721BA" w:rsidRPr="00012C17" w:rsidRDefault="000721BA" w:rsidP="001B11C5">
      <w:pPr>
        <w:pStyle w:val="ListParagraph"/>
        <w:spacing w:after="0" w:line="240" w:lineRule="auto"/>
        <w:ind w:left="540"/>
        <w:jc w:val="both"/>
        <w:rPr>
          <w:rFonts w:ascii="Georgia" w:hAnsi="Georgia"/>
          <w:color w:val="000000"/>
          <w:sz w:val="24"/>
          <w:szCs w:val="24"/>
          <w:lang w:val="en-US"/>
        </w:rPr>
      </w:pPr>
    </w:p>
    <w:p w:rsidR="000721BA" w:rsidRPr="00012C17" w:rsidRDefault="007339D6" w:rsidP="001B11C5">
      <w:pPr>
        <w:numPr>
          <w:ilvl w:val="0"/>
          <w:numId w:val="1"/>
        </w:numPr>
        <w:spacing w:line="240" w:lineRule="auto"/>
        <w:ind w:left="630" w:hanging="630"/>
        <w:rPr>
          <w:color w:val="000000"/>
          <w:sz w:val="24"/>
        </w:rPr>
      </w:pPr>
      <w:r w:rsidRPr="00012C17">
        <w:rPr>
          <w:rFonts w:cs="Arial"/>
          <w:color w:val="000000"/>
          <w:sz w:val="24"/>
        </w:rPr>
        <w:t xml:space="preserve">The Applicants allege that </w:t>
      </w:r>
      <w:r w:rsidR="007F4199" w:rsidRPr="00012C17">
        <w:rPr>
          <w:rFonts w:cs="Arial"/>
          <w:color w:val="000000"/>
          <w:sz w:val="24"/>
        </w:rPr>
        <w:t>Decision</w:t>
      </w:r>
      <w:r w:rsidRPr="00012C17">
        <w:rPr>
          <w:rFonts w:cs="Arial"/>
          <w:color w:val="000000"/>
          <w:sz w:val="24"/>
        </w:rPr>
        <w:t xml:space="preserve"> [AA.</w:t>
      </w:r>
      <w:r w:rsidR="007F4199" w:rsidRPr="00012C17">
        <w:rPr>
          <w:rFonts w:cs="Arial"/>
          <w:color w:val="000000"/>
          <w:sz w:val="24"/>
        </w:rPr>
        <w:t xml:space="preserve"> No</w:t>
      </w:r>
      <w:r w:rsidRPr="00012C17">
        <w:rPr>
          <w:rFonts w:cs="Arial"/>
          <w:color w:val="000000"/>
          <w:sz w:val="24"/>
        </w:rPr>
        <w:t>.</w:t>
      </w:r>
      <w:r w:rsidR="007F4199" w:rsidRPr="00012C17">
        <w:rPr>
          <w:rFonts w:cs="Arial"/>
          <w:color w:val="000000"/>
          <w:sz w:val="24"/>
        </w:rPr>
        <w:t xml:space="preserve"> 52/</w:t>
      </w:r>
      <w:r w:rsidRPr="00012C17">
        <w:rPr>
          <w:rFonts w:cs="Arial"/>
          <w:color w:val="000000"/>
          <w:sz w:val="24"/>
        </w:rPr>
        <w:t xml:space="preserve">2017] of 25 November 2017, consequently, the </w:t>
      </w:r>
      <w:r w:rsidR="00DC6F5C" w:rsidRPr="00012C17">
        <w:rPr>
          <w:rFonts w:cs="Arial"/>
          <w:color w:val="000000"/>
          <w:sz w:val="24"/>
        </w:rPr>
        <w:t>f</w:t>
      </w:r>
      <w:r w:rsidRPr="00012C17">
        <w:rPr>
          <w:rFonts w:cs="Arial"/>
          <w:color w:val="000000"/>
          <w:sz w:val="24"/>
        </w:rPr>
        <w:t xml:space="preserve">irst </w:t>
      </w:r>
      <w:r w:rsidR="007F4199" w:rsidRPr="00012C17">
        <w:rPr>
          <w:rFonts w:cs="Arial"/>
          <w:color w:val="000000"/>
          <w:sz w:val="24"/>
        </w:rPr>
        <w:t>Decision</w:t>
      </w:r>
      <w:r w:rsidRPr="00012C17">
        <w:rPr>
          <w:rFonts w:cs="Arial"/>
          <w:color w:val="000000"/>
          <w:sz w:val="24"/>
        </w:rPr>
        <w:t xml:space="preserve"> of the Supreme Court and Judgment [</w:t>
      </w:r>
      <w:r w:rsidR="007F4199" w:rsidRPr="00012C17">
        <w:rPr>
          <w:rFonts w:cs="Arial"/>
          <w:color w:val="000000"/>
          <w:sz w:val="24"/>
        </w:rPr>
        <w:t>A.A.</w:t>
      </w:r>
      <w:r w:rsidR="006634E8" w:rsidRPr="00012C17">
        <w:rPr>
          <w:rFonts w:cs="Arial"/>
          <w:color w:val="000000"/>
          <w:sz w:val="24"/>
        </w:rPr>
        <w:t xml:space="preserve"> </w:t>
      </w:r>
      <w:r w:rsidR="007F4199" w:rsidRPr="00012C17">
        <w:rPr>
          <w:rFonts w:cs="Arial"/>
          <w:color w:val="000000"/>
          <w:sz w:val="24"/>
        </w:rPr>
        <w:t>U.ZH</w:t>
      </w:r>
      <w:r w:rsidRPr="00012C17">
        <w:rPr>
          <w:rFonts w:cs="Arial"/>
          <w:color w:val="000000"/>
          <w:sz w:val="24"/>
        </w:rPr>
        <w:t>.</w:t>
      </w:r>
      <w:r w:rsidR="007F4199" w:rsidRPr="00012C17">
        <w:rPr>
          <w:rFonts w:cs="Arial"/>
          <w:color w:val="000000"/>
          <w:sz w:val="24"/>
        </w:rPr>
        <w:t xml:space="preserve"> No</w:t>
      </w:r>
      <w:r w:rsidRPr="00012C17">
        <w:rPr>
          <w:rFonts w:cs="Arial"/>
          <w:color w:val="000000"/>
          <w:sz w:val="24"/>
        </w:rPr>
        <w:t>.</w:t>
      </w:r>
      <w:r w:rsidR="007F4199" w:rsidRPr="00012C17">
        <w:rPr>
          <w:rFonts w:cs="Arial"/>
          <w:color w:val="000000"/>
          <w:sz w:val="24"/>
        </w:rPr>
        <w:t xml:space="preserve"> 62/</w:t>
      </w:r>
      <w:r w:rsidRPr="00012C17">
        <w:rPr>
          <w:rFonts w:cs="Arial"/>
          <w:color w:val="000000"/>
          <w:sz w:val="24"/>
        </w:rPr>
        <w:t xml:space="preserve">2017] of 7 December 2017 of the Supreme Court, </w:t>
      </w:r>
      <w:r w:rsidR="007F4199" w:rsidRPr="00012C17">
        <w:rPr>
          <w:rFonts w:cs="Arial"/>
          <w:color w:val="000000"/>
          <w:sz w:val="24"/>
        </w:rPr>
        <w:t>th</w:t>
      </w:r>
      <w:r w:rsidR="00DB654A" w:rsidRPr="00012C17">
        <w:rPr>
          <w:rFonts w:cs="Arial"/>
          <w:color w:val="000000"/>
          <w:sz w:val="24"/>
        </w:rPr>
        <w:t xml:space="preserve">erefore the </w:t>
      </w:r>
      <w:r w:rsidR="00DC6F5C" w:rsidRPr="00012C17">
        <w:rPr>
          <w:rFonts w:cs="Arial"/>
          <w:color w:val="000000"/>
          <w:sz w:val="24"/>
        </w:rPr>
        <w:t>s</w:t>
      </w:r>
      <w:r w:rsidR="007F4199" w:rsidRPr="00012C17">
        <w:rPr>
          <w:rFonts w:cs="Arial"/>
          <w:color w:val="000000"/>
          <w:sz w:val="24"/>
        </w:rPr>
        <w:t>econd</w:t>
      </w:r>
      <w:r w:rsidR="00DB654A" w:rsidRPr="00012C17">
        <w:rPr>
          <w:rFonts w:cs="Arial"/>
          <w:color w:val="000000"/>
          <w:sz w:val="24"/>
        </w:rPr>
        <w:t xml:space="preserve"> Decision of the Supreme Court,</w:t>
      </w:r>
      <w:r w:rsidRPr="00012C17">
        <w:rPr>
          <w:rFonts w:cs="Arial"/>
          <w:color w:val="000000"/>
          <w:sz w:val="24"/>
        </w:rPr>
        <w:t xml:space="preserve"> </w:t>
      </w:r>
      <w:r w:rsidR="00DB654A" w:rsidRPr="00012C17">
        <w:rPr>
          <w:rFonts w:cs="Arial"/>
          <w:color w:val="000000"/>
          <w:sz w:val="24"/>
        </w:rPr>
        <w:t xml:space="preserve">were rendered </w:t>
      </w:r>
      <w:r w:rsidRPr="00012C17">
        <w:rPr>
          <w:rFonts w:cs="Arial"/>
          <w:color w:val="000000"/>
          <w:sz w:val="24"/>
        </w:rPr>
        <w:t>in violation of their rights guaranteed by Article 45 [</w:t>
      </w:r>
      <w:r w:rsidR="007F4199" w:rsidRPr="00012C17">
        <w:rPr>
          <w:rFonts w:cs="Arial"/>
          <w:color w:val="000000"/>
          <w:sz w:val="24"/>
        </w:rPr>
        <w:t xml:space="preserve">Freedom of </w:t>
      </w:r>
      <w:r w:rsidRPr="00012C17">
        <w:rPr>
          <w:rFonts w:cs="Arial"/>
          <w:color w:val="000000"/>
          <w:sz w:val="24"/>
        </w:rPr>
        <w:t xml:space="preserve">Election and Participation] and Article 54 [Judicial Protection of Rights] of the Constitution, and resulted in violation of the </w:t>
      </w:r>
      <w:r w:rsidR="007F4199" w:rsidRPr="00012C17">
        <w:rPr>
          <w:rFonts w:cs="Arial"/>
          <w:color w:val="000000"/>
          <w:sz w:val="24"/>
        </w:rPr>
        <w:t>“</w:t>
      </w:r>
      <w:r w:rsidR="007F4199" w:rsidRPr="00012C17">
        <w:rPr>
          <w:rFonts w:cs="Arial"/>
          <w:i/>
          <w:iCs/>
          <w:color w:val="000000"/>
          <w:sz w:val="24"/>
        </w:rPr>
        <w:t>principle of the rule of law</w:t>
      </w:r>
      <w:r w:rsidR="007F4199" w:rsidRPr="00012C17">
        <w:rPr>
          <w:rFonts w:cs="Arial"/>
          <w:color w:val="000000"/>
          <w:sz w:val="24"/>
        </w:rPr>
        <w:t>” and “</w:t>
      </w:r>
      <w:r w:rsidRPr="00012C17">
        <w:rPr>
          <w:rFonts w:cs="Arial"/>
          <w:i/>
          <w:iCs/>
          <w:color w:val="000000"/>
          <w:sz w:val="24"/>
        </w:rPr>
        <w:t>the principle of constitutional democracy</w:t>
      </w:r>
      <w:r w:rsidR="007F4199" w:rsidRPr="00012C17">
        <w:rPr>
          <w:rFonts w:cs="Arial"/>
          <w:color w:val="000000"/>
          <w:sz w:val="24"/>
        </w:rPr>
        <w:t xml:space="preserve">” </w:t>
      </w:r>
      <w:r w:rsidRPr="00012C17">
        <w:rPr>
          <w:rFonts w:cs="Arial"/>
          <w:color w:val="000000"/>
          <w:sz w:val="24"/>
        </w:rPr>
        <w:t>as fundamental principles of the Constitution</w:t>
      </w:r>
      <w:r w:rsidR="00722973" w:rsidRPr="00012C17">
        <w:rPr>
          <w:color w:val="000000"/>
          <w:sz w:val="24"/>
        </w:rPr>
        <w:t>.</w:t>
      </w:r>
    </w:p>
    <w:p w:rsidR="000721BA" w:rsidRPr="00012C17" w:rsidRDefault="000721BA" w:rsidP="001B11C5">
      <w:pPr>
        <w:pStyle w:val="ListParagraph"/>
        <w:spacing w:after="0" w:line="240" w:lineRule="auto"/>
        <w:rPr>
          <w:rFonts w:ascii="Georgia" w:hAnsi="Georgia" w:cs="Arial"/>
          <w:color w:val="000000"/>
          <w:sz w:val="24"/>
          <w:szCs w:val="24"/>
          <w:lang w:val="en-US"/>
        </w:rPr>
      </w:pPr>
    </w:p>
    <w:p w:rsidR="009B3E82" w:rsidRPr="00012C17" w:rsidRDefault="00DB654A" w:rsidP="001B11C5">
      <w:pPr>
        <w:numPr>
          <w:ilvl w:val="0"/>
          <w:numId w:val="1"/>
        </w:numPr>
        <w:spacing w:line="240" w:lineRule="auto"/>
        <w:ind w:left="630" w:hanging="630"/>
        <w:rPr>
          <w:color w:val="000000"/>
          <w:sz w:val="24"/>
        </w:rPr>
      </w:pPr>
      <w:r w:rsidRPr="00012C17">
        <w:rPr>
          <w:rFonts w:cs="Arial"/>
          <w:color w:val="000000"/>
          <w:sz w:val="24"/>
        </w:rPr>
        <w:t>More s</w:t>
      </w:r>
      <w:r w:rsidR="007339D6" w:rsidRPr="00012C17">
        <w:rPr>
          <w:rFonts w:cs="Arial"/>
          <w:color w:val="000000"/>
          <w:sz w:val="24"/>
        </w:rPr>
        <w:t xml:space="preserve">pecifically, the Applicants allege that the Supreme Court, </w:t>
      </w:r>
      <w:r w:rsidR="007F4199" w:rsidRPr="00012C17">
        <w:rPr>
          <w:rFonts w:cs="Arial"/>
          <w:color w:val="000000"/>
          <w:sz w:val="24"/>
        </w:rPr>
        <w:t>by</w:t>
      </w:r>
      <w:r w:rsidR="007339D6" w:rsidRPr="00012C17">
        <w:rPr>
          <w:rFonts w:cs="Arial"/>
          <w:color w:val="000000"/>
          <w:sz w:val="24"/>
        </w:rPr>
        <w:t xml:space="preserve"> its </w:t>
      </w:r>
      <w:r w:rsidR="00DC6F5C" w:rsidRPr="00012C17">
        <w:rPr>
          <w:rFonts w:cs="Arial"/>
          <w:color w:val="000000"/>
          <w:sz w:val="24"/>
        </w:rPr>
        <w:t>f</w:t>
      </w:r>
      <w:r w:rsidR="007339D6" w:rsidRPr="00012C17">
        <w:rPr>
          <w:rFonts w:cs="Arial"/>
          <w:color w:val="000000"/>
          <w:sz w:val="24"/>
        </w:rPr>
        <w:t xml:space="preserve">irst and </w:t>
      </w:r>
      <w:r w:rsidR="00DC6F5C" w:rsidRPr="00012C17">
        <w:rPr>
          <w:rFonts w:cs="Arial"/>
          <w:color w:val="000000"/>
          <w:sz w:val="24"/>
        </w:rPr>
        <w:t>s</w:t>
      </w:r>
      <w:r w:rsidRPr="00012C17">
        <w:rPr>
          <w:rFonts w:cs="Arial"/>
          <w:color w:val="000000"/>
          <w:sz w:val="24"/>
        </w:rPr>
        <w:t>econd Decision</w:t>
      </w:r>
      <w:r w:rsidR="007339D6" w:rsidRPr="00012C17">
        <w:rPr>
          <w:rFonts w:cs="Arial"/>
          <w:color w:val="000000"/>
          <w:sz w:val="24"/>
        </w:rPr>
        <w:t xml:space="preserve">, violated their right to judicial protection of rights guaranteed by Article 54 of the Constitution, because </w:t>
      </w:r>
      <w:r w:rsidR="006F168E" w:rsidRPr="00012C17">
        <w:rPr>
          <w:rFonts w:cs="Arial"/>
          <w:color w:val="000000"/>
          <w:sz w:val="24"/>
        </w:rPr>
        <w:t>through the</w:t>
      </w:r>
      <w:r w:rsidR="007339D6" w:rsidRPr="00012C17">
        <w:rPr>
          <w:rFonts w:cs="Arial"/>
          <w:color w:val="000000"/>
          <w:sz w:val="24"/>
        </w:rPr>
        <w:t xml:space="preserve"> </w:t>
      </w:r>
      <w:r w:rsidR="007F4199" w:rsidRPr="00012C17">
        <w:rPr>
          <w:rFonts w:cs="Arial"/>
          <w:color w:val="000000"/>
          <w:sz w:val="24"/>
        </w:rPr>
        <w:t>challenged</w:t>
      </w:r>
      <w:r w:rsidR="007339D6" w:rsidRPr="00012C17">
        <w:rPr>
          <w:rFonts w:cs="Arial"/>
          <w:color w:val="000000"/>
          <w:sz w:val="24"/>
        </w:rPr>
        <w:t xml:space="preserve"> decisions </w:t>
      </w:r>
      <w:r w:rsidR="007F4199" w:rsidRPr="00012C17">
        <w:rPr>
          <w:rFonts w:cs="Arial"/>
          <w:color w:val="000000"/>
          <w:sz w:val="24"/>
        </w:rPr>
        <w:t>of the</w:t>
      </w:r>
      <w:r w:rsidR="007339D6" w:rsidRPr="00012C17">
        <w:rPr>
          <w:rFonts w:cs="Arial"/>
          <w:color w:val="000000"/>
          <w:sz w:val="24"/>
        </w:rPr>
        <w:t xml:space="preserve"> Supreme Court</w:t>
      </w:r>
      <w:r w:rsidR="007F4199" w:rsidRPr="00012C17">
        <w:rPr>
          <w:rFonts w:cs="Arial"/>
          <w:color w:val="000000"/>
          <w:sz w:val="24"/>
        </w:rPr>
        <w:t>,</w:t>
      </w:r>
      <w:r w:rsidR="007339D6" w:rsidRPr="00012C17">
        <w:rPr>
          <w:rFonts w:cs="Arial"/>
          <w:color w:val="000000"/>
          <w:sz w:val="24"/>
        </w:rPr>
        <w:t xml:space="preserve"> </w:t>
      </w:r>
      <w:r w:rsidR="007F4199" w:rsidRPr="00012C17">
        <w:rPr>
          <w:rFonts w:cs="Arial"/>
          <w:color w:val="000000"/>
          <w:sz w:val="24"/>
        </w:rPr>
        <w:t>only</w:t>
      </w:r>
      <w:r w:rsidR="007339D6" w:rsidRPr="00012C17">
        <w:rPr>
          <w:rFonts w:cs="Arial"/>
          <w:color w:val="000000"/>
          <w:sz w:val="24"/>
        </w:rPr>
        <w:t xml:space="preserve"> the </w:t>
      </w:r>
      <w:r w:rsidR="007F4199" w:rsidRPr="00012C17">
        <w:rPr>
          <w:rFonts w:cs="Arial"/>
          <w:color w:val="000000"/>
          <w:sz w:val="24"/>
        </w:rPr>
        <w:t>legality</w:t>
      </w:r>
      <w:r w:rsidR="007339D6" w:rsidRPr="00012C17">
        <w:rPr>
          <w:rFonts w:cs="Arial"/>
          <w:color w:val="000000"/>
          <w:sz w:val="24"/>
        </w:rPr>
        <w:t xml:space="preserve"> of ECAP decisions </w:t>
      </w:r>
      <w:r w:rsidR="006F168E" w:rsidRPr="00012C17">
        <w:rPr>
          <w:rFonts w:cs="Arial"/>
          <w:color w:val="000000"/>
          <w:sz w:val="24"/>
        </w:rPr>
        <w:t xml:space="preserve">was assessed </w:t>
      </w:r>
      <w:r w:rsidR="007339D6" w:rsidRPr="00012C17">
        <w:rPr>
          <w:rFonts w:cs="Arial"/>
          <w:color w:val="000000"/>
          <w:sz w:val="24"/>
        </w:rPr>
        <w:t>without addressing their constitutionality</w:t>
      </w:r>
      <w:r w:rsidR="00DC6F5C" w:rsidRPr="00012C17">
        <w:rPr>
          <w:rFonts w:cs="Arial"/>
          <w:color w:val="000000"/>
          <w:sz w:val="24"/>
        </w:rPr>
        <w:t xml:space="preserve"> and consequently,</w:t>
      </w:r>
      <w:r w:rsidR="007339D6" w:rsidRPr="00012C17">
        <w:rPr>
          <w:rFonts w:cs="Arial"/>
          <w:color w:val="000000"/>
          <w:sz w:val="24"/>
        </w:rPr>
        <w:t xml:space="preserve"> resulted in a violation of the rights of the </w:t>
      </w:r>
      <w:r w:rsidR="007F4199" w:rsidRPr="00012C17">
        <w:rPr>
          <w:rFonts w:cs="Arial"/>
          <w:color w:val="000000"/>
          <w:sz w:val="24"/>
        </w:rPr>
        <w:t>Applicants</w:t>
      </w:r>
      <w:r w:rsidR="007339D6" w:rsidRPr="00012C17">
        <w:rPr>
          <w:rFonts w:cs="Arial"/>
          <w:color w:val="000000"/>
          <w:sz w:val="24"/>
        </w:rPr>
        <w:t xml:space="preserve"> guaranteed by Article 45 of the Constitution</w:t>
      </w:r>
      <w:r w:rsidR="009B3E82" w:rsidRPr="00012C17">
        <w:rPr>
          <w:rFonts w:cs="Arial"/>
          <w:color w:val="000000"/>
          <w:sz w:val="24"/>
        </w:rPr>
        <w:t>.</w:t>
      </w:r>
    </w:p>
    <w:p w:rsidR="000721BA" w:rsidRPr="00012C17" w:rsidRDefault="000721BA" w:rsidP="001B11C5">
      <w:pPr>
        <w:pStyle w:val="ListParagraph"/>
        <w:spacing w:after="0" w:line="240" w:lineRule="auto"/>
        <w:rPr>
          <w:rFonts w:ascii="Georgia" w:hAnsi="Georgia"/>
          <w:color w:val="000000"/>
          <w:sz w:val="24"/>
          <w:szCs w:val="24"/>
          <w:lang w:val="en-US"/>
        </w:rPr>
      </w:pPr>
    </w:p>
    <w:p w:rsidR="00671556" w:rsidRPr="00012C17" w:rsidRDefault="007F4199" w:rsidP="001B11C5">
      <w:pPr>
        <w:numPr>
          <w:ilvl w:val="0"/>
          <w:numId w:val="1"/>
        </w:numPr>
        <w:spacing w:line="240" w:lineRule="auto"/>
        <w:ind w:left="630" w:hanging="630"/>
        <w:rPr>
          <w:color w:val="000000"/>
          <w:sz w:val="24"/>
        </w:rPr>
      </w:pPr>
      <w:r w:rsidRPr="00012C17">
        <w:rPr>
          <w:color w:val="000000"/>
          <w:sz w:val="24"/>
        </w:rPr>
        <w:lastRenderedPageBreak/>
        <w:t>The</w:t>
      </w:r>
      <w:r w:rsidR="007339D6" w:rsidRPr="00012C17">
        <w:rPr>
          <w:color w:val="000000"/>
          <w:sz w:val="24"/>
        </w:rPr>
        <w:t xml:space="preserve"> Court will </w:t>
      </w:r>
      <w:r w:rsidRPr="00012C17">
        <w:rPr>
          <w:color w:val="000000"/>
          <w:sz w:val="24"/>
        </w:rPr>
        <w:t xml:space="preserve">further </w:t>
      </w:r>
      <w:r w:rsidR="007339D6" w:rsidRPr="00012C17">
        <w:rPr>
          <w:rFonts w:cs="Arial"/>
          <w:color w:val="000000"/>
          <w:sz w:val="24"/>
        </w:rPr>
        <w:t>summarize</w:t>
      </w:r>
      <w:r w:rsidR="007339D6" w:rsidRPr="00012C17">
        <w:rPr>
          <w:color w:val="000000"/>
          <w:sz w:val="24"/>
        </w:rPr>
        <w:t xml:space="preserve"> the Applicants' allegations </w:t>
      </w:r>
      <w:r w:rsidR="006F168E" w:rsidRPr="00012C17">
        <w:rPr>
          <w:color w:val="000000"/>
          <w:sz w:val="24"/>
        </w:rPr>
        <w:t>regarding</w:t>
      </w:r>
      <w:r w:rsidR="007339D6" w:rsidRPr="00012C17">
        <w:rPr>
          <w:color w:val="000000"/>
          <w:sz w:val="24"/>
        </w:rPr>
        <w:t xml:space="preserve"> Article </w:t>
      </w:r>
      <w:r w:rsidR="00E27A8F" w:rsidRPr="00012C17">
        <w:rPr>
          <w:color w:val="000000"/>
          <w:sz w:val="24"/>
        </w:rPr>
        <w:t xml:space="preserve">54 [Judicial Protection of Rights] and Article </w:t>
      </w:r>
      <w:r w:rsidR="007339D6" w:rsidRPr="00012C17">
        <w:rPr>
          <w:color w:val="000000"/>
          <w:sz w:val="24"/>
        </w:rPr>
        <w:t>45 [</w:t>
      </w:r>
      <w:r w:rsidRPr="00012C17">
        <w:rPr>
          <w:color w:val="000000"/>
          <w:sz w:val="24"/>
        </w:rPr>
        <w:t xml:space="preserve">Freedom of </w:t>
      </w:r>
      <w:r w:rsidR="007339D6" w:rsidRPr="00012C17">
        <w:rPr>
          <w:color w:val="000000"/>
          <w:sz w:val="24"/>
        </w:rPr>
        <w:t>Election</w:t>
      </w:r>
      <w:r w:rsidRPr="00012C17">
        <w:rPr>
          <w:color w:val="000000"/>
          <w:sz w:val="24"/>
        </w:rPr>
        <w:t>s</w:t>
      </w:r>
      <w:r w:rsidR="007339D6" w:rsidRPr="00012C17">
        <w:rPr>
          <w:color w:val="000000"/>
          <w:sz w:val="24"/>
        </w:rPr>
        <w:t xml:space="preserve"> and Participation] of the Constitution</w:t>
      </w:r>
      <w:r w:rsidR="008F6E07" w:rsidRPr="00012C17">
        <w:rPr>
          <w:color w:val="000000"/>
          <w:sz w:val="24"/>
        </w:rPr>
        <w:t xml:space="preserve">. </w:t>
      </w:r>
    </w:p>
    <w:p w:rsidR="001777F9" w:rsidRPr="00012C17" w:rsidRDefault="001777F9" w:rsidP="001B11C5">
      <w:pPr>
        <w:spacing w:line="240" w:lineRule="auto"/>
        <w:rPr>
          <w:b/>
          <w:i/>
          <w:color w:val="000000"/>
          <w:sz w:val="24"/>
        </w:rPr>
      </w:pPr>
    </w:p>
    <w:p w:rsidR="00824899" w:rsidRPr="00012C17" w:rsidRDefault="00A34F63" w:rsidP="001B11C5">
      <w:pPr>
        <w:spacing w:line="240" w:lineRule="auto"/>
        <w:rPr>
          <w:b/>
          <w:i/>
          <w:color w:val="000000"/>
          <w:sz w:val="24"/>
        </w:rPr>
      </w:pPr>
      <w:r w:rsidRPr="00012C17">
        <w:rPr>
          <w:b/>
          <w:i/>
          <w:color w:val="000000"/>
          <w:sz w:val="24"/>
        </w:rPr>
        <w:t xml:space="preserve">Allegations of </w:t>
      </w:r>
      <w:r w:rsidR="007F4199" w:rsidRPr="00012C17">
        <w:rPr>
          <w:b/>
          <w:i/>
          <w:color w:val="000000"/>
          <w:sz w:val="24"/>
        </w:rPr>
        <w:t>v</w:t>
      </w:r>
      <w:r w:rsidRPr="00012C17">
        <w:rPr>
          <w:b/>
          <w:i/>
          <w:color w:val="000000"/>
          <w:sz w:val="24"/>
        </w:rPr>
        <w:t>iolation of Article 54 [Judicial Protection of Rights] of the Constitution</w:t>
      </w:r>
    </w:p>
    <w:p w:rsidR="00A34F63" w:rsidRPr="00012C17" w:rsidRDefault="00A34F63" w:rsidP="001B11C5">
      <w:pPr>
        <w:spacing w:line="240" w:lineRule="auto"/>
        <w:rPr>
          <w:bCs/>
          <w:i/>
          <w:iCs/>
          <w:color w:val="000000"/>
          <w:sz w:val="24"/>
        </w:rPr>
      </w:pPr>
    </w:p>
    <w:p w:rsidR="00671556"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 xml:space="preserve">The Applicants </w:t>
      </w:r>
      <w:r w:rsidR="007F4199" w:rsidRPr="00012C17">
        <w:rPr>
          <w:bCs/>
          <w:iCs/>
          <w:color w:val="000000"/>
          <w:sz w:val="24"/>
        </w:rPr>
        <w:t>allege</w:t>
      </w:r>
      <w:r w:rsidRPr="00012C17">
        <w:rPr>
          <w:bCs/>
          <w:iCs/>
          <w:color w:val="000000"/>
          <w:sz w:val="24"/>
        </w:rPr>
        <w:t xml:space="preserve"> that the regular courts serve as a pre-constitutional instance for the protection of human rights and freedoms and are obliged to guarantee the </w:t>
      </w:r>
      <w:r w:rsidR="00DB654A" w:rsidRPr="00012C17">
        <w:rPr>
          <w:bCs/>
          <w:iCs/>
          <w:color w:val="000000"/>
          <w:sz w:val="24"/>
        </w:rPr>
        <w:t>application</w:t>
      </w:r>
      <w:r w:rsidRPr="00012C17">
        <w:rPr>
          <w:bCs/>
          <w:iCs/>
          <w:color w:val="000000"/>
          <w:sz w:val="24"/>
        </w:rPr>
        <w:t xml:space="preserve"> of constitutional provisions when assessing the allegations. In this regard, the Applicants </w:t>
      </w:r>
      <w:r w:rsidR="00DB654A" w:rsidRPr="00012C17">
        <w:rPr>
          <w:bCs/>
          <w:iCs/>
          <w:color w:val="000000"/>
          <w:sz w:val="24"/>
        </w:rPr>
        <w:t xml:space="preserve">emphasize </w:t>
      </w:r>
      <w:r w:rsidRPr="00012C17">
        <w:rPr>
          <w:bCs/>
          <w:iCs/>
          <w:color w:val="000000"/>
          <w:sz w:val="24"/>
        </w:rPr>
        <w:t xml:space="preserve">that the regular courts should take into account the principle </w:t>
      </w:r>
      <w:r w:rsidR="004926D3" w:rsidRPr="00012C17">
        <w:rPr>
          <w:bCs/>
          <w:iCs/>
          <w:color w:val="000000"/>
          <w:sz w:val="24"/>
        </w:rPr>
        <w:t>“</w:t>
      </w:r>
      <w:r w:rsidRPr="00012C17">
        <w:rPr>
          <w:bCs/>
          <w:i/>
          <w:color w:val="000000"/>
          <w:sz w:val="24"/>
        </w:rPr>
        <w:t>in dubio pro libertate</w:t>
      </w:r>
      <w:r w:rsidR="004926D3" w:rsidRPr="00012C17">
        <w:rPr>
          <w:bCs/>
          <w:iCs/>
          <w:color w:val="000000"/>
          <w:sz w:val="24"/>
        </w:rPr>
        <w:t>”</w:t>
      </w:r>
      <w:r w:rsidRPr="00012C17">
        <w:rPr>
          <w:bCs/>
          <w:iCs/>
          <w:color w:val="000000"/>
          <w:sz w:val="24"/>
        </w:rPr>
        <w:t xml:space="preserve">, according to which </w:t>
      </w:r>
      <w:r w:rsidR="004926D3" w:rsidRPr="00012C17">
        <w:rPr>
          <w:bCs/>
          <w:iCs/>
          <w:color w:val="000000"/>
          <w:sz w:val="24"/>
        </w:rPr>
        <w:t xml:space="preserve">the </w:t>
      </w:r>
      <w:r w:rsidRPr="00012C17">
        <w:rPr>
          <w:bCs/>
          <w:iCs/>
          <w:color w:val="000000"/>
          <w:sz w:val="24"/>
        </w:rPr>
        <w:t xml:space="preserve">fundamental rights and freedoms should be widely interpreted and </w:t>
      </w:r>
      <w:r w:rsidR="004926D3" w:rsidRPr="00012C17">
        <w:rPr>
          <w:bCs/>
          <w:iCs/>
          <w:color w:val="000000"/>
          <w:sz w:val="24"/>
        </w:rPr>
        <w:t>in favor of the</w:t>
      </w:r>
      <w:r w:rsidRPr="00012C17">
        <w:rPr>
          <w:bCs/>
          <w:iCs/>
          <w:color w:val="000000"/>
          <w:sz w:val="24"/>
        </w:rPr>
        <w:t xml:space="preserve"> individual, who at all stages </w:t>
      </w:r>
      <w:r w:rsidR="00DB654A" w:rsidRPr="00012C17">
        <w:rPr>
          <w:bCs/>
          <w:iCs/>
          <w:color w:val="000000"/>
          <w:sz w:val="24"/>
        </w:rPr>
        <w:t xml:space="preserve">of </w:t>
      </w:r>
      <w:r w:rsidRPr="00012C17">
        <w:rPr>
          <w:bCs/>
          <w:iCs/>
          <w:color w:val="000000"/>
          <w:sz w:val="24"/>
        </w:rPr>
        <w:t xml:space="preserve">the </w:t>
      </w:r>
      <w:r w:rsidR="00DC6F5C" w:rsidRPr="00012C17">
        <w:rPr>
          <w:bCs/>
          <w:iCs/>
          <w:color w:val="000000"/>
          <w:sz w:val="24"/>
        </w:rPr>
        <w:t>proceedings</w:t>
      </w:r>
      <w:r w:rsidRPr="00012C17">
        <w:rPr>
          <w:bCs/>
          <w:iCs/>
          <w:color w:val="000000"/>
          <w:sz w:val="24"/>
        </w:rPr>
        <w:t xml:space="preserve"> is in an unequal position </w:t>
      </w:r>
      <w:r w:rsidR="004926D3" w:rsidRPr="00012C17">
        <w:rPr>
          <w:bCs/>
          <w:iCs/>
          <w:color w:val="000000"/>
          <w:sz w:val="24"/>
        </w:rPr>
        <w:t>with regard to the</w:t>
      </w:r>
      <w:r w:rsidRPr="00012C17">
        <w:rPr>
          <w:bCs/>
          <w:iCs/>
          <w:color w:val="000000"/>
          <w:sz w:val="24"/>
        </w:rPr>
        <w:t xml:space="preserve"> state institutions. In support of these </w:t>
      </w:r>
      <w:r w:rsidR="004926D3" w:rsidRPr="00012C17">
        <w:rPr>
          <w:bCs/>
          <w:iCs/>
          <w:color w:val="000000"/>
          <w:sz w:val="24"/>
        </w:rPr>
        <w:t>allegations</w:t>
      </w:r>
      <w:r w:rsidRPr="00012C17">
        <w:rPr>
          <w:bCs/>
          <w:iCs/>
          <w:color w:val="000000"/>
          <w:sz w:val="24"/>
        </w:rPr>
        <w:t xml:space="preserve">, the Applicants refer to a </w:t>
      </w:r>
      <w:r w:rsidR="004926D3" w:rsidRPr="00012C17">
        <w:rPr>
          <w:bCs/>
          <w:iCs/>
          <w:color w:val="000000"/>
          <w:sz w:val="24"/>
        </w:rPr>
        <w:t>number of decisions</w:t>
      </w:r>
      <w:r w:rsidRPr="00012C17">
        <w:rPr>
          <w:bCs/>
          <w:iCs/>
          <w:color w:val="000000"/>
          <w:sz w:val="24"/>
        </w:rPr>
        <w:t xml:space="preserve"> of the Constitutional Court of Germany (BVerfGE 9, 237 § 242, 247, BVerfGE 8, 2010 § 216, BVerfGE 3, § 225 240, BVerfGE 63, 230 342, BVerfGE 6, 32 § 42) and the case of the European Court of Human Rights (hereinafter: </w:t>
      </w:r>
      <w:r w:rsidR="00DB654A" w:rsidRPr="00012C17">
        <w:rPr>
          <w:bCs/>
          <w:iCs/>
          <w:color w:val="000000"/>
          <w:sz w:val="24"/>
        </w:rPr>
        <w:t xml:space="preserve">the </w:t>
      </w:r>
      <w:r w:rsidRPr="00012C17">
        <w:rPr>
          <w:bCs/>
          <w:iCs/>
          <w:color w:val="000000"/>
          <w:sz w:val="24"/>
        </w:rPr>
        <w:t xml:space="preserve">ECtHR) </w:t>
      </w:r>
      <w:r w:rsidRPr="00012C17">
        <w:rPr>
          <w:bCs/>
          <w:i/>
          <w:color w:val="000000"/>
          <w:sz w:val="24"/>
        </w:rPr>
        <w:t>Golder v. Great Britain</w:t>
      </w:r>
      <w:r w:rsidR="004926D3" w:rsidRPr="00012C17">
        <w:rPr>
          <w:bCs/>
          <w:iCs/>
          <w:color w:val="000000"/>
          <w:sz w:val="24"/>
        </w:rPr>
        <w:t>)</w:t>
      </w:r>
      <w:r w:rsidR="004541CC" w:rsidRPr="00012C17">
        <w:rPr>
          <w:bCs/>
          <w:iCs/>
          <w:color w:val="000000"/>
          <w:sz w:val="24"/>
        </w:rPr>
        <w:t xml:space="preserve">. </w:t>
      </w:r>
    </w:p>
    <w:p w:rsidR="005061A2" w:rsidRPr="00012C17" w:rsidRDefault="005061A2" w:rsidP="001B11C5">
      <w:pPr>
        <w:pStyle w:val="ListParagraph"/>
        <w:spacing w:after="0" w:line="240" w:lineRule="auto"/>
        <w:ind w:left="630"/>
        <w:jc w:val="both"/>
        <w:rPr>
          <w:rFonts w:ascii="Georgia" w:hAnsi="Georgia"/>
          <w:bCs/>
          <w:iCs/>
          <w:color w:val="000000"/>
          <w:sz w:val="24"/>
          <w:szCs w:val="24"/>
          <w:lang w:val="en-US"/>
        </w:rPr>
      </w:pPr>
    </w:p>
    <w:p w:rsidR="00671556"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 xml:space="preserve">The Applicants </w:t>
      </w:r>
      <w:r w:rsidRPr="00012C17">
        <w:rPr>
          <w:rFonts w:cs="Arial"/>
          <w:color w:val="000000"/>
          <w:sz w:val="24"/>
        </w:rPr>
        <w:t>specifically</w:t>
      </w:r>
      <w:r w:rsidRPr="00012C17">
        <w:rPr>
          <w:bCs/>
          <w:iCs/>
          <w:color w:val="000000"/>
          <w:sz w:val="24"/>
        </w:rPr>
        <w:t xml:space="preserve"> state that the Supreme Court, </w:t>
      </w:r>
      <w:r w:rsidR="006F168E" w:rsidRPr="00012C17">
        <w:rPr>
          <w:bCs/>
          <w:iCs/>
          <w:color w:val="000000"/>
          <w:sz w:val="24"/>
        </w:rPr>
        <w:t>through</w:t>
      </w:r>
      <w:r w:rsidRPr="00012C17">
        <w:rPr>
          <w:bCs/>
          <w:iCs/>
          <w:color w:val="000000"/>
          <w:sz w:val="24"/>
        </w:rPr>
        <w:t xml:space="preserve"> </w:t>
      </w:r>
      <w:r w:rsidR="00DC6F5C" w:rsidRPr="00012C17">
        <w:rPr>
          <w:bCs/>
          <w:iCs/>
          <w:color w:val="000000"/>
          <w:sz w:val="24"/>
        </w:rPr>
        <w:t>two</w:t>
      </w:r>
      <w:r w:rsidRPr="00012C17">
        <w:rPr>
          <w:bCs/>
          <w:iCs/>
          <w:color w:val="000000"/>
          <w:sz w:val="24"/>
        </w:rPr>
        <w:t xml:space="preserve"> of its decisions, violate</w:t>
      </w:r>
      <w:r w:rsidR="004926D3" w:rsidRPr="00012C17">
        <w:rPr>
          <w:bCs/>
          <w:iCs/>
          <w:color w:val="000000"/>
          <w:sz w:val="24"/>
        </w:rPr>
        <w:t>d</w:t>
      </w:r>
      <w:r w:rsidRPr="00012C17">
        <w:rPr>
          <w:bCs/>
          <w:iCs/>
          <w:color w:val="000000"/>
          <w:sz w:val="24"/>
        </w:rPr>
        <w:t xml:space="preserve"> </w:t>
      </w:r>
      <w:r w:rsidR="004926D3" w:rsidRPr="00012C17">
        <w:rPr>
          <w:bCs/>
          <w:iCs/>
          <w:color w:val="000000"/>
          <w:sz w:val="24"/>
        </w:rPr>
        <w:t>their</w:t>
      </w:r>
      <w:r w:rsidRPr="00012C17">
        <w:rPr>
          <w:bCs/>
          <w:iCs/>
          <w:color w:val="000000"/>
          <w:sz w:val="24"/>
        </w:rPr>
        <w:t xml:space="preserve"> fundamental rights and freedoms guaranteed by Articles 45 and 54 of the Constitution, because </w:t>
      </w:r>
      <w:r w:rsidR="004926D3" w:rsidRPr="00012C17">
        <w:rPr>
          <w:bCs/>
          <w:iCs/>
          <w:color w:val="000000"/>
          <w:sz w:val="24"/>
        </w:rPr>
        <w:t>according to them,</w:t>
      </w:r>
      <w:r w:rsidRPr="00012C17">
        <w:rPr>
          <w:bCs/>
          <w:iCs/>
          <w:color w:val="000000"/>
          <w:sz w:val="24"/>
        </w:rPr>
        <w:t xml:space="preserve"> </w:t>
      </w:r>
      <w:r w:rsidR="00DC6F5C" w:rsidRPr="00012C17">
        <w:rPr>
          <w:bCs/>
          <w:iCs/>
          <w:color w:val="000000"/>
          <w:sz w:val="24"/>
        </w:rPr>
        <w:t>the latter:</w:t>
      </w:r>
      <w:r w:rsidR="004926D3" w:rsidRPr="00012C17">
        <w:rPr>
          <w:bCs/>
          <w:iCs/>
          <w:color w:val="000000"/>
          <w:sz w:val="24"/>
        </w:rPr>
        <w:t xml:space="preserve"> </w:t>
      </w:r>
      <w:r w:rsidRPr="00012C17">
        <w:rPr>
          <w:bCs/>
          <w:iCs/>
          <w:color w:val="000000"/>
          <w:sz w:val="24"/>
        </w:rPr>
        <w:t xml:space="preserve">(i) assess only the </w:t>
      </w:r>
      <w:r w:rsidR="004926D3" w:rsidRPr="00012C17">
        <w:rPr>
          <w:bCs/>
          <w:iCs/>
          <w:color w:val="000000"/>
          <w:sz w:val="24"/>
        </w:rPr>
        <w:t>legality</w:t>
      </w:r>
      <w:r w:rsidRPr="00012C17">
        <w:rPr>
          <w:bCs/>
          <w:iCs/>
          <w:color w:val="000000"/>
          <w:sz w:val="24"/>
        </w:rPr>
        <w:t xml:space="preserve"> and not the constitutionality of the respective allegations; and (ii) </w:t>
      </w:r>
      <w:r w:rsidR="004926D3" w:rsidRPr="00012C17">
        <w:rPr>
          <w:bCs/>
          <w:iCs/>
          <w:color w:val="000000"/>
          <w:sz w:val="24"/>
        </w:rPr>
        <w:t xml:space="preserve">they </w:t>
      </w:r>
      <w:r w:rsidRPr="00012C17">
        <w:rPr>
          <w:bCs/>
          <w:iCs/>
          <w:color w:val="000000"/>
          <w:sz w:val="24"/>
        </w:rPr>
        <w:t>are arbitrary</w:t>
      </w:r>
      <w:r w:rsidR="007132B5" w:rsidRPr="00012C17">
        <w:rPr>
          <w:bCs/>
          <w:iCs/>
          <w:color w:val="000000"/>
          <w:sz w:val="24"/>
        </w:rPr>
        <w:t xml:space="preserve">. </w:t>
      </w:r>
    </w:p>
    <w:p w:rsidR="00671556" w:rsidRPr="00012C17" w:rsidRDefault="00671556" w:rsidP="001B11C5">
      <w:pPr>
        <w:pStyle w:val="ListParagraph"/>
        <w:spacing w:after="0" w:line="240" w:lineRule="auto"/>
        <w:rPr>
          <w:rFonts w:ascii="Georgia" w:hAnsi="Georgia"/>
          <w:bCs/>
          <w:iCs/>
          <w:color w:val="000000"/>
          <w:sz w:val="24"/>
          <w:szCs w:val="24"/>
          <w:lang w:val="en-US"/>
        </w:rPr>
      </w:pPr>
    </w:p>
    <w:p w:rsidR="00D95898"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 xml:space="preserve">As to the first category of </w:t>
      </w:r>
      <w:r w:rsidR="004926D3" w:rsidRPr="00012C17">
        <w:rPr>
          <w:bCs/>
          <w:iCs/>
          <w:color w:val="000000"/>
          <w:sz w:val="24"/>
        </w:rPr>
        <w:t>allegations</w:t>
      </w:r>
      <w:r w:rsidRPr="00012C17">
        <w:rPr>
          <w:bCs/>
          <w:iCs/>
          <w:color w:val="000000"/>
          <w:sz w:val="24"/>
        </w:rPr>
        <w:t xml:space="preserve">, the Applicants allege that the Supreme Court did not fulfill the constitutional obligation to assess allegations relating to </w:t>
      </w:r>
      <w:r w:rsidR="004926D3" w:rsidRPr="00012C17">
        <w:rPr>
          <w:bCs/>
          <w:iCs/>
          <w:color w:val="000000"/>
          <w:sz w:val="24"/>
        </w:rPr>
        <w:t>the election</w:t>
      </w:r>
      <w:r w:rsidRPr="00012C17">
        <w:rPr>
          <w:bCs/>
          <w:iCs/>
          <w:color w:val="000000"/>
          <w:sz w:val="24"/>
        </w:rPr>
        <w:t xml:space="preserve"> rights</w:t>
      </w:r>
      <w:r w:rsidR="00DC6F5C" w:rsidRPr="00012C17">
        <w:rPr>
          <w:bCs/>
          <w:iCs/>
          <w:color w:val="000000"/>
          <w:sz w:val="24"/>
        </w:rPr>
        <w:t>,</w:t>
      </w:r>
      <w:r w:rsidRPr="00012C17">
        <w:rPr>
          <w:bCs/>
          <w:iCs/>
          <w:color w:val="000000"/>
          <w:sz w:val="24"/>
        </w:rPr>
        <w:t xml:space="preserve"> as an integral part of the fundamental rights and </w:t>
      </w:r>
      <w:r w:rsidR="00DC6F5C" w:rsidRPr="00012C17">
        <w:rPr>
          <w:bCs/>
          <w:iCs/>
          <w:color w:val="000000"/>
          <w:sz w:val="24"/>
        </w:rPr>
        <w:t>freedoms guaranteed by the Constitution, and are</w:t>
      </w:r>
      <w:r w:rsidRPr="00012C17">
        <w:rPr>
          <w:bCs/>
          <w:iCs/>
          <w:color w:val="000000"/>
          <w:sz w:val="24"/>
        </w:rPr>
        <w:t xml:space="preserve"> limited </w:t>
      </w:r>
      <w:r w:rsidR="00DC6F5C" w:rsidRPr="00012C17">
        <w:rPr>
          <w:bCs/>
          <w:iCs/>
          <w:color w:val="000000"/>
          <w:sz w:val="24"/>
        </w:rPr>
        <w:t xml:space="preserve">only </w:t>
      </w:r>
      <w:r w:rsidRPr="00012C17">
        <w:rPr>
          <w:bCs/>
          <w:iCs/>
          <w:color w:val="000000"/>
          <w:sz w:val="24"/>
        </w:rPr>
        <w:t xml:space="preserve">to assessing the </w:t>
      </w:r>
      <w:r w:rsidR="004926D3" w:rsidRPr="00012C17">
        <w:rPr>
          <w:bCs/>
          <w:iCs/>
          <w:color w:val="000000"/>
          <w:sz w:val="24"/>
        </w:rPr>
        <w:t>legality</w:t>
      </w:r>
      <w:r w:rsidRPr="00012C17">
        <w:rPr>
          <w:bCs/>
          <w:iCs/>
          <w:color w:val="000000"/>
          <w:sz w:val="24"/>
        </w:rPr>
        <w:t xml:space="preserve"> of </w:t>
      </w:r>
      <w:r w:rsidR="004926D3" w:rsidRPr="00012C17">
        <w:rPr>
          <w:bCs/>
          <w:iCs/>
          <w:color w:val="000000"/>
          <w:sz w:val="24"/>
        </w:rPr>
        <w:t xml:space="preserve">the </w:t>
      </w:r>
      <w:r w:rsidRPr="00012C17">
        <w:rPr>
          <w:bCs/>
          <w:iCs/>
          <w:color w:val="000000"/>
          <w:sz w:val="24"/>
        </w:rPr>
        <w:t>ECA</w:t>
      </w:r>
      <w:r w:rsidR="00DC6F5C" w:rsidRPr="00012C17">
        <w:rPr>
          <w:bCs/>
          <w:iCs/>
          <w:color w:val="000000"/>
          <w:sz w:val="24"/>
        </w:rPr>
        <w:t>P</w:t>
      </w:r>
      <w:r w:rsidRPr="00012C17">
        <w:rPr>
          <w:bCs/>
          <w:iCs/>
          <w:color w:val="000000"/>
          <w:sz w:val="24"/>
        </w:rPr>
        <w:t xml:space="preserve"> decisions. According to the </w:t>
      </w:r>
      <w:r w:rsidR="004926D3" w:rsidRPr="00012C17">
        <w:rPr>
          <w:bCs/>
          <w:iCs/>
          <w:color w:val="000000"/>
          <w:sz w:val="24"/>
        </w:rPr>
        <w:t>allegation</w:t>
      </w:r>
      <w:r w:rsidRPr="00012C17">
        <w:rPr>
          <w:bCs/>
          <w:iCs/>
          <w:color w:val="000000"/>
          <w:sz w:val="24"/>
        </w:rPr>
        <w:t xml:space="preserve">, limiting only to the assessment of legality, the Supreme Court, </w:t>
      </w:r>
      <w:r w:rsidR="004926D3" w:rsidRPr="00012C17">
        <w:rPr>
          <w:bCs/>
          <w:iCs/>
          <w:color w:val="000000"/>
          <w:sz w:val="24"/>
        </w:rPr>
        <w:t>by</w:t>
      </w:r>
      <w:r w:rsidRPr="00012C17">
        <w:rPr>
          <w:bCs/>
          <w:iCs/>
          <w:color w:val="000000"/>
          <w:sz w:val="24"/>
        </w:rPr>
        <w:t xml:space="preserve"> its decisions, also violated the </w:t>
      </w:r>
      <w:r w:rsidR="004926D3" w:rsidRPr="00012C17">
        <w:rPr>
          <w:bCs/>
          <w:iCs/>
          <w:color w:val="000000"/>
          <w:sz w:val="24"/>
        </w:rPr>
        <w:t>“</w:t>
      </w:r>
      <w:r w:rsidRPr="00012C17">
        <w:rPr>
          <w:bCs/>
          <w:i/>
          <w:color w:val="000000"/>
          <w:sz w:val="24"/>
        </w:rPr>
        <w:t>principle of constitutional supremacy</w:t>
      </w:r>
      <w:r w:rsidR="0077313A" w:rsidRPr="00012C17">
        <w:rPr>
          <w:bCs/>
          <w:i/>
          <w:iCs/>
          <w:color w:val="000000"/>
          <w:sz w:val="24"/>
        </w:rPr>
        <w:t>”</w:t>
      </w:r>
      <w:r w:rsidR="001403D6" w:rsidRPr="00012C17">
        <w:rPr>
          <w:bCs/>
          <w:iCs/>
          <w:color w:val="000000"/>
          <w:sz w:val="24"/>
        </w:rPr>
        <w:t>.</w:t>
      </w:r>
    </w:p>
    <w:p w:rsidR="00DB58A8" w:rsidRPr="00012C17" w:rsidRDefault="00DB58A8" w:rsidP="001B11C5">
      <w:pPr>
        <w:pStyle w:val="ListParagraph"/>
        <w:spacing w:after="0" w:line="240" w:lineRule="auto"/>
        <w:rPr>
          <w:rFonts w:ascii="Georgia" w:hAnsi="Georgia"/>
          <w:bCs/>
          <w:iCs/>
          <w:color w:val="000000"/>
          <w:sz w:val="24"/>
          <w:szCs w:val="24"/>
          <w:lang w:val="en-US"/>
        </w:rPr>
      </w:pPr>
    </w:p>
    <w:p w:rsidR="00E27A8F" w:rsidRPr="00012C17" w:rsidRDefault="004926D3" w:rsidP="001B11C5">
      <w:pPr>
        <w:numPr>
          <w:ilvl w:val="0"/>
          <w:numId w:val="1"/>
        </w:numPr>
        <w:spacing w:line="240" w:lineRule="auto"/>
        <w:ind w:left="630" w:hanging="630"/>
        <w:rPr>
          <w:bCs/>
          <w:iCs/>
          <w:color w:val="000000"/>
          <w:sz w:val="24"/>
        </w:rPr>
      </w:pPr>
      <w:r w:rsidRPr="00012C17">
        <w:rPr>
          <w:bCs/>
          <w:iCs/>
          <w:color w:val="000000"/>
          <w:sz w:val="24"/>
        </w:rPr>
        <w:t>However, as regards</w:t>
      </w:r>
      <w:r w:rsidR="00A34F63" w:rsidRPr="00012C17">
        <w:rPr>
          <w:bCs/>
          <w:iCs/>
          <w:color w:val="000000"/>
          <w:sz w:val="24"/>
        </w:rPr>
        <w:t xml:space="preserve"> the second category of </w:t>
      </w:r>
      <w:r w:rsidRPr="00012C17">
        <w:rPr>
          <w:bCs/>
          <w:iCs/>
          <w:color w:val="000000"/>
          <w:sz w:val="24"/>
        </w:rPr>
        <w:t>allegations</w:t>
      </w:r>
      <w:r w:rsidR="00A34F63" w:rsidRPr="00012C17">
        <w:rPr>
          <w:bCs/>
          <w:iCs/>
          <w:color w:val="000000"/>
          <w:sz w:val="24"/>
        </w:rPr>
        <w:t>, namely the arbitrar</w:t>
      </w:r>
      <w:r w:rsidR="00DC6F5C" w:rsidRPr="00012C17">
        <w:rPr>
          <w:bCs/>
          <w:iCs/>
          <w:color w:val="000000"/>
          <w:sz w:val="24"/>
        </w:rPr>
        <w:t xml:space="preserve">iness </w:t>
      </w:r>
      <w:r w:rsidR="00A34F63" w:rsidRPr="00012C17">
        <w:rPr>
          <w:bCs/>
          <w:iCs/>
          <w:color w:val="000000"/>
          <w:sz w:val="24"/>
        </w:rPr>
        <w:t xml:space="preserve">of the </w:t>
      </w:r>
      <w:r w:rsidRPr="00012C17">
        <w:rPr>
          <w:bCs/>
          <w:iCs/>
          <w:color w:val="000000"/>
          <w:sz w:val="24"/>
        </w:rPr>
        <w:t>challenged</w:t>
      </w:r>
      <w:r w:rsidR="00A34F63" w:rsidRPr="00012C17">
        <w:rPr>
          <w:bCs/>
          <w:iCs/>
          <w:color w:val="000000"/>
          <w:sz w:val="24"/>
        </w:rPr>
        <w:t xml:space="preserve"> decisions, the </w:t>
      </w:r>
      <w:r w:rsidRPr="00012C17">
        <w:rPr>
          <w:bCs/>
          <w:iCs/>
          <w:color w:val="000000"/>
          <w:sz w:val="24"/>
        </w:rPr>
        <w:t>A</w:t>
      </w:r>
      <w:r w:rsidR="00A34F63" w:rsidRPr="00012C17">
        <w:rPr>
          <w:bCs/>
          <w:iCs/>
          <w:color w:val="000000"/>
          <w:sz w:val="24"/>
        </w:rPr>
        <w:t xml:space="preserve">pplicants </w:t>
      </w:r>
      <w:r w:rsidR="00DC6F5C" w:rsidRPr="00012C17">
        <w:rPr>
          <w:bCs/>
          <w:iCs/>
          <w:color w:val="000000"/>
          <w:sz w:val="24"/>
        </w:rPr>
        <w:t>build</w:t>
      </w:r>
      <w:r w:rsidR="00A34F63" w:rsidRPr="00012C17">
        <w:rPr>
          <w:bCs/>
          <w:iCs/>
          <w:color w:val="000000"/>
          <w:sz w:val="24"/>
        </w:rPr>
        <w:t xml:space="preserve"> their </w:t>
      </w:r>
      <w:r w:rsidRPr="00012C17">
        <w:rPr>
          <w:bCs/>
          <w:iCs/>
          <w:color w:val="000000"/>
          <w:sz w:val="24"/>
        </w:rPr>
        <w:t>allegations</w:t>
      </w:r>
      <w:r w:rsidR="00A34F63" w:rsidRPr="00012C17">
        <w:rPr>
          <w:bCs/>
          <w:iCs/>
          <w:color w:val="000000"/>
          <w:sz w:val="24"/>
        </w:rPr>
        <w:t xml:space="preserve"> mainly </w:t>
      </w:r>
      <w:r w:rsidRPr="00012C17">
        <w:rPr>
          <w:bCs/>
          <w:iCs/>
          <w:color w:val="000000"/>
          <w:sz w:val="24"/>
        </w:rPr>
        <w:t>based on</w:t>
      </w:r>
      <w:r w:rsidR="00A34F63" w:rsidRPr="00012C17">
        <w:rPr>
          <w:bCs/>
          <w:iCs/>
          <w:color w:val="000000"/>
          <w:sz w:val="24"/>
        </w:rPr>
        <w:t xml:space="preserve"> the erroneous </w:t>
      </w:r>
      <w:r w:rsidR="005F3372" w:rsidRPr="00012C17">
        <w:rPr>
          <w:bCs/>
          <w:iCs/>
          <w:color w:val="000000"/>
          <w:sz w:val="24"/>
        </w:rPr>
        <w:t xml:space="preserve">and arbitrary </w:t>
      </w:r>
      <w:r w:rsidR="00A34F63" w:rsidRPr="00012C17">
        <w:rPr>
          <w:bCs/>
          <w:iCs/>
          <w:color w:val="000000"/>
          <w:sz w:val="24"/>
        </w:rPr>
        <w:t>interpretation of the applicable law.</w:t>
      </w:r>
      <w:r w:rsidR="00D41E69" w:rsidRPr="00012C17">
        <w:rPr>
          <w:bCs/>
          <w:iCs/>
          <w:color w:val="000000"/>
          <w:sz w:val="24"/>
        </w:rPr>
        <w:t xml:space="preserve"> </w:t>
      </w:r>
    </w:p>
    <w:p w:rsidR="00E27A8F" w:rsidRPr="00012C17" w:rsidRDefault="00E27A8F" w:rsidP="001B11C5">
      <w:pPr>
        <w:pStyle w:val="ListParagraph"/>
        <w:spacing w:after="0" w:line="240" w:lineRule="auto"/>
        <w:rPr>
          <w:rFonts w:ascii="Georgia" w:hAnsi="Georgia"/>
          <w:bCs/>
          <w:iCs/>
          <w:color w:val="000000"/>
          <w:sz w:val="24"/>
          <w:szCs w:val="24"/>
          <w:lang w:val="en-US"/>
        </w:rPr>
      </w:pPr>
    </w:p>
    <w:p w:rsidR="00783BB4"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 xml:space="preserve">In this regard, the </w:t>
      </w:r>
      <w:r w:rsidRPr="00012C17">
        <w:rPr>
          <w:rFonts w:cs="Arial"/>
          <w:color w:val="000000"/>
          <w:sz w:val="24"/>
        </w:rPr>
        <w:t>Applicants</w:t>
      </w:r>
      <w:r w:rsidRPr="00012C17">
        <w:rPr>
          <w:bCs/>
          <w:iCs/>
          <w:color w:val="000000"/>
          <w:sz w:val="24"/>
        </w:rPr>
        <w:t xml:space="preserve"> allege that (i) the reasoning of the Supreme Court in its </w:t>
      </w:r>
      <w:r w:rsidR="00DC6F5C" w:rsidRPr="00012C17">
        <w:rPr>
          <w:bCs/>
          <w:iCs/>
          <w:color w:val="000000"/>
          <w:sz w:val="24"/>
        </w:rPr>
        <w:t>f</w:t>
      </w:r>
      <w:r w:rsidR="004D2B15" w:rsidRPr="00012C17">
        <w:rPr>
          <w:bCs/>
          <w:iCs/>
          <w:color w:val="000000"/>
          <w:sz w:val="24"/>
        </w:rPr>
        <w:t xml:space="preserve">irst Decision </w:t>
      </w:r>
      <w:r w:rsidRPr="00012C17">
        <w:rPr>
          <w:bCs/>
          <w:iCs/>
          <w:color w:val="000000"/>
          <w:sz w:val="24"/>
        </w:rPr>
        <w:t>[AA.</w:t>
      </w:r>
      <w:r w:rsidR="004926D3" w:rsidRPr="00012C17">
        <w:rPr>
          <w:bCs/>
          <w:iCs/>
          <w:color w:val="000000"/>
          <w:sz w:val="24"/>
        </w:rPr>
        <w:t xml:space="preserve"> No</w:t>
      </w:r>
      <w:r w:rsidRPr="00012C17">
        <w:rPr>
          <w:bCs/>
          <w:iCs/>
          <w:color w:val="000000"/>
          <w:sz w:val="24"/>
        </w:rPr>
        <w:t>.</w:t>
      </w:r>
      <w:r w:rsidR="004926D3" w:rsidRPr="00012C17">
        <w:rPr>
          <w:bCs/>
          <w:iCs/>
          <w:color w:val="000000"/>
          <w:sz w:val="24"/>
        </w:rPr>
        <w:t xml:space="preserve"> 52/</w:t>
      </w:r>
      <w:r w:rsidRPr="00012C17">
        <w:rPr>
          <w:bCs/>
          <w:iCs/>
          <w:color w:val="000000"/>
          <w:sz w:val="24"/>
        </w:rPr>
        <w:t xml:space="preserve">2017] that </w:t>
      </w:r>
      <w:r w:rsidR="001403D6" w:rsidRPr="00012C17">
        <w:rPr>
          <w:bCs/>
          <w:iCs/>
          <w:color w:val="000000"/>
          <w:sz w:val="24"/>
        </w:rPr>
        <w:t>“</w:t>
      </w:r>
      <w:r w:rsidRPr="00012C17">
        <w:rPr>
          <w:bCs/>
          <w:i/>
          <w:iCs/>
          <w:color w:val="000000"/>
          <w:sz w:val="24"/>
        </w:rPr>
        <w:t xml:space="preserve">the law does not foresee the narrow </w:t>
      </w:r>
      <w:r w:rsidR="00253749" w:rsidRPr="00012C17">
        <w:rPr>
          <w:bCs/>
          <w:i/>
          <w:iCs/>
          <w:color w:val="000000"/>
          <w:sz w:val="24"/>
        </w:rPr>
        <w:t>result</w:t>
      </w:r>
      <w:r w:rsidRPr="00012C17">
        <w:rPr>
          <w:bCs/>
          <w:i/>
          <w:iCs/>
          <w:color w:val="000000"/>
          <w:sz w:val="24"/>
        </w:rPr>
        <w:t xml:space="preserve"> between the candida</w:t>
      </w:r>
      <w:r w:rsidR="00253749" w:rsidRPr="00012C17">
        <w:rPr>
          <w:bCs/>
          <w:i/>
          <w:iCs/>
          <w:color w:val="000000"/>
          <w:sz w:val="24"/>
        </w:rPr>
        <w:t>tes as a condition for recount”</w:t>
      </w:r>
      <w:r w:rsidRPr="00012C17">
        <w:rPr>
          <w:bCs/>
          <w:i/>
          <w:iCs/>
          <w:color w:val="000000"/>
          <w:sz w:val="24"/>
        </w:rPr>
        <w:t xml:space="preserve">, </w:t>
      </w:r>
      <w:r w:rsidRPr="00012C17">
        <w:rPr>
          <w:bCs/>
          <w:color w:val="000000"/>
          <w:sz w:val="24"/>
        </w:rPr>
        <w:t xml:space="preserve">is </w:t>
      </w:r>
      <w:r w:rsidR="00253749" w:rsidRPr="00012C17">
        <w:rPr>
          <w:bCs/>
          <w:color w:val="000000"/>
          <w:sz w:val="24"/>
        </w:rPr>
        <w:t>un</w:t>
      </w:r>
      <w:r w:rsidRPr="00012C17">
        <w:rPr>
          <w:bCs/>
          <w:color w:val="000000"/>
          <w:sz w:val="24"/>
        </w:rPr>
        <w:t>constituti</w:t>
      </w:r>
      <w:r w:rsidR="00253749" w:rsidRPr="00012C17">
        <w:rPr>
          <w:bCs/>
          <w:color w:val="000000"/>
          <w:sz w:val="24"/>
        </w:rPr>
        <w:t>onal because according to them</w:t>
      </w:r>
      <w:r w:rsidR="00253749" w:rsidRPr="00012C17">
        <w:rPr>
          <w:bCs/>
          <w:i/>
          <w:iCs/>
          <w:color w:val="000000"/>
          <w:sz w:val="24"/>
        </w:rPr>
        <w:t xml:space="preserve"> “</w:t>
      </w:r>
      <w:r w:rsidRPr="00012C17">
        <w:rPr>
          <w:bCs/>
          <w:i/>
          <w:iCs/>
          <w:color w:val="000000"/>
          <w:sz w:val="24"/>
        </w:rPr>
        <w:t xml:space="preserve">no </w:t>
      </w:r>
      <w:r w:rsidR="00253749" w:rsidRPr="00012C17">
        <w:rPr>
          <w:bCs/>
          <w:i/>
          <w:iCs/>
          <w:color w:val="000000"/>
          <w:sz w:val="24"/>
        </w:rPr>
        <w:t>country</w:t>
      </w:r>
      <w:r w:rsidRPr="00012C17">
        <w:rPr>
          <w:bCs/>
          <w:i/>
          <w:iCs/>
          <w:color w:val="000000"/>
          <w:sz w:val="24"/>
        </w:rPr>
        <w:t xml:space="preserve"> counts conditions or </w:t>
      </w:r>
      <w:r w:rsidR="00253749" w:rsidRPr="00012C17">
        <w:rPr>
          <w:bCs/>
          <w:i/>
          <w:iCs/>
          <w:color w:val="000000"/>
          <w:sz w:val="24"/>
        </w:rPr>
        <w:t>cases</w:t>
      </w:r>
      <w:r w:rsidR="00116228" w:rsidRPr="00012C17">
        <w:rPr>
          <w:bCs/>
          <w:i/>
          <w:iCs/>
          <w:color w:val="000000"/>
          <w:sz w:val="24"/>
        </w:rPr>
        <w:t xml:space="preserve"> when recount</w:t>
      </w:r>
      <w:r w:rsidRPr="00012C17">
        <w:rPr>
          <w:bCs/>
          <w:i/>
          <w:iCs/>
          <w:color w:val="000000"/>
          <w:sz w:val="24"/>
        </w:rPr>
        <w:t xml:space="preserve"> </w:t>
      </w:r>
      <w:r w:rsidR="00253749" w:rsidRPr="00012C17">
        <w:rPr>
          <w:bCs/>
          <w:i/>
          <w:iCs/>
          <w:color w:val="000000"/>
          <w:sz w:val="24"/>
        </w:rPr>
        <w:t xml:space="preserve">is ordered </w:t>
      </w:r>
      <w:r w:rsidRPr="00012C17">
        <w:rPr>
          <w:bCs/>
          <w:i/>
          <w:iCs/>
          <w:color w:val="000000"/>
          <w:sz w:val="24"/>
        </w:rPr>
        <w:t xml:space="preserve">- because it - </w:t>
      </w:r>
      <w:r w:rsidR="006F168E" w:rsidRPr="00012C17">
        <w:rPr>
          <w:bCs/>
          <w:i/>
          <w:iCs/>
          <w:color w:val="000000"/>
          <w:sz w:val="24"/>
        </w:rPr>
        <w:t>the</w:t>
      </w:r>
      <w:r w:rsidRPr="00012C17">
        <w:rPr>
          <w:bCs/>
          <w:i/>
          <w:iCs/>
          <w:color w:val="000000"/>
          <w:sz w:val="24"/>
        </w:rPr>
        <w:t xml:space="preserve"> confirmation of the </w:t>
      </w:r>
      <w:r w:rsidR="00116228" w:rsidRPr="00012C17">
        <w:rPr>
          <w:bCs/>
          <w:i/>
          <w:iCs/>
          <w:color w:val="000000"/>
          <w:sz w:val="24"/>
        </w:rPr>
        <w:t>electoral</w:t>
      </w:r>
      <w:r w:rsidR="00253749" w:rsidRPr="00012C17">
        <w:rPr>
          <w:bCs/>
          <w:i/>
          <w:iCs/>
          <w:color w:val="000000"/>
          <w:sz w:val="24"/>
        </w:rPr>
        <w:t xml:space="preserve"> process</w:t>
      </w:r>
      <w:r w:rsidR="006F168E" w:rsidRPr="00012C17">
        <w:rPr>
          <w:bCs/>
          <w:i/>
          <w:iCs/>
          <w:color w:val="000000"/>
          <w:sz w:val="24"/>
        </w:rPr>
        <w:t xml:space="preserve"> is a right in itself</w:t>
      </w:r>
      <w:r w:rsidR="00253749" w:rsidRPr="00012C17">
        <w:rPr>
          <w:bCs/>
          <w:i/>
          <w:iCs/>
          <w:color w:val="000000"/>
          <w:sz w:val="24"/>
        </w:rPr>
        <w:t>”</w:t>
      </w:r>
      <w:r w:rsidRPr="00012C17">
        <w:rPr>
          <w:bCs/>
          <w:i/>
          <w:iCs/>
          <w:color w:val="000000"/>
          <w:sz w:val="24"/>
        </w:rPr>
        <w:t xml:space="preserve">; </w:t>
      </w:r>
      <w:r w:rsidRPr="00012C17">
        <w:rPr>
          <w:bCs/>
          <w:color w:val="000000"/>
          <w:sz w:val="24"/>
        </w:rPr>
        <w:t xml:space="preserve">(ii) that the </w:t>
      </w:r>
      <w:r w:rsidR="00116228" w:rsidRPr="00012C17">
        <w:rPr>
          <w:bCs/>
          <w:color w:val="000000"/>
          <w:sz w:val="24"/>
        </w:rPr>
        <w:t>s</w:t>
      </w:r>
      <w:r w:rsidR="004D2B15" w:rsidRPr="00012C17">
        <w:rPr>
          <w:bCs/>
          <w:color w:val="000000"/>
          <w:sz w:val="24"/>
        </w:rPr>
        <w:t xml:space="preserve">econd Decision </w:t>
      </w:r>
      <w:r w:rsidRPr="00012C17">
        <w:rPr>
          <w:bCs/>
          <w:color w:val="000000"/>
          <w:sz w:val="24"/>
        </w:rPr>
        <w:t>of the Supreme Court [A</w:t>
      </w:r>
      <w:r w:rsidR="006634E8" w:rsidRPr="00012C17">
        <w:rPr>
          <w:bCs/>
          <w:color w:val="000000"/>
          <w:sz w:val="24"/>
        </w:rPr>
        <w:t>.</w:t>
      </w:r>
      <w:r w:rsidRPr="00012C17">
        <w:rPr>
          <w:bCs/>
          <w:color w:val="000000"/>
          <w:sz w:val="24"/>
        </w:rPr>
        <w:t>A</w:t>
      </w:r>
      <w:r w:rsidR="006634E8" w:rsidRPr="00012C17">
        <w:rPr>
          <w:bCs/>
          <w:color w:val="000000"/>
          <w:sz w:val="24"/>
        </w:rPr>
        <w:t>.</w:t>
      </w:r>
      <w:r w:rsidRPr="00012C17">
        <w:rPr>
          <w:bCs/>
          <w:color w:val="000000"/>
          <w:sz w:val="24"/>
        </w:rPr>
        <w:t xml:space="preserve"> U.ZH.</w:t>
      </w:r>
      <w:r w:rsidR="00253749" w:rsidRPr="00012C17">
        <w:rPr>
          <w:bCs/>
          <w:color w:val="000000"/>
          <w:sz w:val="24"/>
        </w:rPr>
        <w:t xml:space="preserve"> No</w:t>
      </w:r>
      <w:r w:rsidRPr="00012C17">
        <w:rPr>
          <w:bCs/>
          <w:color w:val="000000"/>
          <w:sz w:val="24"/>
        </w:rPr>
        <w:t>.</w:t>
      </w:r>
      <w:r w:rsidR="00253749" w:rsidRPr="00012C17">
        <w:rPr>
          <w:bCs/>
          <w:color w:val="000000"/>
          <w:sz w:val="24"/>
        </w:rPr>
        <w:t xml:space="preserve"> 62/</w:t>
      </w:r>
      <w:r w:rsidRPr="00012C17">
        <w:rPr>
          <w:bCs/>
          <w:color w:val="000000"/>
          <w:sz w:val="24"/>
        </w:rPr>
        <w:t xml:space="preserve">2017] has no legal basis. In this regard, the Applicants allege that the </w:t>
      </w:r>
      <w:r w:rsidR="00253749" w:rsidRPr="00012C17">
        <w:rPr>
          <w:bCs/>
          <w:color w:val="000000"/>
          <w:sz w:val="24"/>
        </w:rPr>
        <w:t>reasoning of the Supreme Court</w:t>
      </w:r>
      <w:r w:rsidR="00116228" w:rsidRPr="00012C17">
        <w:rPr>
          <w:bCs/>
          <w:color w:val="000000"/>
          <w:sz w:val="24"/>
        </w:rPr>
        <w:t>,</w:t>
      </w:r>
      <w:r w:rsidR="006D201C" w:rsidRPr="00012C17">
        <w:rPr>
          <w:bCs/>
          <w:color w:val="000000"/>
          <w:sz w:val="24"/>
        </w:rPr>
        <w:t xml:space="preserve"> </w:t>
      </w:r>
      <w:r w:rsidR="00116228" w:rsidRPr="00012C17">
        <w:rPr>
          <w:bCs/>
          <w:color w:val="000000"/>
          <w:sz w:val="24"/>
        </w:rPr>
        <w:t>which</w:t>
      </w:r>
      <w:r w:rsidRPr="00012C17">
        <w:rPr>
          <w:bCs/>
          <w:color w:val="000000"/>
          <w:sz w:val="24"/>
        </w:rPr>
        <w:t xml:space="preserve"> in the </w:t>
      </w:r>
      <w:r w:rsidR="006D201C" w:rsidRPr="00012C17">
        <w:rPr>
          <w:bCs/>
          <w:color w:val="000000"/>
          <w:sz w:val="24"/>
        </w:rPr>
        <w:t>appeals</w:t>
      </w:r>
      <w:r w:rsidRPr="00012C17">
        <w:rPr>
          <w:bCs/>
          <w:color w:val="000000"/>
          <w:sz w:val="24"/>
        </w:rPr>
        <w:t xml:space="preserve"> procedure </w:t>
      </w:r>
      <w:r w:rsidR="006D201C" w:rsidRPr="00012C17">
        <w:rPr>
          <w:bCs/>
          <w:color w:val="000000"/>
          <w:sz w:val="24"/>
        </w:rPr>
        <w:t>was</w:t>
      </w:r>
      <w:r w:rsidRPr="00012C17">
        <w:rPr>
          <w:bCs/>
          <w:color w:val="000000"/>
          <w:sz w:val="24"/>
        </w:rPr>
        <w:t xml:space="preserve"> limited only to the assessment of</w:t>
      </w:r>
      <w:r w:rsidRPr="00012C17">
        <w:rPr>
          <w:bCs/>
          <w:i/>
          <w:iCs/>
          <w:color w:val="000000"/>
          <w:sz w:val="24"/>
        </w:rPr>
        <w:t xml:space="preserve"> </w:t>
      </w:r>
      <w:r w:rsidR="006D201C" w:rsidRPr="00012C17">
        <w:rPr>
          <w:bCs/>
          <w:i/>
          <w:iCs/>
          <w:color w:val="000000"/>
          <w:sz w:val="24"/>
        </w:rPr>
        <w:t>“</w:t>
      </w:r>
      <w:r w:rsidRPr="00012C17">
        <w:rPr>
          <w:bCs/>
          <w:i/>
          <w:iCs/>
          <w:color w:val="000000"/>
          <w:sz w:val="24"/>
        </w:rPr>
        <w:t xml:space="preserve">irregularities related to </w:t>
      </w:r>
      <w:r w:rsidR="006D201C" w:rsidRPr="00012C17">
        <w:rPr>
          <w:bCs/>
          <w:i/>
          <w:iCs/>
          <w:color w:val="000000"/>
          <w:sz w:val="24"/>
        </w:rPr>
        <w:t xml:space="preserve">the </w:t>
      </w:r>
      <w:r w:rsidR="004D2B15" w:rsidRPr="00012C17">
        <w:rPr>
          <w:bCs/>
          <w:i/>
          <w:iCs/>
          <w:color w:val="000000"/>
          <w:sz w:val="24"/>
        </w:rPr>
        <w:t>data administration”</w:t>
      </w:r>
      <w:r w:rsidRPr="00012C17">
        <w:rPr>
          <w:bCs/>
          <w:i/>
          <w:iCs/>
          <w:color w:val="000000"/>
          <w:sz w:val="24"/>
        </w:rPr>
        <w:t xml:space="preserve">, </w:t>
      </w:r>
      <w:r w:rsidR="006D201C" w:rsidRPr="00012C17">
        <w:rPr>
          <w:bCs/>
          <w:color w:val="000000"/>
          <w:sz w:val="24"/>
        </w:rPr>
        <w:t>is not based on the applicable law</w:t>
      </w:r>
      <w:r w:rsidRPr="00012C17">
        <w:rPr>
          <w:bCs/>
          <w:i/>
          <w:iCs/>
          <w:color w:val="000000"/>
          <w:sz w:val="24"/>
        </w:rPr>
        <w:t xml:space="preserve">. </w:t>
      </w:r>
      <w:r w:rsidR="006D201C" w:rsidRPr="00012C17">
        <w:rPr>
          <w:bCs/>
          <w:color w:val="000000"/>
          <w:sz w:val="24"/>
        </w:rPr>
        <w:t>In support</w:t>
      </w:r>
      <w:r w:rsidRPr="00012C17">
        <w:rPr>
          <w:bCs/>
          <w:color w:val="000000"/>
          <w:sz w:val="24"/>
        </w:rPr>
        <w:t xml:space="preserve"> </w:t>
      </w:r>
      <w:r w:rsidR="006D201C" w:rsidRPr="00012C17">
        <w:rPr>
          <w:bCs/>
          <w:color w:val="000000"/>
          <w:sz w:val="24"/>
        </w:rPr>
        <w:t>of</w:t>
      </w:r>
      <w:r w:rsidRPr="00012C17">
        <w:rPr>
          <w:bCs/>
          <w:color w:val="000000"/>
          <w:sz w:val="24"/>
        </w:rPr>
        <w:t xml:space="preserve"> th</w:t>
      </w:r>
      <w:r w:rsidR="006D201C" w:rsidRPr="00012C17">
        <w:rPr>
          <w:bCs/>
          <w:color w:val="000000"/>
          <w:sz w:val="24"/>
        </w:rPr>
        <w:t>is</w:t>
      </w:r>
      <w:r w:rsidRPr="00012C17">
        <w:rPr>
          <w:bCs/>
          <w:color w:val="000000"/>
          <w:sz w:val="24"/>
        </w:rPr>
        <w:t xml:space="preserve"> allegation, the Applicants </w:t>
      </w:r>
      <w:r w:rsidR="006D201C" w:rsidRPr="00012C17">
        <w:rPr>
          <w:bCs/>
          <w:color w:val="000000"/>
          <w:sz w:val="24"/>
        </w:rPr>
        <w:t>reason</w:t>
      </w:r>
      <w:r w:rsidRPr="00012C17">
        <w:rPr>
          <w:bCs/>
          <w:color w:val="000000"/>
          <w:sz w:val="24"/>
        </w:rPr>
        <w:t xml:space="preserve"> that the </w:t>
      </w:r>
      <w:r w:rsidR="006D201C" w:rsidRPr="00012C17">
        <w:rPr>
          <w:bCs/>
          <w:color w:val="000000"/>
          <w:sz w:val="24"/>
        </w:rPr>
        <w:t>appealing</w:t>
      </w:r>
      <w:r w:rsidRPr="00012C17">
        <w:rPr>
          <w:bCs/>
          <w:color w:val="000000"/>
          <w:sz w:val="24"/>
        </w:rPr>
        <w:t xml:space="preserve"> allegations about the latter, namely</w:t>
      </w:r>
      <w:r w:rsidRPr="00012C17">
        <w:rPr>
          <w:bCs/>
          <w:i/>
          <w:iCs/>
          <w:color w:val="000000"/>
          <w:sz w:val="24"/>
        </w:rPr>
        <w:t xml:space="preserve"> </w:t>
      </w:r>
      <w:r w:rsidR="006D201C" w:rsidRPr="00012C17">
        <w:rPr>
          <w:bCs/>
          <w:i/>
          <w:iCs/>
          <w:color w:val="000000"/>
          <w:sz w:val="24"/>
        </w:rPr>
        <w:t xml:space="preserve">“the </w:t>
      </w:r>
      <w:r w:rsidRPr="00012C17">
        <w:rPr>
          <w:bCs/>
          <w:i/>
          <w:iCs/>
          <w:color w:val="000000"/>
          <w:sz w:val="24"/>
        </w:rPr>
        <w:t>irregularities in the administration of the data in the CRC</w:t>
      </w:r>
      <w:r w:rsidR="005F3372" w:rsidRPr="00012C17">
        <w:rPr>
          <w:bCs/>
          <w:i/>
          <w:iCs/>
          <w:color w:val="000000"/>
          <w:sz w:val="24"/>
        </w:rPr>
        <w:t xml:space="preserve"> </w:t>
      </w:r>
      <w:r w:rsidR="005F3372" w:rsidRPr="00012C17">
        <w:rPr>
          <w:bCs/>
          <w:color w:val="000000"/>
          <w:sz w:val="24"/>
        </w:rPr>
        <w:t>[Count and Result</w:t>
      </w:r>
      <w:r w:rsidR="00A54CE2" w:rsidRPr="00012C17">
        <w:rPr>
          <w:bCs/>
          <w:color w:val="000000"/>
          <w:sz w:val="24"/>
        </w:rPr>
        <w:t>s</w:t>
      </w:r>
      <w:r w:rsidR="005F3372" w:rsidRPr="00012C17">
        <w:rPr>
          <w:bCs/>
          <w:color w:val="000000"/>
          <w:sz w:val="24"/>
        </w:rPr>
        <w:t xml:space="preserve"> Center]</w:t>
      </w:r>
      <w:r w:rsidR="006D201C" w:rsidRPr="00012C17">
        <w:rPr>
          <w:bCs/>
          <w:i/>
          <w:iCs/>
          <w:color w:val="000000"/>
          <w:sz w:val="24"/>
        </w:rPr>
        <w:t>”</w:t>
      </w:r>
      <w:r w:rsidRPr="00012C17">
        <w:rPr>
          <w:bCs/>
          <w:i/>
          <w:iCs/>
          <w:color w:val="000000"/>
          <w:sz w:val="24"/>
        </w:rPr>
        <w:t xml:space="preserve"> </w:t>
      </w:r>
      <w:r w:rsidRPr="00012C17">
        <w:rPr>
          <w:bCs/>
          <w:color w:val="000000"/>
          <w:sz w:val="24"/>
        </w:rPr>
        <w:t xml:space="preserve">are </w:t>
      </w:r>
      <w:r w:rsidRPr="00012C17">
        <w:rPr>
          <w:bCs/>
          <w:color w:val="000000"/>
          <w:sz w:val="24"/>
        </w:rPr>
        <w:lastRenderedPageBreak/>
        <w:t>based only on the special procedure provided for in Article 105 of the LGE</w:t>
      </w:r>
      <w:r w:rsidRPr="00012C17">
        <w:rPr>
          <w:bCs/>
          <w:i/>
          <w:iCs/>
          <w:color w:val="000000"/>
          <w:sz w:val="24"/>
        </w:rPr>
        <w:t xml:space="preserve">, </w:t>
      </w:r>
      <w:r w:rsidRPr="00012C17">
        <w:rPr>
          <w:bCs/>
          <w:color w:val="000000"/>
          <w:sz w:val="24"/>
        </w:rPr>
        <w:t>whereas the Applicants have filed complaints pursuant to Article 119</w:t>
      </w:r>
      <w:r w:rsidR="00E27A8F" w:rsidRPr="00012C17">
        <w:rPr>
          <w:bCs/>
          <w:color w:val="000000"/>
          <w:sz w:val="24"/>
        </w:rPr>
        <w:t xml:space="preserve"> of the LGE</w:t>
      </w:r>
      <w:r w:rsidRPr="00012C17">
        <w:rPr>
          <w:bCs/>
          <w:color w:val="000000"/>
          <w:sz w:val="24"/>
        </w:rPr>
        <w:t xml:space="preserve">. </w:t>
      </w:r>
      <w:r w:rsidR="006D201C" w:rsidRPr="00012C17">
        <w:rPr>
          <w:bCs/>
          <w:color w:val="000000"/>
          <w:sz w:val="24"/>
        </w:rPr>
        <w:t>In addition</w:t>
      </w:r>
      <w:r w:rsidRPr="00012C17">
        <w:rPr>
          <w:bCs/>
          <w:color w:val="000000"/>
          <w:sz w:val="24"/>
        </w:rPr>
        <w:t xml:space="preserve">, the Applicants allege </w:t>
      </w:r>
      <w:r w:rsidR="004D2B15" w:rsidRPr="00012C17">
        <w:rPr>
          <w:bCs/>
          <w:color w:val="000000"/>
          <w:sz w:val="24"/>
        </w:rPr>
        <w:t xml:space="preserve">that </w:t>
      </w:r>
      <w:r w:rsidRPr="00012C17">
        <w:rPr>
          <w:bCs/>
          <w:color w:val="000000"/>
          <w:sz w:val="24"/>
        </w:rPr>
        <w:t xml:space="preserve">Articles 118.4 and 119.1 of the LGE and </w:t>
      </w:r>
      <w:r w:rsidR="006D201C" w:rsidRPr="00012C17">
        <w:rPr>
          <w:bCs/>
          <w:color w:val="000000"/>
          <w:sz w:val="24"/>
        </w:rPr>
        <w:t>respective</w:t>
      </w:r>
      <w:r w:rsidRPr="00012C17">
        <w:rPr>
          <w:bCs/>
          <w:color w:val="000000"/>
          <w:sz w:val="24"/>
        </w:rPr>
        <w:t xml:space="preserve"> amendments</w:t>
      </w:r>
      <w:r w:rsidR="006D201C" w:rsidRPr="00012C17">
        <w:rPr>
          <w:bCs/>
          <w:color w:val="000000"/>
          <w:sz w:val="24"/>
        </w:rPr>
        <w:t>-supplementation</w:t>
      </w:r>
      <w:r w:rsidR="00116228" w:rsidRPr="00012C17">
        <w:rPr>
          <w:bCs/>
          <w:color w:val="000000"/>
          <w:sz w:val="24"/>
        </w:rPr>
        <w:t>s</w:t>
      </w:r>
      <w:r w:rsidRPr="00012C17">
        <w:rPr>
          <w:bCs/>
          <w:color w:val="000000"/>
          <w:sz w:val="24"/>
        </w:rPr>
        <w:t xml:space="preserve">, recognize the right to </w:t>
      </w:r>
      <w:r w:rsidR="006D201C" w:rsidRPr="00012C17">
        <w:rPr>
          <w:bCs/>
          <w:color w:val="000000"/>
          <w:sz w:val="24"/>
        </w:rPr>
        <w:t>supplement the</w:t>
      </w:r>
      <w:r w:rsidR="00E2136F" w:rsidRPr="00012C17">
        <w:rPr>
          <w:bCs/>
          <w:color w:val="000000"/>
          <w:sz w:val="24"/>
        </w:rPr>
        <w:t xml:space="preserve"> appeal</w:t>
      </w:r>
      <w:r w:rsidRPr="00012C17">
        <w:rPr>
          <w:bCs/>
          <w:color w:val="000000"/>
          <w:sz w:val="24"/>
        </w:rPr>
        <w:t xml:space="preserve"> submitted to ECAP with new evidence and </w:t>
      </w:r>
      <w:r w:rsidR="006D201C" w:rsidRPr="00012C17">
        <w:rPr>
          <w:bCs/>
          <w:color w:val="000000"/>
          <w:sz w:val="24"/>
        </w:rPr>
        <w:t>facts</w:t>
      </w:r>
      <w:r w:rsidRPr="00012C17">
        <w:rPr>
          <w:bCs/>
          <w:color w:val="000000"/>
          <w:sz w:val="24"/>
        </w:rPr>
        <w:t xml:space="preserve">. In this regard, the Applicants also </w:t>
      </w:r>
      <w:r w:rsidR="006D201C" w:rsidRPr="00012C17">
        <w:rPr>
          <w:bCs/>
          <w:color w:val="000000"/>
          <w:sz w:val="24"/>
        </w:rPr>
        <w:t xml:space="preserve">refer to the </w:t>
      </w:r>
      <w:r w:rsidRPr="00012C17">
        <w:rPr>
          <w:bCs/>
          <w:color w:val="000000"/>
          <w:sz w:val="24"/>
        </w:rPr>
        <w:t>Opinion [CDL-PI (2017) 007</w:t>
      </w:r>
      <w:r w:rsidR="006D201C" w:rsidRPr="00012C17">
        <w:rPr>
          <w:bCs/>
          <w:color w:val="000000"/>
          <w:sz w:val="24"/>
        </w:rPr>
        <w:t>] of the Venice Commission</w:t>
      </w:r>
      <w:r w:rsidRPr="00012C17">
        <w:rPr>
          <w:bCs/>
          <w:color w:val="000000"/>
          <w:sz w:val="24"/>
        </w:rPr>
        <w:t>, arguing that the admissibility criteria in such cases should be clearly specified in the law</w:t>
      </w:r>
      <w:r w:rsidR="004D2B15" w:rsidRPr="00012C17">
        <w:rPr>
          <w:bCs/>
          <w:color w:val="000000"/>
          <w:sz w:val="24"/>
        </w:rPr>
        <w:t>,</w:t>
      </w:r>
      <w:r w:rsidRPr="00012C17">
        <w:rPr>
          <w:bCs/>
          <w:color w:val="000000"/>
          <w:sz w:val="24"/>
        </w:rPr>
        <w:t xml:space="preserve"> in order to prevent</w:t>
      </w:r>
      <w:r w:rsidR="006D201C" w:rsidRPr="00012C17">
        <w:rPr>
          <w:bCs/>
          <w:color w:val="000000"/>
          <w:sz w:val="24"/>
        </w:rPr>
        <w:t xml:space="preserve"> the declaration of appeal as inadmissible; and finally under</w:t>
      </w:r>
      <w:r w:rsidRPr="00012C17">
        <w:rPr>
          <w:bCs/>
          <w:color w:val="000000"/>
          <w:sz w:val="24"/>
        </w:rPr>
        <w:t xml:space="preserve"> (iii) the findings of the Supreme Court are arbitrary because they </w:t>
      </w:r>
      <w:r w:rsidR="006D201C" w:rsidRPr="00012C17">
        <w:rPr>
          <w:bCs/>
          <w:color w:val="000000"/>
          <w:sz w:val="24"/>
        </w:rPr>
        <w:t>hold</w:t>
      </w:r>
      <w:r w:rsidRPr="00012C17">
        <w:rPr>
          <w:bCs/>
          <w:color w:val="000000"/>
          <w:sz w:val="24"/>
        </w:rPr>
        <w:t xml:space="preserve"> that</w:t>
      </w:r>
      <w:r w:rsidRPr="00012C17">
        <w:rPr>
          <w:bCs/>
          <w:i/>
          <w:iCs/>
          <w:color w:val="000000"/>
          <w:sz w:val="24"/>
        </w:rPr>
        <w:t xml:space="preserve"> </w:t>
      </w:r>
      <w:r w:rsidR="006D201C" w:rsidRPr="00012C17">
        <w:rPr>
          <w:bCs/>
          <w:i/>
          <w:iCs/>
          <w:color w:val="000000"/>
          <w:sz w:val="24"/>
        </w:rPr>
        <w:t>“during the counting in</w:t>
      </w:r>
      <w:r w:rsidRPr="00012C17">
        <w:rPr>
          <w:bCs/>
          <w:i/>
          <w:iCs/>
          <w:color w:val="000000"/>
          <w:sz w:val="24"/>
        </w:rPr>
        <w:t xml:space="preserve"> some of the polling stations, </w:t>
      </w:r>
      <w:r w:rsidR="006D201C" w:rsidRPr="00012C17">
        <w:rPr>
          <w:bCs/>
          <w:i/>
          <w:iCs/>
          <w:color w:val="000000"/>
          <w:sz w:val="24"/>
        </w:rPr>
        <w:t xml:space="preserve">the </w:t>
      </w:r>
      <w:r w:rsidRPr="00012C17">
        <w:rPr>
          <w:bCs/>
          <w:i/>
          <w:iCs/>
          <w:color w:val="000000"/>
          <w:sz w:val="24"/>
        </w:rPr>
        <w:t xml:space="preserve">irregularities were noted, but were minimal and balanced, because both candidates were </w:t>
      </w:r>
      <w:r w:rsidR="006D201C" w:rsidRPr="00012C17">
        <w:rPr>
          <w:bCs/>
          <w:i/>
          <w:iCs/>
          <w:color w:val="000000"/>
          <w:sz w:val="24"/>
        </w:rPr>
        <w:t>affected”</w:t>
      </w:r>
      <w:r w:rsidR="004D2B15" w:rsidRPr="00012C17">
        <w:rPr>
          <w:bCs/>
          <w:i/>
          <w:iCs/>
          <w:color w:val="000000"/>
          <w:sz w:val="24"/>
        </w:rPr>
        <w:t>.</w:t>
      </w:r>
      <w:r w:rsidRPr="00012C17">
        <w:rPr>
          <w:bCs/>
          <w:i/>
          <w:iCs/>
          <w:color w:val="000000"/>
          <w:sz w:val="24"/>
        </w:rPr>
        <w:t xml:space="preserve"> </w:t>
      </w:r>
      <w:r w:rsidRPr="00012C17">
        <w:rPr>
          <w:bCs/>
          <w:color w:val="000000"/>
          <w:sz w:val="24"/>
        </w:rPr>
        <w:t>In this regard, the Applicant</w:t>
      </w:r>
      <w:r w:rsidR="006D201C" w:rsidRPr="00012C17">
        <w:rPr>
          <w:bCs/>
          <w:color w:val="000000"/>
          <w:sz w:val="24"/>
        </w:rPr>
        <w:t>s allege</w:t>
      </w:r>
      <w:r w:rsidRPr="00012C17">
        <w:rPr>
          <w:bCs/>
          <w:color w:val="000000"/>
          <w:sz w:val="24"/>
        </w:rPr>
        <w:t xml:space="preserve"> that</w:t>
      </w:r>
      <w:r w:rsidR="006D201C" w:rsidRPr="00012C17">
        <w:rPr>
          <w:bCs/>
          <w:color w:val="000000"/>
          <w:sz w:val="24"/>
        </w:rPr>
        <w:t xml:space="preserve"> “</w:t>
      </w:r>
      <w:r w:rsidRPr="00012C17">
        <w:rPr>
          <w:bCs/>
          <w:i/>
          <w:iCs/>
          <w:color w:val="000000"/>
          <w:sz w:val="24"/>
        </w:rPr>
        <w:t>violation of constitutional r</w:t>
      </w:r>
      <w:r w:rsidR="006D201C" w:rsidRPr="00012C17">
        <w:rPr>
          <w:bCs/>
          <w:i/>
          <w:iCs/>
          <w:color w:val="000000"/>
          <w:sz w:val="24"/>
        </w:rPr>
        <w:t xml:space="preserve">ights exists or does not exist – it </w:t>
      </w:r>
      <w:r w:rsidRPr="00012C17">
        <w:rPr>
          <w:bCs/>
          <w:i/>
          <w:iCs/>
          <w:color w:val="000000"/>
          <w:sz w:val="24"/>
        </w:rPr>
        <w:t>ca</w:t>
      </w:r>
      <w:r w:rsidR="006D201C" w:rsidRPr="00012C17">
        <w:rPr>
          <w:bCs/>
          <w:i/>
          <w:iCs/>
          <w:color w:val="000000"/>
          <w:sz w:val="24"/>
        </w:rPr>
        <w:t>n</w:t>
      </w:r>
      <w:r w:rsidRPr="00012C17">
        <w:rPr>
          <w:bCs/>
          <w:i/>
          <w:iCs/>
          <w:color w:val="000000"/>
          <w:sz w:val="24"/>
        </w:rPr>
        <w:t>not be said to have been violated a little or a lot</w:t>
      </w:r>
      <w:r w:rsidR="00B85A9B" w:rsidRPr="00012C17">
        <w:rPr>
          <w:bCs/>
          <w:i/>
          <w:iCs/>
          <w:color w:val="000000"/>
          <w:sz w:val="24"/>
        </w:rPr>
        <w:t xml:space="preserve">”. </w:t>
      </w:r>
    </w:p>
    <w:p w:rsidR="001777F9" w:rsidRPr="00012C17" w:rsidRDefault="001777F9" w:rsidP="001B11C5">
      <w:pPr>
        <w:spacing w:line="240" w:lineRule="auto"/>
        <w:rPr>
          <w:b/>
          <w:i/>
          <w:color w:val="000000"/>
          <w:sz w:val="24"/>
        </w:rPr>
      </w:pPr>
    </w:p>
    <w:p w:rsidR="00B87DD6" w:rsidRPr="00012C17" w:rsidRDefault="00A34F63" w:rsidP="001B11C5">
      <w:pPr>
        <w:spacing w:line="240" w:lineRule="auto"/>
        <w:rPr>
          <w:b/>
          <w:i/>
          <w:color w:val="000000"/>
          <w:sz w:val="24"/>
        </w:rPr>
      </w:pPr>
      <w:r w:rsidRPr="00012C17">
        <w:rPr>
          <w:b/>
          <w:i/>
          <w:color w:val="000000"/>
          <w:sz w:val="24"/>
        </w:rPr>
        <w:t>Allegations of violation of Article 45 [</w:t>
      </w:r>
      <w:r w:rsidR="006D201C" w:rsidRPr="00012C17">
        <w:rPr>
          <w:b/>
          <w:i/>
          <w:color w:val="000000"/>
          <w:sz w:val="24"/>
        </w:rPr>
        <w:t>Freedom of Election</w:t>
      </w:r>
      <w:r w:rsidRPr="00012C17">
        <w:rPr>
          <w:b/>
          <w:i/>
          <w:color w:val="000000"/>
          <w:sz w:val="24"/>
        </w:rPr>
        <w:t xml:space="preserve"> and Participation] of the Constitution</w:t>
      </w:r>
    </w:p>
    <w:p w:rsidR="00A34F63" w:rsidRPr="00012C17" w:rsidRDefault="00A34F63" w:rsidP="001B11C5">
      <w:pPr>
        <w:spacing w:line="240" w:lineRule="auto"/>
        <w:rPr>
          <w:bCs/>
          <w:i/>
          <w:iCs/>
          <w:color w:val="000000"/>
          <w:sz w:val="24"/>
        </w:rPr>
      </w:pPr>
    </w:p>
    <w:p w:rsidR="00CB636A" w:rsidRPr="00012C17" w:rsidRDefault="00A34F63" w:rsidP="001B11C5">
      <w:pPr>
        <w:numPr>
          <w:ilvl w:val="0"/>
          <w:numId w:val="1"/>
        </w:numPr>
        <w:spacing w:line="240" w:lineRule="auto"/>
        <w:ind w:left="630" w:hanging="630"/>
        <w:rPr>
          <w:bCs/>
          <w:i/>
          <w:iCs/>
          <w:color w:val="000000"/>
          <w:sz w:val="24"/>
        </w:rPr>
      </w:pPr>
      <w:r w:rsidRPr="00012C17">
        <w:rPr>
          <w:bCs/>
          <w:iCs/>
          <w:color w:val="000000"/>
          <w:sz w:val="24"/>
        </w:rPr>
        <w:t xml:space="preserve">The Applicants allege that by failing to provide judicial protection of fundamental rights of </w:t>
      </w:r>
      <w:r w:rsidRPr="00012C17">
        <w:rPr>
          <w:rFonts w:cs="Arial"/>
          <w:color w:val="000000"/>
          <w:sz w:val="24"/>
        </w:rPr>
        <w:t>the</w:t>
      </w:r>
      <w:r w:rsidRPr="00012C17">
        <w:rPr>
          <w:bCs/>
          <w:iCs/>
          <w:color w:val="000000"/>
          <w:sz w:val="24"/>
        </w:rPr>
        <w:t xml:space="preserve"> Applicants, consequently, acting in violation of Article 54 of the Constitution, the decisions of the Supreme Court have also resulted in a violation of Article 45 of the Constitution. In thi</w:t>
      </w:r>
      <w:r w:rsidR="007A4187" w:rsidRPr="00012C17">
        <w:rPr>
          <w:bCs/>
          <w:iCs/>
          <w:color w:val="000000"/>
          <w:sz w:val="24"/>
        </w:rPr>
        <w:t>s regard, the Applicants allege</w:t>
      </w:r>
      <w:r w:rsidRPr="00012C17">
        <w:rPr>
          <w:bCs/>
          <w:iCs/>
          <w:color w:val="000000"/>
          <w:sz w:val="24"/>
        </w:rPr>
        <w:t xml:space="preserve"> that three electoral principles embodied in Article 45 of the Constitution were violated, wh</w:t>
      </w:r>
      <w:r w:rsidR="007A4187" w:rsidRPr="00012C17">
        <w:rPr>
          <w:bCs/>
          <w:iCs/>
          <w:color w:val="000000"/>
          <w:sz w:val="24"/>
        </w:rPr>
        <w:t>ich, according to the Applicant</w:t>
      </w:r>
      <w:r w:rsidRPr="00012C17">
        <w:rPr>
          <w:bCs/>
          <w:iCs/>
          <w:color w:val="000000"/>
          <w:sz w:val="24"/>
        </w:rPr>
        <w:t xml:space="preserve">s, </w:t>
      </w:r>
      <w:r w:rsidR="004254C0" w:rsidRPr="00012C17">
        <w:rPr>
          <w:bCs/>
          <w:iCs/>
          <w:color w:val="000000"/>
          <w:sz w:val="24"/>
        </w:rPr>
        <w:t xml:space="preserve">are </w:t>
      </w:r>
      <w:r w:rsidRPr="00012C17">
        <w:rPr>
          <w:bCs/>
          <w:iCs/>
          <w:color w:val="000000"/>
          <w:sz w:val="24"/>
        </w:rPr>
        <w:t xml:space="preserve">also </w:t>
      </w:r>
      <w:r w:rsidR="007A4187" w:rsidRPr="00012C17">
        <w:rPr>
          <w:bCs/>
          <w:iCs/>
          <w:color w:val="000000"/>
          <w:sz w:val="24"/>
        </w:rPr>
        <w:t>foreseen</w:t>
      </w:r>
      <w:r w:rsidRPr="00012C17">
        <w:rPr>
          <w:bCs/>
          <w:iCs/>
          <w:color w:val="000000"/>
          <w:sz w:val="24"/>
        </w:rPr>
        <w:t xml:space="preserve"> in </w:t>
      </w:r>
      <w:r w:rsidR="007A4187" w:rsidRPr="00012C17">
        <w:rPr>
          <w:bCs/>
          <w:iCs/>
          <w:color w:val="000000"/>
          <w:sz w:val="24"/>
        </w:rPr>
        <w:t>p</w:t>
      </w:r>
      <w:r w:rsidRPr="00012C17">
        <w:rPr>
          <w:bCs/>
          <w:iCs/>
          <w:color w:val="000000"/>
          <w:sz w:val="24"/>
        </w:rPr>
        <w:t xml:space="preserve">aragraph 2 of Article 123 [General Principles] of the Constitution, and </w:t>
      </w:r>
      <w:r w:rsidR="007A4187" w:rsidRPr="00012C17">
        <w:rPr>
          <w:bCs/>
          <w:iCs/>
          <w:color w:val="000000"/>
          <w:sz w:val="24"/>
        </w:rPr>
        <w:t xml:space="preserve">include </w:t>
      </w:r>
      <w:r w:rsidRPr="00012C17">
        <w:rPr>
          <w:bCs/>
          <w:iCs/>
          <w:color w:val="000000"/>
          <w:sz w:val="24"/>
        </w:rPr>
        <w:t xml:space="preserve">the following: (i) the principle of the </w:t>
      </w:r>
      <w:r w:rsidR="004254C0" w:rsidRPr="00012C17">
        <w:rPr>
          <w:bCs/>
          <w:iCs/>
          <w:color w:val="000000"/>
          <w:sz w:val="24"/>
        </w:rPr>
        <w:t>free vote/freedom of vote</w:t>
      </w:r>
      <w:r w:rsidRPr="00012C17">
        <w:rPr>
          <w:bCs/>
          <w:iCs/>
          <w:color w:val="000000"/>
          <w:sz w:val="24"/>
        </w:rPr>
        <w:t xml:space="preserve">; (ii) the principle of equal vote and (iii) the principle of publicity (transparency). All of these principles, according to the Applicants, have been violated in their case by the Supreme Court, ECAP and CEC. </w:t>
      </w:r>
      <w:r w:rsidR="007A4187" w:rsidRPr="00012C17">
        <w:rPr>
          <w:bCs/>
          <w:iCs/>
          <w:color w:val="000000"/>
          <w:sz w:val="24"/>
        </w:rPr>
        <w:t>More specifically</w:t>
      </w:r>
      <w:r w:rsidR="009B3E82" w:rsidRPr="00012C17">
        <w:rPr>
          <w:bCs/>
          <w:iCs/>
          <w:color w:val="000000"/>
          <w:sz w:val="24"/>
        </w:rPr>
        <w:t xml:space="preserve">: </w:t>
      </w:r>
    </w:p>
    <w:p w:rsidR="00A34F63" w:rsidRPr="00012C17" w:rsidRDefault="00A34F63" w:rsidP="001B11C5">
      <w:pPr>
        <w:pStyle w:val="ListParagraph"/>
        <w:spacing w:after="0" w:line="240" w:lineRule="auto"/>
        <w:ind w:left="1350"/>
        <w:rPr>
          <w:rFonts w:ascii="Georgia" w:hAnsi="Georgia"/>
          <w:bCs/>
          <w:i/>
          <w:iCs/>
          <w:color w:val="000000"/>
          <w:sz w:val="24"/>
          <w:szCs w:val="24"/>
          <w:lang w:val="en-US" w:eastAsia="en-US"/>
        </w:rPr>
      </w:pPr>
    </w:p>
    <w:p w:rsidR="00AF396C" w:rsidRPr="00012C17" w:rsidRDefault="00A34F63" w:rsidP="001B11C5">
      <w:pPr>
        <w:pStyle w:val="ListParagraph"/>
        <w:spacing w:after="0" w:line="240" w:lineRule="auto"/>
        <w:ind w:left="0"/>
        <w:rPr>
          <w:rFonts w:ascii="Georgia" w:hAnsi="Georgia"/>
          <w:bCs/>
          <w:i/>
          <w:iCs/>
          <w:color w:val="000000"/>
          <w:sz w:val="24"/>
          <w:szCs w:val="24"/>
          <w:lang w:val="en-US" w:eastAsia="en-US"/>
        </w:rPr>
      </w:pPr>
      <w:r w:rsidRPr="00012C17">
        <w:rPr>
          <w:rFonts w:ascii="Georgia" w:hAnsi="Georgia"/>
          <w:bCs/>
          <w:i/>
          <w:iCs/>
          <w:color w:val="000000"/>
          <w:sz w:val="24"/>
          <w:szCs w:val="24"/>
          <w:lang w:val="en-US" w:eastAsia="en-US"/>
        </w:rPr>
        <w:t>Regar</w:t>
      </w:r>
      <w:r w:rsidR="007A4187" w:rsidRPr="00012C17">
        <w:rPr>
          <w:rFonts w:ascii="Georgia" w:hAnsi="Georgia"/>
          <w:bCs/>
          <w:i/>
          <w:iCs/>
          <w:color w:val="000000"/>
          <w:sz w:val="24"/>
          <w:szCs w:val="24"/>
          <w:lang w:val="en-US" w:eastAsia="en-US"/>
        </w:rPr>
        <w:t>d</w:t>
      </w:r>
      <w:r w:rsidR="00256676" w:rsidRPr="00012C17">
        <w:rPr>
          <w:rFonts w:ascii="Georgia" w:hAnsi="Georgia"/>
          <w:bCs/>
          <w:i/>
          <w:iCs/>
          <w:color w:val="000000"/>
          <w:sz w:val="24"/>
          <w:szCs w:val="24"/>
          <w:lang w:val="en-US" w:eastAsia="en-US"/>
        </w:rPr>
        <w:t>ing the principle of free vote/</w:t>
      </w:r>
      <w:r w:rsidR="007A4187" w:rsidRPr="00012C17">
        <w:rPr>
          <w:rFonts w:ascii="Georgia" w:hAnsi="Georgia"/>
          <w:bCs/>
          <w:i/>
          <w:iCs/>
          <w:color w:val="000000"/>
          <w:sz w:val="24"/>
          <w:szCs w:val="24"/>
          <w:lang w:val="en-US" w:eastAsia="en-US"/>
        </w:rPr>
        <w:t xml:space="preserve">freedom of </w:t>
      </w:r>
      <w:r w:rsidR="004254C0" w:rsidRPr="00012C17">
        <w:rPr>
          <w:rFonts w:ascii="Georgia" w:hAnsi="Georgia"/>
          <w:bCs/>
          <w:i/>
          <w:iCs/>
          <w:color w:val="000000"/>
          <w:sz w:val="24"/>
          <w:szCs w:val="24"/>
          <w:lang w:val="en-US" w:eastAsia="en-US"/>
        </w:rPr>
        <w:t>vote</w:t>
      </w:r>
      <w:r w:rsidRPr="00012C17">
        <w:rPr>
          <w:rFonts w:ascii="Georgia" w:hAnsi="Georgia"/>
          <w:bCs/>
          <w:i/>
          <w:iCs/>
          <w:color w:val="000000"/>
          <w:sz w:val="24"/>
          <w:szCs w:val="24"/>
          <w:lang w:val="en-US" w:eastAsia="en-US"/>
        </w:rPr>
        <w:t xml:space="preserve"> </w:t>
      </w:r>
    </w:p>
    <w:p w:rsidR="00A34F63" w:rsidRPr="00012C17" w:rsidRDefault="00A34F63" w:rsidP="001B11C5">
      <w:pPr>
        <w:pStyle w:val="ListParagraph"/>
        <w:spacing w:after="0" w:line="240" w:lineRule="auto"/>
        <w:ind w:left="1350"/>
        <w:rPr>
          <w:rFonts w:ascii="Georgia" w:hAnsi="Georgia"/>
          <w:bCs/>
          <w:i/>
          <w:iCs/>
          <w:color w:val="000000"/>
          <w:sz w:val="24"/>
          <w:szCs w:val="24"/>
          <w:lang w:val="en-US"/>
        </w:rPr>
      </w:pPr>
    </w:p>
    <w:p w:rsidR="00D95898"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 xml:space="preserve">The Applicants allege that the principle of free vote must guarantee that (i) </w:t>
      </w:r>
      <w:r w:rsidR="007A4187" w:rsidRPr="00012C17">
        <w:rPr>
          <w:bCs/>
          <w:iCs/>
          <w:color w:val="000000"/>
          <w:sz w:val="24"/>
        </w:rPr>
        <w:t>“</w:t>
      </w:r>
      <w:r w:rsidRPr="00012C17">
        <w:rPr>
          <w:bCs/>
          <w:i/>
          <w:color w:val="000000"/>
          <w:sz w:val="24"/>
        </w:rPr>
        <w:t>the election result</w:t>
      </w:r>
      <w:r w:rsidR="004254C0" w:rsidRPr="00012C17">
        <w:rPr>
          <w:bCs/>
          <w:i/>
          <w:color w:val="000000"/>
          <w:sz w:val="24"/>
        </w:rPr>
        <w:t>s</w:t>
      </w:r>
      <w:r w:rsidRPr="00012C17">
        <w:rPr>
          <w:bCs/>
          <w:i/>
          <w:color w:val="000000"/>
          <w:sz w:val="24"/>
        </w:rPr>
        <w:t xml:space="preserve"> should reflect the true will of the voters"; </w:t>
      </w:r>
      <w:r w:rsidRPr="00012C17">
        <w:rPr>
          <w:bCs/>
          <w:iCs/>
          <w:color w:val="000000"/>
          <w:sz w:val="24"/>
        </w:rPr>
        <w:t>(ii)</w:t>
      </w:r>
      <w:r w:rsidRPr="00012C17">
        <w:rPr>
          <w:bCs/>
          <w:i/>
          <w:color w:val="000000"/>
          <w:sz w:val="24"/>
        </w:rPr>
        <w:t xml:space="preserve"> </w:t>
      </w:r>
      <w:r w:rsidR="0033442A" w:rsidRPr="00012C17">
        <w:rPr>
          <w:bCs/>
          <w:i/>
          <w:color w:val="000000"/>
          <w:sz w:val="24"/>
        </w:rPr>
        <w:t>“</w:t>
      </w:r>
      <w:r w:rsidRPr="00012C17">
        <w:rPr>
          <w:bCs/>
          <w:i/>
          <w:color w:val="000000"/>
          <w:sz w:val="24"/>
        </w:rPr>
        <w:t xml:space="preserve">the voter must be free of any state or non-state influence"; </w:t>
      </w:r>
      <w:r w:rsidRPr="00012C17">
        <w:rPr>
          <w:bCs/>
          <w:iCs/>
          <w:color w:val="000000"/>
          <w:sz w:val="24"/>
        </w:rPr>
        <w:t>(iii)</w:t>
      </w:r>
      <w:r w:rsidRPr="00012C17">
        <w:rPr>
          <w:bCs/>
          <w:i/>
          <w:color w:val="000000"/>
          <w:sz w:val="24"/>
        </w:rPr>
        <w:t xml:space="preserve"> </w:t>
      </w:r>
      <w:r w:rsidR="0033442A" w:rsidRPr="00012C17">
        <w:rPr>
          <w:bCs/>
          <w:i/>
          <w:color w:val="000000"/>
          <w:sz w:val="24"/>
        </w:rPr>
        <w:t>“</w:t>
      </w:r>
      <w:r w:rsidRPr="00012C17">
        <w:rPr>
          <w:bCs/>
          <w:i/>
          <w:color w:val="000000"/>
          <w:sz w:val="24"/>
        </w:rPr>
        <w:t xml:space="preserve">the freedom of the voter to decide </w:t>
      </w:r>
      <w:r w:rsidR="007A4187" w:rsidRPr="00012C17">
        <w:rPr>
          <w:bCs/>
          <w:i/>
          <w:color w:val="000000"/>
          <w:sz w:val="24"/>
        </w:rPr>
        <w:t>for whom he/</w:t>
      </w:r>
      <w:r w:rsidRPr="00012C17">
        <w:rPr>
          <w:bCs/>
          <w:i/>
          <w:color w:val="000000"/>
          <w:sz w:val="24"/>
        </w:rPr>
        <w:t xml:space="preserve">she wants to vote for, should not be violated before he votes". </w:t>
      </w:r>
      <w:r w:rsidRPr="00012C17">
        <w:rPr>
          <w:bCs/>
          <w:iCs/>
          <w:color w:val="000000"/>
          <w:sz w:val="24"/>
        </w:rPr>
        <w:t>In constructing the context of the</w:t>
      </w:r>
      <w:r w:rsidRPr="00012C17">
        <w:rPr>
          <w:bCs/>
          <w:i/>
          <w:color w:val="000000"/>
          <w:sz w:val="24"/>
        </w:rPr>
        <w:t xml:space="preserve"> </w:t>
      </w:r>
      <w:r w:rsidR="007A4187" w:rsidRPr="00012C17">
        <w:rPr>
          <w:bCs/>
          <w:i/>
          <w:color w:val="000000"/>
          <w:sz w:val="24"/>
        </w:rPr>
        <w:t>“</w:t>
      </w:r>
      <w:r w:rsidRPr="00012C17">
        <w:rPr>
          <w:bCs/>
          <w:i/>
          <w:color w:val="000000"/>
          <w:sz w:val="24"/>
        </w:rPr>
        <w:t>principle of free vote</w:t>
      </w:r>
      <w:r w:rsidR="007A4187" w:rsidRPr="00012C17">
        <w:rPr>
          <w:bCs/>
          <w:iCs/>
          <w:color w:val="000000"/>
          <w:sz w:val="24"/>
        </w:rPr>
        <w:t>”</w:t>
      </w:r>
      <w:r w:rsidRPr="00012C17">
        <w:rPr>
          <w:bCs/>
          <w:iCs/>
          <w:color w:val="000000"/>
          <w:sz w:val="24"/>
        </w:rPr>
        <w:t>, the Applicants refer to the Decision of the Constitution</w:t>
      </w:r>
      <w:r w:rsidR="0033442A" w:rsidRPr="00012C17">
        <w:rPr>
          <w:bCs/>
          <w:iCs/>
          <w:color w:val="000000"/>
          <w:sz w:val="24"/>
        </w:rPr>
        <w:t xml:space="preserve">al Court of Austria VfSlg 2.037/ </w:t>
      </w:r>
      <w:r w:rsidRPr="00012C17">
        <w:rPr>
          <w:bCs/>
          <w:iCs/>
          <w:color w:val="000000"/>
          <w:sz w:val="24"/>
        </w:rPr>
        <w:t xml:space="preserve">950; and </w:t>
      </w:r>
      <w:r w:rsidR="007A4187" w:rsidRPr="00012C17">
        <w:rPr>
          <w:bCs/>
          <w:iCs/>
          <w:color w:val="000000"/>
          <w:sz w:val="24"/>
        </w:rPr>
        <w:t xml:space="preserve">Decisions of </w:t>
      </w:r>
      <w:r w:rsidRPr="00012C17">
        <w:rPr>
          <w:bCs/>
          <w:iCs/>
          <w:color w:val="000000"/>
          <w:sz w:val="24"/>
        </w:rPr>
        <w:t>the of the Federal Constitutional Court of Germany, BVerfGE 66, 369 e</w:t>
      </w:r>
      <w:r w:rsidR="00B85A9B" w:rsidRPr="00012C17">
        <w:rPr>
          <w:bCs/>
          <w:iCs/>
          <w:color w:val="000000"/>
          <w:sz w:val="24"/>
        </w:rPr>
        <w:t xml:space="preserve"> BVerfGE 9, 335.</w:t>
      </w:r>
    </w:p>
    <w:p w:rsidR="00D95898" w:rsidRPr="00012C17" w:rsidRDefault="00D95898" w:rsidP="001B11C5">
      <w:pPr>
        <w:pStyle w:val="ListParagraph"/>
        <w:spacing w:after="0" w:line="240" w:lineRule="auto"/>
        <w:ind w:left="630"/>
        <w:jc w:val="both"/>
        <w:rPr>
          <w:rFonts w:ascii="Georgia" w:hAnsi="Georgia"/>
          <w:bCs/>
          <w:iCs/>
          <w:color w:val="000000"/>
          <w:sz w:val="24"/>
          <w:szCs w:val="24"/>
          <w:lang w:val="en-US"/>
        </w:rPr>
      </w:pPr>
    </w:p>
    <w:p w:rsidR="00752325"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 xml:space="preserve">The Applicants allege </w:t>
      </w:r>
      <w:r w:rsidRPr="00012C17">
        <w:rPr>
          <w:rFonts w:cs="Arial"/>
          <w:color w:val="000000"/>
          <w:sz w:val="24"/>
        </w:rPr>
        <w:t>that</w:t>
      </w:r>
      <w:r w:rsidRPr="00012C17">
        <w:rPr>
          <w:bCs/>
          <w:iCs/>
          <w:color w:val="000000"/>
          <w:sz w:val="24"/>
        </w:rPr>
        <w:t xml:space="preserve"> during the </w:t>
      </w:r>
      <w:r w:rsidR="007A4187" w:rsidRPr="00012C17">
        <w:rPr>
          <w:bCs/>
          <w:iCs/>
          <w:color w:val="000000"/>
          <w:sz w:val="24"/>
        </w:rPr>
        <w:t xml:space="preserve">proceedings before the </w:t>
      </w:r>
      <w:r w:rsidRPr="00012C17">
        <w:rPr>
          <w:bCs/>
          <w:iCs/>
          <w:color w:val="000000"/>
          <w:sz w:val="24"/>
        </w:rPr>
        <w:t>regular court</w:t>
      </w:r>
      <w:r w:rsidR="007A4187" w:rsidRPr="00012C17">
        <w:rPr>
          <w:bCs/>
          <w:iCs/>
          <w:color w:val="000000"/>
          <w:sz w:val="24"/>
        </w:rPr>
        <w:t>s</w:t>
      </w:r>
      <w:r w:rsidRPr="00012C17">
        <w:rPr>
          <w:bCs/>
          <w:iCs/>
          <w:color w:val="000000"/>
          <w:sz w:val="24"/>
        </w:rPr>
        <w:t xml:space="preserve"> they provided evidence on </w:t>
      </w:r>
      <w:r w:rsidR="007A4187" w:rsidRPr="00012C17">
        <w:rPr>
          <w:bCs/>
          <w:iCs/>
          <w:color w:val="000000"/>
          <w:sz w:val="24"/>
        </w:rPr>
        <w:t>“</w:t>
      </w:r>
      <w:r w:rsidRPr="00012C17">
        <w:rPr>
          <w:bCs/>
          <w:i/>
          <w:color w:val="000000"/>
          <w:sz w:val="24"/>
        </w:rPr>
        <w:t>impact on Pris</w:t>
      </w:r>
      <w:r w:rsidR="007A4187" w:rsidRPr="00012C17">
        <w:rPr>
          <w:bCs/>
          <w:i/>
          <w:color w:val="000000"/>
          <w:sz w:val="24"/>
        </w:rPr>
        <w:t>h</w:t>
      </w:r>
      <w:r w:rsidRPr="00012C17">
        <w:rPr>
          <w:bCs/>
          <w:i/>
          <w:color w:val="000000"/>
          <w:sz w:val="24"/>
        </w:rPr>
        <w:t xml:space="preserve">tina citizens by sending sms on behalf of NGOs, delivery of </w:t>
      </w:r>
      <w:r w:rsidR="007A4187" w:rsidRPr="00012C17">
        <w:rPr>
          <w:bCs/>
          <w:i/>
          <w:color w:val="000000"/>
          <w:sz w:val="24"/>
        </w:rPr>
        <w:t xml:space="preserve">tickets </w:t>
      </w:r>
      <w:r w:rsidRPr="00012C17">
        <w:rPr>
          <w:bCs/>
          <w:i/>
          <w:color w:val="000000"/>
          <w:sz w:val="24"/>
        </w:rPr>
        <w:t>for free transport and influence through activists</w:t>
      </w:r>
      <w:r w:rsidR="007A4187" w:rsidRPr="00012C17">
        <w:rPr>
          <w:bCs/>
          <w:iCs/>
          <w:color w:val="000000"/>
          <w:sz w:val="24"/>
        </w:rPr>
        <w:t>”</w:t>
      </w:r>
      <w:r w:rsidRPr="00012C17">
        <w:rPr>
          <w:bCs/>
          <w:iCs/>
          <w:color w:val="000000"/>
          <w:sz w:val="24"/>
        </w:rPr>
        <w:t xml:space="preserve">, which, according to the </w:t>
      </w:r>
      <w:r w:rsidR="007A4187" w:rsidRPr="00012C17">
        <w:rPr>
          <w:bCs/>
          <w:iCs/>
          <w:color w:val="000000"/>
          <w:sz w:val="24"/>
        </w:rPr>
        <w:t>allegation</w:t>
      </w:r>
      <w:r w:rsidR="004254C0" w:rsidRPr="00012C17">
        <w:rPr>
          <w:bCs/>
          <w:iCs/>
          <w:color w:val="000000"/>
          <w:sz w:val="24"/>
        </w:rPr>
        <w:t>,</w:t>
      </w:r>
      <w:r w:rsidRPr="00012C17">
        <w:rPr>
          <w:bCs/>
          <w:iCs/>
          <w:color w:val="000000"/>
          <w:sz w:val="24"/>
        </w:rPr>
        <w:t xml:space="preserve"> result in violation of the </w:t>
      </w:r>
      <w:r w:rsidR="007A4187" w:rsidRPr="00012C17">
        <w:rPr>
          <w:bCs/>
          <w:iCs/>
          <w:color w:val="000000"/>
          <w:sz w:val="24"/>
        </w:rPr>
        <w:t>“</w:t>
      </w:r>
      <w:r w:rsidR="00BE3F91" w:rsidRPr="00012C17">
        <w:rPr>
          <w:bCs/>
          <w:i/>
          <w:color w:val="000000"/>
          <w:sz w:val="24"/>
        </w:rPr>
        <w:t xml:space="preserve">principle of free vote/freedom of </w:t>
      </w:r>
      <w:r w:rsidR="004254C0" w:rsidRPr="00012C17">
        <w:rPr>
          <w:bCs/>
          <w:i/>
          <w:color w:val="000000"/>
          <w:sz w:val="24"/>
        </w:rPr>
        <w:t>vote</w:t>
      </w:r>
      <w:r w:rsidR="00BE3F91" w:rsidRPr="00012C17">
        <w:rPr>
          <w:bCs/>
          <w:i/>
          <w:color w:val="000000"/>
          <w:sz w:val="24"/>
        </w:rPr>
        <w:t>”</w:t>
      </w:r>
      <w:r w:rsidRPr="00012C17">
        <w:rPr>
          <w:bCs/>
          <w:iCs/>
          <w:color w:val="000000"/>
          <w:sz w:val="24"/>
        </w:rPr>
        <w:t>. According to the Applicant</w:t>
      </w:r>
      <w:r w:rsidR="00BE3F91" w:rsidRPr="00012C17">
        <w:rPr>
          <w:bCs/>
          <w:iCs/>
          <w:color w:val="000000"/>
          <w:sz w:val="24"/>
        </w:rPr>
        <w:t>s</w:t>
      </w:r>
      <w:r w:rsidRPr="00012C17">
        <w:rPr>
          <w:bCs/>
          <w:iCs/>
          <w:color w:val="000000"/>
          <w:sz w:val="24"/>
        </w:rPr>
        <w:t xml:space="preserve">, the Supreme Court in its </w:t>
      </w:r>
      <w:r w:rsidR="0033442A" w:rsidRPr="00012C17">
        <w:rPr>
          <w:bCs/>
          <w:iCs/>
          <w:color w:val="000000"/>
          <w:sz w:val="24"/>
        </w:rPr>
        <w:t xml:space="preserve">Second Decision </w:t>
      </w:r>
      <w:r w:rsidRPr="00012C17">
        <w:rPr>
          <w:bCs/>
          <w:iCs/>
          <w:color w:val="000000"/>
          <w:sz w:val="24"/>
        </w:rPr>
        <w:t>[A</w:t>
      </w:r>
      <w:r w:rsidR="006634E8" w:rsidRPr="00012C17">
        <w:rPr>
          <w:bCs/>
          <w:iCs/>
          <w:color w:val="000000"/>
          <w:sz w:val="24"/>
        </w:rPr>
        <w:t>.</w:t>
      </w:r>
      <w:r w:rsidRPr="00012C17">
        <w:rPr>
          <w:bCs/>
          <w:iCs/>
          <w:color w:val="000000"/>
          <w:sz w:val="24"/>
        </w:rPr>
        <w:t>A</w:t>
      </w:r>
      <w:r w:rsidR="006634E8" w:rsidRPr="00012C17">
        <w:rPr>
          <w:bCs/>
          <w:iCs/>
          <w:color w:val="000000"/>
          <w:sz w:val="24"/>
        </w:rPr>
        <w:t>.</w:t>
      </w:r>
      <w:r w:rsidRPr="00012C17">
        <w:rPr>
          <w:bCs/>
          <w:iCs/>
          <w:color w:val="000000"/>
          <w:sz w:val="24"/>
        </w:rPr>
        <w:t xml:space="preserve"> U.ZH. </w:t>
      </w:r>
      <w:r w:rsidR="00BE3F91" w:rsidRPr="00012C17">
        <w:rPr>
          <w:bCs/>
          <w:iCs/>
          <w:color w:val="000000"/>
          <w:sz w:val="24"/>
        </w:rPr>
        <w:t>N</w:t>
      </w:r>
      <w:r w:rsidRPr="00012C17">
        <w:rPr>
          <w:bCs/>
          <w:iCs/>
          <w:color w:val="000000"/>
          <w:sz w:val="24"/>
        </w:rPr>
        <w:t xml:space="preserve">o. 62/2017] </w:t>
      </w:r>
      <w:r w:rsidR="00BE3F91" w:rsidRPr="00012C17">
        <w:rPr>
          <w:bCs/>
          <w:iCs/>
          <w:color w:val="000000"/>
          <w:sz w:val="24"/>
        </w:rPr>
        <w:t>considered</w:t>
      </w:r>
      <w:r w:rsidRPr="00012C17">
        <w:rPr>
          <w:bCs/>
          <w:iCs/>
          <w:color w:val="000000"/>
          <w:sz w:val="24"/>
        </w:rPr>
        <w:t xml:space="preserve"> these allegations as new, avoiding reasoning about them and not as evidence that they had to administer. </w:t>
      </w:r>
      <w:r w:rsidR="00A54CE2" w:rsidRPr="00012C17">
        <w:rPr>
          <w:bCs/>
          <w:iCs/>
          <w:color w:val="000000"/>
          <w:sz w:val="24"/>
        </w:rPr>
        <w:t>The</w:t>
      </w:r>
      <w:r w:rsidRPr="00012C17">
        <w:rPr>
          <w:bCs/>
          <w:iCs/>
          <w:color w:val="000000"/>
          <w:sz w:val="24"/>
        </w:rPr>
        <w:t xml:space="preserve"> Applicants </w:t>
      </w:r>
      <w:r w:rsidR="00BE3F91" w:rsidRPr="00012C17">
        <w:rPr>
          <w:bCs/>
          <w:iCs/>
          <w:color w:val="000000"/>
          <w:sz w:val="24"/>
        </w:rPr>
        <w:t>claim</w:t>
      </w:r>
      <w:r w:rsidRPr="00012C17">
        <w:rPr>
          <w:bCs/>
          <w:iCs/>
          <w:color w:val="000000"/>
          <w:sz w:val="24"/>
        </w:rPr>
        <w:t xml:space="preserve"> that </w:t>
      </w:r>
      <w:r w:rsidR="00A54CE2" w:rsidRPr="00012C17">
        <w:rPr>
          <w:bCs/>
          <w:iCs/>
          <w:color w:val="000000"/>
          <w:sz w:val="24"/>
        </w:rPr>
        <w:t>despite the fact that</w:t>
      </w:r>
      <w:r w:rsidRPr="00012C17">
        <w:rPr>
          <w:bCs/>
          <w:iCs/>
          <w:color w:val="000000"/>
          <w:sz w:val="24"/>
        </w:rPr>
        <w:t xml:space="preserve"> the ECAP considered </w:t>
      </w:r>
      <w:r w:rsidR="00A54CE2" w:rsidRPr="00012C17">
        <w:rPr>
          <w:bCs/>
          <w:iCs/>
          <w:color w:val="000000"/>
          <w:sz w:val="24"/>
        </w:rPr>
        <w:t xml:space="preserve">their evidence as </w:t>
      </w:r>
      <w:r w:rsidRPr="00012C17">
        <w:rPr>
          <w:bCs/>
          <w:iCs/>
          <w:color w:val="000000"/>
          <w:sz w:val="24"/>
        </w:rPr>
        <w:t xml:space="preserve">sufficient </w:t>
      </w:r>
      <w:r w:rsidR="004254C0" w:rsidRPr="00012C17">
        <w:rPr>
          <w:bCs/>
          <w:iCs/>
          <w:color w:val="000000"/>
          <w:sz w:val="24"/>
        </w:rPr>
        <w:t xml:space="preserve">evidence </w:t>
      </w:r>
      <w:r w:rsidRPr="00012C17">
        <w:rPr>
          <w:bCs/>
          <w:iCs/>
          <w:color w:val="000000"/>
          <w:sz w:val="24"/>
        </w:rPr>
        <w:t xml:space="preserve">to suspect </w:t>
      </w:r>
      <w:r w:rsidR="00A54CE2" w:rsidRPr="00012C17">
        <w:rPr>
          <w:bCs/>
          <w:iCs/>
          <w:color w:val="000000"/>
          <w:sz w:val="24"/>
        </w:rPr>
        <w:t xml:space="preserve">on </w:t>
      </w:r>
      <w:r w:rsidRPr="00012C17">
        <w:rPr>
          <w:bCs/>
          <w:iCs/>
          <w:color w:val="000000"/>
          <w:sz w:val="24"/>
        </w:rPr>
        <w:t xml:space="preserve">the regularity of the electoral </w:t>
      </w:r>
      <w:r w:rsidRPr="00012C17">
        <w:rPr>
          <w:bCs/>
          <w:iCs/>
          <w:color w:val="000000"/>
          <w:sz w:val="24"/>
        </w:rPr>
        <w:lastRenderedPageBreak/>
        <w:t xml:space="preserve">process, the Supreme Court did not </w:t>
      </w:r>
      <w:r w:rsidR="00BE3F91" w:rsidRPr="00012C17">
        <w:rPr>
          <w:bCs/>
          <w:iCs/>
          <w:color w:val="000000"/>
          <w:sz w:val="24"/>
        </w:rPr>
        <w:t xml:space="preserve">in any </w:t>
      </w:r>
      <w:r w:rsidRPr="00012C17">
        <w:rPr>
          <w:bCs/>
          <w:iCs/>
          <w:color w:val="000000"/>
          <w:sz w:val="24"/>
        </w:rPr>
        <w:t xml:space="preserve">decision-making </w:t>
      </w:r>
      <w:r w:rsidR="00BE3F91" w:rsidRPr="00012C17">
        <w:rPr>
          <w:bCs/>
          <w:iCs/>
          <w:color w:val="000000"/>
          <w:sz w:val="24"/>
        </w:rPr>
        <w:t>procedure</w:t>
      </w:r>
      <w:r w:rsidRPr="00012C17">
        <w:rPr>
          <w:bCs/>
          <w:iCs/>
          <w:color w:val="000000"/>
          <w:sz w:val="24"/>
        </w:rPr>
        <w:t xml:space="preserve"> deal with the assessment of these </w:t>
      </w:r>
      <w:r w:rsidR="00AB75DA" w:rsidRPr="00012C17">
        <w:rPr>
          <w:bCs/>
          <w:iCs/>
          <w:color w:val="000000"/>
          <w:sz w:val="24"/>
        </w:rPr>
        <w:t>allegations</w:t>
      </w:r>
      <w:r w:rsidRPr="00012C17">
        <w:rPr>
          <w:bCs/>
          <w:iCs/>
          <w:color w:val="000000"/>
          <w:sz w:val="24"/>
        </w:rPr>
        <w:t>. The Applicants again emphasize that by not addressing these allegations, they were denied the right to judicial protection</w:t>
      </w:r>
      <w:r w:rsidR="00E27A8F" w:rsidRPr="00012C17">
        <w:rPr>
          <w:bCs/>
          <w:iCs/>
          <w:color w:val="000000"/>
          <w:sz w:val="24"/>
        </w:rPr>
        <w:t xml:space="preserve"> of rights</w:t>
      </w:r>
      <w:r w:rsidR="00163EEF" w:rsidRPr="00012C17">
        <w:rPr>
          <w:bCs/>
          <w:iCs/>
          <w:color w:val="000000"/>
          <w:sz w:val="24"/>
        </w:rPr>
        <w:t>.</w:t>
      </w:r>
    </w:p>
    <w:p w:rsidR="001777F9" w:rsidRPr="00012C17" w:rsidRDefault="001777F9" w:rsidP="001B11C5">
      <w:pPr>
        <w:spacing w:line="240" w:lineRule="auto"/>
        <w:rPr>
          <w:bCs/>
          <w:i/>
          <w:iCs/>
          <w:color w:val="000000"/>
          <w:sz w:val="24"/>
        </w:rPr>
      </w:pPr>
    </w:p>
    <w:p w:rsidR="001F5CBC" w:rsidRPr="00012C17" w:rsidRDefault="00A34F63" w:rsidP="001B11C5">
      <w:pPr>
        <w:spacing w:line="240" w:lineRule="auto"/>
        <w:rPr>
          <w:bCs/>
          <w:iCs/>
          <w:color w:val="000000"/>
          <w:sz w:val="24"/>
        </w:rPr>
      </w:pPr>
      <w:r w:rsidRPr="00012C17">
        <w:rPr>
          <w:bCs/>
          <w:i/>
          <w:iCs/>
          <w:color w:val="000000"/>
          <w:sz w:val="24"/>
        </w:rPr>
        <w:t>Regarding the principle of equal vote</w:t>
      </w:r>
    </w:p>
    <w:p w:rsidR="001F5CBC" w:rsidRPr="00012C17" w:rsidRDefault="001F5CBC" w:rsidP="001B11C5">
      <w:pPr>
        <w:pStyle w:val="ListParagraph"/>
        <w:spacing w:after="0" w:line="240" w:lineRule="auto"/>
        <w:rPr>
          <w:rFonts w:ascii="Georgia" w:hAnsi="Georgia"/>
          <w:bCs/>
          <w:i/>
          <w:iCs/>
          <w:color w:val="000000"/>
          <w:sz w:val="24"/>
          <w:szCs w:val="24"/>
          <w:lang w:val="en-US"/>
        </w:rPr>
      </w:pPr>
    </w:p>
    <w:p w:rsidR="003C4D1B"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The Applicants allege that the principle of equal vote must guarantee (i) strict and formal equality; (ii) equality of opportunit</w:t>
      </w:r>
      <w:r w:rsidR="00BE3F91" w:rsidRPr="00012C17">
        <w:rPr>
          <w:bCs/>
          <w:iCs/>
          <w:color w:val="000000"/>
          <w:sz w:val="24"/>
        </w:rPr>
        <w:t>ies</w:t>
      </w:r>
      <w:r w:rsidRPr="00012C17">
        <w:rPr>
          <w:bCs/>
          <w:iCs/>
          <w:color w:val="000000"/>
          <w:sz w:val="24"/>
        </w:rPr>
        <w:t xml:space="preserve">; (iii) </w:t>
      </w:r>
      <w:r w:rsidR="00BE3F91" w:rsidRPr="00012C17">
        <w:rPr>
          <w:bCs/>
          <w:iCs/>
          <w:color w:val="000000"/>
          <w:sz w:val="24"/>
        </w:rPr>
        <w:t>“</w:t>
      </w:r>
      <w:r w:rsidRPr="00012C17">
        <w:rPr>
          <w:bCs/>
          <w:i/>
          <w:color w:val="000000"/>
          <w:sz w:val="24"/>
        </w:rPr>
        <w:t>not just equality of the weight of the vote, but also the equality of weight of the success of the vote</w:t>
      </w:r>
      <w:r w:rsidR="00BE3F91" w:rsidRPr="00012C17">
        <w:rPr>
          <w:bCs/>
          <w:iCs/>
          <w:color w:val="000000"/>
          <w:sz w:val="24"/>
        </w:rPr>
        <w:t>”</w:t>
      </w:r>
      <w:r w:rsidRPr="00012C17">
        <w:rPr>
          <w:bCs/>
          <w:iCs/>
          <w:color w:val="000000"/>
          <w:sz w:val="24"/>
        </w:rPr>
        <w:t xml:space="preserve">; and (iii) not only </w:t>
      </w:r>
      <w:r w:rsidR="00BE3F91" w:rsidRPr="00012C17">
        <w:rPr>
          <w:bCs/>
          <w:iCs/>
          <w:color w:val="000000"/>
          <w:sz w:val="24"/>
        </w:rPr>
        <w:t>“</w:t>
      </w:r>
      <w:r w:rsidRPr="00012C17">
        <w:rPr>
          <w:rFonts w:cs="Arial"/>
          <w:color w:val="000000"/>
          <w:sz w:val="24"/>
        </w:rPr>
        <w:t>the</w:t>
      </w:r>
      <w:r w:rsidRPr="00012C17">
        <w:rPr>
          <w:bCs/>
          <w:i/>
          <w:color w:val="000000"/>
          <w:sz w:val="24"/>
        </w:rPr>
        <w:t xml:space="preserve"> right to benefit the mandate, but </w:t>
      </w:r>
      <w:r w:rsidR="00BE3F91" w:rsidRPr="00012C17">
        <w:rPr>
          <w:bCs/>
          <w:i/>
          <w:color w:val="000000"/>
          <w:sz w:val="24"/>
        </w:rPr>
        <w:t xml:space="preserve">also </w:t>
      </w:r>
      <w:r w:rsidRPr="00012C17">
        <w:rPr>
          <w:bCs/>
          <w:i/>
          <w:color w:val="000000"/>
          <w:sz w:val="24"/>
        </w:rPr>
        <w:t xml:space="preserve">the right to protect the mandate from violations during the </w:t>
      </w:r>
      <w:r w:rsidR="004254C0" w:rsidRPr="00012C17">
        <w:rPr>
          <w:bCs/>
          <w:i/>
          <w:color w:val="000000"/>
          <w:sz w:val="24"/>
        </w:rPr>
        <w:t>electoral</w:t>
      </w:r>
      <w:r w:rsidRPr="00012C17">
        <w:rPr>
          <w:bCs/>
          <w:i/>
          <w:color w:val="000000"/>
          <w:sz w:val="24"/>
        </w:rPr>
        <w:t xml:space="preserve"> process</w:t>
      </w:r>
      <w:r w:rsidR="00BE3F91" w:rsidRPr="00012C17">
        <w:rPr>
          <w:bCs/>
          <w:iCs/>
          <w:color w:val="000000"/>
          <w:sz w:val="24"/>
        </w:rPr>
        <w:t>”</w:t>
      </w:r>
      <w:r w:rsidRPr="00012C17">
        <w:rPr>
          <w:bCs/>
          <w:iCs/>
          <w:color w:val="000000"/>
          <w:sz w:val="24"/>
        </w:rPr>
        <w:t xml:space="preserve">. In constructing the context of the </w:t>
      </w:r>
      <w:r w:rsidR="00BE3F91" w:rsidRPr="00012C17">
        <w:rPr>
          <w:bCs/>
          <w:iCs/>
          <w:color w:val="000000"/>
          <w:sz w:val="24"/>
        </w:rPr>
        <w:t>“</w:t>
      </w:r>
      <w:r w:rsidRPr="00012C17">
        <w:rPr>
          <w:bCs/>
          <w:i/>
          <w:color w:val="000000"/>
          <w:sz w:val="24"/>
        </w:rPr>
        <w:t>principle of equal vote</w:t>
      </w:r>
      <w:r w:rsidR="00BE3F91" w:rsidRPr="00012C17">
        <w:rPr>
          <w:bCs/>
          <w:iCs/>
          <w:color w:val="000000"/>
          <w:sz w:val="24"/>
        </w:rPr>
        <w:t>”</w:t>
      </w:r>
      <w:r w:rsidRPr="00012C17">
        <w:rPr>
          <w:bCs/>
          <w:iCs/>
          <w:color w:val="000000"/>
          <w:sz w:val="24"/>
        </w:rPr>
        <w:t>, the Applicants refer to the Decision of the Constitution</w:t>
      </w:r>
      <w:r w:rsidR="00BE3F91" w:rsidRPr="00012C17">
        <w:rPr>
          <w:bCs/>
          <w:iCs/>
          <w:color w:val="000000"/>
          <w:sz w:val="24"/>
        </w:rPr>
        <w:t>al Court of Austria VfSlg 8.644/</w:t>
      </w:r>
      <w:r w:rsidRPr="00012C17">
        <w:rPr>
          <w:bCs/>
          <w:iCs/>
          <w:color w:val="000000"/>
          <w:sz w:val="24"/>
        </w:rPr>
        <w:t>1979; Decisions of the Federal Constitutional Court of Germany</w:t>
      </w:r>
      <w:r w:rsidR="00ED7C66" w:rsidRPr="00012C17">
        <w:rPr>
          <w:bCs/>
          <w:iCs/>
          <w:color w:val="000000"/>
          <w:sz w:val="24"/>
        </w:rPr>
        <w:t xml:space="preserve">, BVerfGE120, 82, BVerfGE 121, 266, BVerfGE 63, 230, BVerfGE 95, 408 </w:t>
      </w:r>
      <w:r w:rsidRPr="00012C17">
        <w:rPr>
          <w:bCs/>
          <w:iCs/>
          <w:color w:val="000000"/>
          <w:sz w:val="24"/>
        </w:rPr>
        <w:t>and</w:t>
      </w:r>
      <w:r w:rsidR="00ED7C66" w:rsidRPr="00012C17">
        <w:rPr>
          <w:bCs/>
          <w:iCs/>
          <w:color w:val="000000"/>
          <w:sz w:val="24"/>
        </w:rPr>
        <w:t xml:space="preserve"> BVerfGE 151, 179, </w:t>
      </w:r>
      <w:r w:rsidRPr="00012C17">
        <w:rPr>
          <w:bCs/>
          <w:iCs/>
          <w:color w:val="000000"/>
          <w:sz w:val="24"/>
        </w:rPr>
        <w:t xml:space="preserve">as well as Judgment of this </w:t>
      </w:r>
      <w:r w:rsidR="004254C0" w:rsidRPr="00012C17">
        <w:rPr>
          <w:bCs/>
          <w:iCs/>
          <w:color w:val="000000"/>
          <w:sz w:val="24"/>
        </w:rPr>
        <w:t>C</w:t>
      </w:r>
      <w:r w:rsidR="00E27A8F" w:rsidRPr="00012C17">
        <w:rPr>
          <w:bCs/>
          <w:iCs/>
          <w:color w:val="000000"/>
          <w:sz w:val="24"/>
        </w:rPr>
        <w:t xml:space="preserve">ourt </w:t>
      </w:r>
      <w:r w:rsidRPr="00012C17">
        <w:rPr>
          <w:bCs/>
          <w:iCs/>
          <w:color w:val="000000"/>
          <w:sz w:val="24"/>
        </w:rPr>
        <w:t>in case</w:t>
      </w:r>
      <w:r w:rsidR="00ED7C66" w:rsidRPr="00012C17">
        <w:rPr>
          <w:bCs/>
          <w:iCs/>
          <w:color w:val="000000"/>
          <w:sz w:val="24"/>
        </w:rPr>
        <w:t xml:space="preserve"> KI34/17, </w:t>
      </w:r>
      <w:r w:rsidR="00AB75DA" w:rsidRPr="00012C17">
        <w:rPr>
          <w:rStyle w:val="sb8d990e2"/>
          <w:color w:val="000000"/>
          <w:sz w:val="24"/>
        </w:rPr>
        <w:t>paragraph</w:t>
      </w:r>
      <w:r w:rsidR="002A31C2" w:rsidRPr="00012C17">
        <w:rPr>
          <w:rStyle w:val="sb8d990e2"/>
          <w:color w:val="000000"/>
          <w:sz w:val="24"/>
        </w:rPr>
        <w:t xml:space="preserve"> </w:t>
      </w:r>
      <w:r w:rsidR="00ED7C66" w:rsidRPr="00012C17">
        <w:rPr>
          <w:bCs/>
          <w:iCs/>
          <w:color w:val="000000"/>
          <w:sz w:val="24"/>
        </w:rPr>
        <w:t>91.</w:t>
      </w:r>
    </w:p>
    <w:p w:rsidR="003C4D1B" w:rsidRPr="00012C17" w:rsidRDefault="003C4D1B" w:rsidP="001B11C5">
      <w:pPr>
        <w:pStyle w:val="ListParagraph"/>
        <w:spacing w:after="0" w:line="240" w:lineRule="auto"/>
        <w:ind w:left="630"/>
        <w:jc w:val="both"/>
        <w:rPr>
          <w:rFonts w:ascii="Georgia" w:hAnsi="Georgia"/>
          <w:bCs/>
          <w:i/>
          <w:iCs/>
          <w:color w:val="000000"/>
          <w:sz w:val="24"/>
          <w:szCs w:val="24"/>
          <w:lang w:val="en-US"/>
        </w:rPr>
      </w:pPr>
    </w:p>
    <w:p w:rsidR="00E83A6B" w:rsidRPr="00012C17" w:rsidRDefault="00A34F63" w:rsidP="001B11C5">
      <w:pPr>
        <w:numPr>
          <w:ilvl w:val="0"/>
          <w:numId w:val="1"/>
        </w:numPr>
        <w:spacing w:line="240" w:lineRule="auto"/>
        <w:ind w:left="630" w:hanging="630"/>
        <w:rPr>
          <w:bCs/>
          <w:i/>
          <w:iCs/>
          <w:color w:val="000000"/>
          <w:sz w:val="24"/>
        </w:rPr>
      </w:pPr>
      <w:r w:rsidRPr="00012C17">
        <w:rPr>
          <w:bCs/>
          <w:iCs/>
          <w:color w:val="000000"/>
          <w:sz w:val="24"/>
        </w:rPr>
        <w:t xml:space="preserve">The Applicants allege that the Supreme Court, ECAP and CEC have failed to guarantee an </w:t>
      </w:r>
      <w:r w:rsidR="0062326C" w:rsidRPr="00012C17">
        <w:rPr>
          <w:bCs/>
          <w:iCs/>
          <w:color w:val="000000"/>
          <w:sz w:val="24"/>
        </w:rPr>
        <w:t>electoral</w:t>
      </w:r>
      <w:r w:rsidRPr="00012C17">
        <w:rPr>
          <w:bCs/>
          <w:iCs/>
          <w:color w:val="000000"/>
          <w:sz w:val="24"/>
        </w:rPr>
        <w:t xml:space="preserve"> process where </w:t>
      </w:r>
      <w:r w:rsidR="00BE3F91" w:rsidRPr="00012C17">
        <w:rPr>
          <w:bCs/>
          <w:iCs/>
          <w:color w:val="000000"/>
          <w:sz w:val="24"/>
        </w:rPr>
        <w:t>“</w:t>
      </w:r>
      <w:r w:rsidRPr="00012C17">
        <w:rPr>
          <w:bCs/>
          <w:i/>
          <w:color w:val="000000"/>
          <w:sz w:val="24"/>
        </w:rPr>
        <w:t>the weight of the vote</w:t>
      </w:r>
      <w:r w:rsidR="00BE3F91" w:rsidRPr="00012C17">
        <w:rPr>
          <w:bCs/>
          <w:iCs/>
          <w:color w:val="000000"/>
          <w:sz w:val="24"/>
        </w:rPr>
        <w:t>”</w:t>
      </w:r>
      <w:r w:rsidRPr="00012C17">
        <w:rPr>
          <w:bCs/>
          <w:iCs/>
          <w:color w:val="000000"/>
          <w:sz w:val="24"/>
        </w:rPr>
        <w:t xml:space="preserve"> is equal. The Applicants </w:t>
      </w:r>
      <w:r w:rsidR="00AB75DA" w:rsidRPr="00012C17">
        <w:rPr>
          <w:bCs/>
          <w:iCs/>
          <w:color w:val="000000"/>
          <w:sz w:val="24"/>
        </w:rPr>
        <w:t>reiterate</w:t>
      </w:r>
      <w:r w:rsidRPr="00012C17">
        <w:rPr>
          <w:bCs/>
          <w:iCs/>
          <w:color w:val="000000"/>
          <w:sz w:val="24"/>
        </w:rPr>
        <w:t xml:space="preserve"> </w:t>
      </w:r>
      <w:r w:rsidRPr="00012C17">
        <w:rPr>
          <w:rFonts w:cs="Arial"/>
          <w:color w:val="000000"/>
          <w:sz w:val="24"/>
        </w:rPr>
        <w:t>that</w:t>
      </w:r>
      <w:r w:rsidRPr="00012C17">
        <w:rPr>
          <w:bCs/>
          <w:iCs/>
          <w:color w:val="000000"/>
          <w:sz w:val="24"/>
        </w:rPr>
        <w:t xml:space="preserve"> despite the fact that the Supreme Court </w:t>
      </w:r>
      <w:r w:rsidR="00BE3F91" w:rsidRPr="00012C17">
        <w:rPr>
          <w:bCs/>
          <w:iCs/>
          <w:color w:val="000000"/>
          <w:sz w:val="24"/>
        </w:rPr>
        <w:t>in</w:t>
      </w:r>
      <w:r w:rsidRPr="00012C17">
        <w:rPr>
          <w:bCs/>
          <w:iCs/>
          <w:color w:val="000000"/>
          <w:sz w:val="24"/>
        </w:rPr>
        <w:t xml:space="preserve"> its </w:t>
      </w:r>
      <w:r w:rsidR="0062326C" w:rsidRPr="00012C17">
        <w:rPr>
          <w:bCs/>
          <w:iCs/>
          <w:color w:val="000000"/>
          <w:sz w:val="24"/>
        </w:rPr>
        <w:t>s</w:t>
      </w:r>
      <w:r w:rsidR="00AB75DA" w:rsidRPr="00012C17">
        <w:rPr>
          <w:bCs/>
          <w:iCs/>
          <w:color w:val="000000"/>
          <w:sz w:val="24"/>
        </w:rPr>
        <w:t>econd Decision</w:t>
      </w:r>
      <w:r w:rsidRPr="00012C17">
        <w:rPr>
          <w:bCs/>
          <w:iCs/>
          <w:color w:val="000000"/>
          <w:sz w:val="24"/>
        </w:rPr>
        <w:t xml:space="preserve"> [A</w:t>
      </w:r>
      <w:r w:rsidR="006634E8" w:rsidRPr="00012C17">
        <w:rPr>
          <w:bCs/>
          <w:iCs/>
          <w:color w:val="000000"/>
          <w:sz w:val="24"/>
        </w:rPr>
        <w:t>.</w:t>
      </w:r>
      <w:r w:rsidRPr="00012C17">
        <w:rPr>
          <w:bCs/>
          <w:iCs/>
          <w:color w:val="000000"/>
          <w:sz w:val="24"/>
        </w:rPr>
        <w:t>A</w:t>
      </w:r>
      <w:r w:rsidR="006634E8" w:rsidRPr="00012C17">
        <w:rPr>
          <w:bCs/>
          <w:iCs/>
          <w:color w:val="000000"/>
          <w:sz w:val="24"/>
        </w:rPr>
        <w:t>.</w:t>
      </w:r>
      <w:r w:rsidRPr="00012C17">
        <w:rPr>
          <w:bCs/>
          <w:iCs/>
          <w:color w:val="000000"/>
          <w:sz w:val="24"/>
        </w:rPr>
        <w:t xml:space="preserve"> U.ZH. </w:t>
      </w:r>
      <w:r w:rsidR="00AB75DA" w:rsidRPr="00012C17">
        <w:rPr>
          <w:bCs/>
          <w:iCs/>
          <w:color w:val="000000"/>
          <w:sz w:val="24"/>
        </w:rPr>
        <w:t>N</w:t>
      </w:r>
      <w:r w:rsidRPr="00012C17">
        <w:rPr>
          <w:bCs/>
          <w:iCs/>
          <w:color w:val="000000"/>
          <w:sz w:val="24"/>
        </w:rPr>
        <w:t xml:space="preserve">o. 62/2017] finds that </w:t>
      </w:r>
      <w:r w:rsidR="00BE3F91" w:rsidRPr="00012C17">
        <w:rPr>
          <w:bCs/>
          <w:iCs/>
          <w:color w:val="000000"/>
          <w:sz w:val="24"/>
        </w:rPr>
        <w:t>“</w:t>
      </w:r>
      <w:r w:rsidRPr="00012C17">
        <w:rPr>
          <w:bCs/>
          <w:i/>
          <w:color w:val="000000"/>
          <w:sz w:val="24"/>
        </w:rPr>
        <w:t>the election process was damaged</w:t>
      </w:r>
      <w:r w:rsidR="00BE3F91" w:rsidRPr="00012C17">
        <w:rPr>
          <w:bCs/>
          <w:iCs/>
          <w:color w:val="000000"/>
          <w:sz w:val="24"/>
        </w:rPr>
        <w:t>”</w:t>
      </w:r>
      <w:r w:rsidRPr="00012C17">
        <w:rPr>
          <w:bCs/>
          <w:iCs/>
          <w:color w:val="000000"/>
          <w:sz w:val="24"/>
        </w:rPr>
        <w:t xml:space="preserve"> it did not consider it necessary to recount the boxes from all polling stations, which according to them</w:t>
      </w:r>
      <w:r w:rsidR="00BE3F91" w:rsidRPr="00012C17">
        <w:rPr>
          <w:bCs/>
          <w:iCs/>
          <w:color w:val="000000"/>
          <w:sz w:val="24"/>
        </w:rPr>
        <w:t>,</w:t>
      </w:r>
      <w:r w:rsidRPr="00012C17">
        <w:rPr>
          <w:bCs/>
          <w:iCs/>
          <w:color w:val="000000"/>
          <w:sz w:val="24"/>
        </w:rPr>
        <w:t xml:space="preserve"> would be able to verify the </w:t>
      </w:r>
      <w:r w:rsidR="00BE3F91" w:rsidRPr="00012C17">
        <w:rPr>
          <w:bCs/>
          <w:iCs/>
          <w:color w:val="000000"/>
          <w:sz w:val="24"/>
        </w:rPr>
        <w:t>result</w:t>
      </w:r>
      <w:r w:rsidRPr="00012C17">
        <w:rPr>
          <w:bCs/>
          <w:iCs/>
          <w:color w:val="000000"/>
          <w:sz w:val="24"/>
        </w:rPr>
        <w:t xml:space="preserve"> and possible omissions. According to the Applicants, their </w:t>
      </w:r>
      <w:r w:rsidR="00BE3F91" w:rsidRPr="00012C17">
        <w:rPr>
          <w:bCs/>
          <w:iCs/>
          <w:color w:val="000000"/>
          <w:sz w:val="24"/>
        </w:rPr>
        <w:t xml:space="preserve">request </w:t>
      </w:r>
      <w:r w:rsidR="004A3765" w:rsidRPr="00012C17">
        <w:rPr>
          <w:bCs/>
          <w:iCs/>
          <w:color w:val="000000"/>
          <w:sz w:val="24"/>
        </w:rPr>
        <w:t xml:space="preserve">for </w:t>
      </w:r>
      <w:r w:rsidR="0062326C" w:rsidRPr="00012C17">
        <w:rPr>
          <w:bCs/>
          <w:iCs/>
          <w:color w:val="000000"/>
          <w:sz w:val="24"/>
        </w:rPr>
        <w:t>recount</w:t>
      </w:r>
      <w:r w:rsidRPr="00012C17">
        <w:rPr>
          <w:bCs/>
          <w:iCs/>
          <w:color w:val="000000"/>
          <w:sz w:val="24"/>
        </w:rPr>
        <w:t xml:space="preserve"> of ballot boxes at all polling stations was rejected in a</w:t>
      </w:r>
      <w:r w:rsidR="004A3765" w:rsidRPr="00012C17">
        <w:rPr>
          <w:bCs/>
          <w:iCs/>
          <w:color w:val="000000"/>
          <w:sz w:val="24"/>
        </w:rPr>
        <w:t>n</w:t>
      </w:r>
      <w:r w:rsidRPr="00012C17">
        <w:rPr>
          <w:bCs/>
          <w:iCs/>
          <w:color w:val="000000"/>
          <w:sz w:val="24"/>
        </w:rPr>
        <w:t xml:space="preserve"> </w:t>
      </w:r>
      <w:r w:rsidR="004A3765" w:rsidRPr="00012C17">
        <w:rPr>
          <w:bCs/>
          <w:iCs/>
          <w:color w:val="000000"/>
          <w:sz w:val="24"/>
        </w:rPr>
        <w:t>un</w:t>
      </w:r>
      <w:r w:rsidRPr="00012C17">
        <w:rPr>
          <w:bCs/>
          <w:iCs/>
          <w:color w:val="000000"/>
          <w:sz w:val="24"/>
        </w:rPr>
        <w:t>constitutional way</w:t>
      </w:r>
      <w:r w:rsidR="007A24EA" w:rsidRPr="00012C17">
        <w:rPr>
          <w:bCs/>
          <w:iCs/>
          <w:color w:val="000000"/>
          <w:sz w:val="24"/>
        </w:rPr>
        <w:t xml:space="preserve">. </w:t>
      </w:r>
    </w:p>
    <w:p w:rsidR="001777F9" w:rsidRPr="00012C17" w:rsidRDefault="001777F9" w:rsidP="001B11C5">
      <w:pPr>
        <w:spacing w:line="240" w:lineRule="auto"/>
        <w:rPr>
          <w:bCs/>
          <w:i/>
          <w:iCs/>
          <w:color w:val="000000"/>
          <w:sz w:val="24"/>
        </w:rPr>
      </w:pPr>
    </w:p>
    <w:p w:rsidR="005B22BD" w:rsidRPr="00012C17" w:rsidRDefault="00A34F63" w:rsidP="001B11C5">
      <w:pPr>
        <w:spacing w:line="240" w:lineRule="auto"/>
        <w:rPr>
          <w:bCs/>
          <w:i/>
          <w:iCs/>
          <w:color w:val="000000"/>
          <w:sz w:val="24"/>
        </w:rPr>
      </w:pPr>
      <w:r w:rsidRPr="00012C17">
        <w:rPr>
          <w:bCs/>
          <w:i/>
          <w:iCs/>
          <w:color w:val="000000"/>
          <w:sz w:val="24"/>
        </w:rPr>
        <w:t>Regarding the principle of publicity (transparency</w:t>
      </w:r>
      <w:r w:rsidR="006810DC" w:rsidRPr="00012C17">
        <w:rPr>
          <w:bCs/>
          <w:i/>
          <w:iCs/>
          <w:color w:val="000000"/>
          <w:sz w:val="24"/>
        </w:rPr>
        <w:t>)</w:t>
      </w:r>
    </w:p>
    <w:p w:rsidR="00D95898" w:rsidRPr="00012C17" w:rsidRDefault="00D95898" w:rsidP="001B11C5">
      <w:pPr>
        <w:pStyle w:val="ListParagraph"/>
        <w:spacing w:after="0" w:line="240" w:lineRule="auto"/>
        <w:ind w:left="1350"/>
        <w:rPr>
          <w:rFonts w:ascii="Georgia" w:hAnsi="Georgia"/>
          <w:bCs/>
          <w:i/>
          <w:iCs/>
          <w:color w:val="000000"/>
          <w:sz w:val="24"/>
          <w:szCs w:val="24"/>
          <w:lang w:val="en-US"/>
        </w:rPr>
      </w:pPr>
    </w:p>
    <w:p w:rsidR="00F520B8" w:rsidRPr="00012C17" w:rsidRDefault="00A34F63" w:rsidP="001B11C5">
      <w:pPr>
        <w:numPr>
          <w:ilvl w:val="0"/>
          <w:numId w:val="1"/>
        </w:numPr>
        <w:spacing w:line="240" w:lineRule="auto"/>
        <w:ind w:left="630" w:hanging="630"/>
        <w:rPr>
          <w:bCs/>
          <w:iCs/>
          <w:color w:val="000000"/>
          <w:sz w:val="24"/>
        </w:rPr>
      </w:pPr>
      <w:r w:rsidRPr="00012C17">
        <w:rPr>
          <w:bCs/>
          <w:iCs/>
          <w:color w:val="000000"/>
          <w:sz w:val="24"/>
        </w:rPr>
        <w:t>The Applicants allege that this principle, despite the fact t</w:t>
      </w:r>
      <w:r w:rsidR="0062326C" w:rsidRPr="00012C17">
        <w:rPr>
          <w:bCs/>
          <w:iCs/>
          <w:color w:val="000000"/>
          <w:sz w:val="24"/>
        </w:rPr>
        <w:t>hat it is not a constitutional</w:t>
      </w:r>
      <w:r w:rsidRPr="00012C17">
        <w:rPr>
          <w:bCs/>
          <w:iCs/>
          <w:color w:val="000000"/>
          <w:sz w:val="24"/>
        </w:rPr>
        <w:t xml:space="preserve"> written </w:t>
      </w:r>
      <w:r w:rsidRPr="00012C17">
        <w:rPr>
          <w:rFonts w:cs="Arial"/>
          <w:color w:val="000000"/>
          <w:sz w:val="24"/>
        </w:rPr>
        <w:t>principle</w:t>
      </w:r>
      <w:r w:rsidRPr="00012C17">
        <w:rPr>
          <w:bCs/>
          <w:iCs/>
          <w:color w:val="000000"/>
          <w:sz w:val="24"/>
        </w:rPr>
        <w:t>, is the result of the interaction of constitutional articles and</w:t>
      </w:r>
      <w:r w:rsidR="004A3765" w:rsidRPr="00012C17">
        <w:rPr>
          <w:bCs/>
          <w:iCs/>
          <w:color w:val="000000"/>
          <w:sz w:val="24"/>
        </w:rPr>
        <w:t>, according to</w:t>
      </w:r>
      <w:r w:rsidRPr="00012C17">
        <w:rPr>
          <w:bCs/>
          <w:iCs/>
          <w:color w:val="000000"/>
          <w:sz w:val="24"/>
        </w:rPr>
        <w:t xml:space="preserve"> the Applicants, </w:t>
      </w:r>
      <w:r w:rsidRPr="00012C17">
        <w:rPr>
          <w:bCs/>
          <w:i/>
          <w:color w:val="000000"/>
          <w:sz w:val="24"/>
        </w:rPr>
        <w:t>inter alia</w:t>
      </w:r>
      <w:r w:rsidRPr="00012C17">
        <w:rPr>
          <w:bCs/>
          <w:iCs/>
          <w:color w:val="000000"/>
          <w:sz w:val="24"/>
        </w:rPr>
        <w:t xml:space="preserve">, </w:t>
      </w:r>
      <w:r w:rsidR="00AB75DA" w:rsidRPr="00012C17">
        <w:rPr>
          <w:bCs/>
          <w:iCs/>
          <w:color w:val="000000"/>
          <w:sz w:val="24"/>
        </w:rPr>
        <w:t>means</w:t>
      </w:r>
      <w:r w:rsidR="004A3765" w:rsidRPr="00012C17">
        <w:rPr>
          <w:bCs/>
          <w:iCs/>
          <w:color w:val="000000"/>
          <w:sz w:val="24"/>
        </w:rPr>
        <w:t xml:space="preserve"> </w:t>
      </w:r>
      <w:r w:rsidRPr="00012C17">
        <w:rPr>
          <w:bCs/>
          <w:iCs/>
          <w:color w:val="000000"/>
          <w:sz w:val="24"/>
        </w:rPr>
        <w:t xml:space="preserve">that (a) </w:t>
      </w:r>
      <w:r w:rsidR="004A3765" w:rsidRPr="00012C17">
        <w:rPr>
          <w:bCs/>
          <w:iCs/>
          <w:color w:val="000000"/>
          <w:sz w:val="24"/>
        </w:rPr>
        <w:t>“</w:t>
      </w:r>
      <w:r w:rsidRPr="00012C17">
        <w:rPr>
          <w:bCs/>
          <w:i/>
          <w:color w:val="000000"/>
          <w:sz w:val="24"/>
        </w:rPr>
        <w:t>the voter has to comply with the effectiveness of the act of voting</w:t>
      </w:r>
      <w:r w:rsidR="004A3765" w:rsidRPr="00012C17">
        <w:rPr>
          <w:bCs/>
          <w:i/>
          <w:color w:val="000000"/>
          <w:sz w:val="24"/>
        </w:rPr>
        <w:t>.</w:t>
      </w:r>
      <w:r w:rsidRPr="00012C17">
        <w:rPr>
          <w:bCs/>
          <w:i/>
          <w:color w:val="000000"/>
          <w:sz w:val="24"/>
        </w:rPr>
        <w:t xml:space="preserve"> </w:t>
      </w:r>
      <w:r w:rsidR="004A3765" w:rsidRPr="00012C17">
        <w:rPr>
          <w:bCs/>
          <w:i/>
          <w:color w:val="000000"/>
          <w:sz w:val="24"/>
        </w:rPr>
        <w:t xml:space="preserve">He must be convinced that </w:t>
      </w:r>
      <w:r w:rsidRPr="00012C17">
        <w:rPr>
          <w:bCs/>
          <w:i/>
          <w:color w:val="000000"/>
          <w:sz w:val="24"/>
        </w:rPr>
        <w:t xml:space="preserve">the </w:t>
      </w:r>
      <w:r w:rsidR="00AB75DA" w:rsidRPr="00012C17">
        <w:rPr>
          <w:bCs/>
          <w:i/>
          <w:color w:val="000000"/>
          <w:sz w:val="24"/>
        </w:rPr>
        <w:t>‘</w:t>
      </w:r>
      <w:r w:rsidRPr="00012C17">
        <w:rPr>
          <w:bCs/>
          <w:i/>
          <w:color w:val="000000"/>
          <w:sz w:val="24"/>
        </w:rPr>
        <w:t>weight of his vote at all stages from casting the vote in the ballot box, administering the election material up to the publication of the result</w:t>
      </w:r>
      <w:r w:rsidR="0062326C" w:rsidRPr="00012C17">
        <w:rPr>
          <w:bCs/>
          <w:i/>
          <w:color w:val="000000"/>
          <w:sz w:val="24"/>
        </w:rPr>
        <w:t>s,</w:t>
      </w:r>
      <w:r w:rsidRPr="00012C17">
        <w:rPr>
          <w:bCs/>
          <w:i/>
          <w:color w:val="000000"/>
          <w:sz w:val="24"/>
        </w:rPr>
        <w:t xml:space="preserve"> has been consistent with the rules and election principles</w:t>
      </w:r>
      <w:r w:rsidR="004A3765" w:rsidRPr="00012C17">
        <w:rPr>
          <w:bCs/>
          <w:i/>
          <w:color w:val="000000"/>
          <w:sz w:val="24"/>
        </w:rPr>
        <w:t>”</w:t>
      </w:r>
      <w:r w:rsidRPr="00012C17">
        <w:rPr>
          <w:bCs/>
          <w:i/>
          <w:color w:val="000000"/>
          <w:sz w:val="24"/>
        </w:rPr>
        <w:t xml:space="preserve">; </w:t>
      </w:r>
      <w:r w:rsidRPr="00012C17">
        <w:rPr>
          <w:bCs/>
          <w:iCs/>
          <w:color w:val="000000"/>
          <w:sz w:val="24"/>
        </w:rPr>
        <w:t xml:space="preserve">and </w:t>
      </w:r>
      <w:r w:rsidR="00AB75DA" w:rsidRPr="00012C17">
        <w:rPr>
          <w:bCs/>
          <w:iCs/>
          <w:color w:val="000000"/>
          <w:sz w:val="24"/>
        </w:rPr>
        <w:t xml:space="preserve">that </w:t>
      </w:r>
      <w:r w:rsidRPr="00012C17">
        <w:rPr>
          <w:bCs/>
          <w:iCs/>
          <w:color w:val="000000"/>
          <w:sz w:val="24"/>
        </w:rPr>
        <w:t>(b)</w:t>
      </w:r>
      <w:r w:rsidRPr="00012C17">
        <w:rPr>
          <w:bCs/>
          <w:i/>
          <w:color w:val="000000"/>
          <w:sz w:val="24"/>
        </w:rPr>
        <w:t xml:space="preserve"> </w:t>
      </w:r>
      <w:r w:rsidR="004A3765" w:rsidRPr="00012C17">
        <w:rPr>
          <w:bCs/>
          <w:i/>
          <w:color w:val="000000"/>
          <w:sz w:val="24"/>
        </w:rPr>
        <w:t>“the p</w:t>
      </w:r>
      <w:r w:rsidRPr="00012C17">
        <w:rPr>
          <w:bCs/>
          <w:i/>
          <w:color w:val="000000"/>
          <w:sz w:val="24"/>
        </w:rPr>
        <w:t xml:space="preserve">articipants in the </w:t>
      </w:r>
      <w:r w:rsidR="0062326C" w:rsidRPr="00012C17">
        <w:rPr>
          <w:bCs/>
          <w:i/>
          <w:color w:val="000000"/>
          <w:sz w:val="24"/>
        </w:rPr>
        <w:t>electoral</w:t>
      </w:r>
      <w:r w:rsidRPr="00012C17">
        <w:rPr>
          <w:bCs/>
          <w:i/>
          <w:color w:val="000000"/>
          <w:sz w:val="24"/>
        </w:rPr>
        <w:t xml:space="preserve"> process, candidates or voters will have the opportunity, in case of doubts about the truthfulness of published results, to exercise </w:t>
      </w:r>
      <w:r w:rsidR="004A3765" w:rsidRPr="00012C17">
        <w:rPr>
          <w:bCs/>
          <w:i/>
          <w:color w:val="000000"/>
          <w:sz w:val="24"/>
        </w:rPr>
        <w:t xml:space="preserve">legal </w:t>
      </w:r>
      <w:r w:rsidRPr="00012C17">
        <w:rPr>
          <w:bCs/>
          <w:i/>
          <w:color w:val="000000"/>
          <w:sz w:val="24"/>
        </w:rPr>
        <w:t>remedies through which those doubts are clarified</w:t>
      </w:r>
      <w:r w:rsidRPr="00012C17">
        <w:rPr>
          <w:bCs/>
          <w:iCs/>
          <w:color w:val="000000"/>
          <w:sz w:val="24"/>
        </w:rPr>
        <w:t>.</w:t>
      </w:r>
      <w:r w:rsidR="004A3765" w:rsidRPr="00012C17">
        <w:rPr>
          <w:bCs/>
          <w:iCs/>
          <w:color w:val="000000"/>
          <w:sz w:val="24"/>
        </w:rPr>
        <w:t>”</w:t>
      </w:r>
      <w:r w:rsidRPr="00012C17">
        <w:rPr>
          <w:bCs/>
          <w:iCs/>
          <w:color w:val="000000"/>
          <w:sz w:val="24"/>
        </w:rPr>
        <w:t xml:space="preserve"> </w:t>
      </w:r>
      <w:r w:rsidR="004A3765" w:rsidRPr="00012C17">
        <w:rPr>
          <w:bCs/>
          <w:iCs/>
          <w:color w:val="000000"/>
          <w:sz w:val="24"/>
        </w:rPr>
        <w:t>In support of these</w:t>
      </w:r>
      <w:r w:rsidRPr="00012C17">
        <w:rPr>
          <w:bCs/>
          <w:iCs/>
          <w:color w:val="000000"/>
          <w:sz w:val="24"/>
        </w:rPr>
        <w:t xml:space="preserve"> allegations, the Applicants refer to the decisions of the Federal Constitutional Court of Germany </w:t>
      </w:r>
      <w:r w:rsidR="00B51C24" w:rsidRPr="00012C17">
        <w:rPr>
          <w:bCs/>
          <w:iCs/>
          <w:color w:val="000000"/>
          <w:sz w:val="24"/>
        </w:rPr>
        <w:t>BVerfGE 12</w:t>
      </w:r>
      <w:r w:rsidR="007A24EA" w:rsidRPr="00012C17">
        <w:rPr>
          <w:bCs/>
          <w:iCs/>
          <w:color w:val="000000"/>
          <w:sz w:val="24"/>
        </w:rPr>
        <w:t>3</w:t>
      </w:r>
      <w:r w:rsidR="00B51C24" w:rsidRPr="00012C17">
        <w:rPr>
          <w:bCs/>
          <w:iCs/>
          <w:color w:val="000000"/>
          <w:sz w:val="24"/>
        </w:rPr>
        <w:t xml:space="preserve">, </w:t>
      </w:r>
      <w:r w:rsidR="007A24EA" w:rsidRPr="00012C17">
        <w:rPr>
          <w:bCs/>
          <w:iCs/>
          <w:color w:val="000000"/>
          <w:sz w:val="24"/>
        </w:rPr>
        <w:t>39</w:t>
      </w:r>
      <w:r w:rsidR="00275768" w:rsidRPr="00012C17">
        <w:rPr>
          <w:bCs/>
          <w:iCs/>
          <w:color w:val="000000"/>
          <w:sz w:val="24"/>
        </w:rPr>
        <w:t xml:space="preserve"> </w:t>
      </w:r>
      <w:r w:rsidRPr="00012C17">
        <w:rPr>
          <w:bCs/>
          <w:iCs/>
          <w:color w:val="000000"/>
          <w:sz w:val="24"/>
        </w:rPr>
        <w:t>and</w:t>
      </w:r>
      <w:r w:rsidR="00275768" w:rsidRPr="00012C17">
        <w:rPr>
          <w:bCs/>
          <w:iCs/>
          <w:color w:val="000000"/>
          <w:sz w:val="24"/>
        </w:rPr>
        <w:t xml:space="preserve"> BVerfGE 121, 266</w:t>
      </w:r>
      <w:r w:rsidR="00B51C24" w:rsidRPr="00012C17">
        <w:rPr>
          <w:bCs/>
          <w:iCs/>
          <w:color w:val="000000"/>
          <w:sz w:val="24"/>
        </w:rPr>
        <w:t xml:space="preserve">. </w:t>
      </w:r>
    </w:p>
    <w:p w:rsidR="00AF396C" w:rsidRPr="00012C17" w:rsidRDefault="00AF396C" w:rsidP="001B11C5">
      <w:pPr>
        <w:pStyle w:val="ListParagraph"/>
        <w:spacing w:after="0" w:line="240" w:lineRule="auto"/>
        <w:ind w:left="630"/>
        <w:jc w:val="both"/>
        <w:rPr>
          <w:rFonts w:ascii="Georgia" w:hAnsi="Georgia"/>
          <w:bCs/>
          <w:iCs/>
          <w:color w:val="000000"/>
          <w:sz w:val="24"/>
          <w:szCs w:val="24"/>
          <w:lang w:val="en-US"/>
        </w:rPr>
      </w:pPr>
    </w:p>
    <w:p w:rsidR="00AF396C" w:rsidRPr="00012C17" w:rsidRDefault="004A3765" w:rsidP="001B11C5">
      <w:pPr>
        <w:numPr>
          <w:ilvl w:val="0"/>
          <w:numId w:val="1"/>
        </w:numPr>
        <w:spacing w:line="240" w:lineRule="auto"/>
        <w:ind w:left="630" w:hanging="630"/>
        <w:rPr>
          <w:bCs/>
          <w:iCs/>
          <w:color w:val="000000"/>
          <w:sz w:val="24"/>
        </w:rPr>
      </w:pPr>
      <w:r w:rsidRPr="00012C17">
        <w:rPr>
          <w:bCs/>
          <w:iCs/>
          <w:color w:val="000000"/>
          <w:sz w:val="24"/>
        </w:rPr>
        <w:t>In addition</w:t>
      </w:r>
      <w:r w:rsidR="00A34F63" w:rsidRPr="00012C17">
        <w:rPr>
          <w:bCs/>
          <w:iCs/>
          <w:color w:val="000000"/>
          <w:sz w:val="24"/>
        </w:rPr>
        <w:t>, the Applicants refer to th</w:t>
      </w:r>
      <w:r w:rsidR="0062326C" w:rsidRPr="00012C17">
        <w:rPr>
          <w:bCs/>
          <w:iCs/>
          <w:color w:val="000000"/>
          <w:sz w:val="24"/>
        </w:rPr>
        <w:t>e Opinion (CLD-AD (2002) 23 rev)</w:t>
      </w:r>
      <w:r w:rsidR="00A34F63" w:rsidRPr="00012C17">
        <w:rPr>
          <w:bCs/>
          <w:iCs/>
          <w:color w:val="000000"/>
          <w:sz w:val="24"/>
        </w:rPr>
        <w:t xml:space="preserve">, </w:t>
      </w:r>
      <w:r w:rsidRPr="00012C17">
        <w:rPr>
          <w:bCs/>
          <w:iCs/>
          <w:color w:val="000000"/>
          <w:sz w:val="24"/>
        </w:rPr>
        <w:t xml:space="preserve">of the Venice Commission, </w:t>
      </w:r>
      <w:r w:rsidRPr="00012C17">
        <w:rPr>
          <w:rFonts w:cs="Arial"/>
          <w:color w:val="000000"/>
          <w:sz w:val="24"/>
        </w:rPr>
        <w:t>emphasizing</w:t>
      </w:r>
      <w:r w:rsidR="00A34F63" w:rsidRPr="00012C17">
        <w:rPr>
          <w:bCs/>
          <w:iCs/>
          <w:color w:val="000000"/>
          <w:sz w:val="24"/>
        </w:rPr>
        <w:t xml:space="preserve"> the obligation of the state to guarantee transparency of </w:t>
      </w:r>
      <w:r w:rsidR="0062326C" w:rsidRPr="00012C17">
        <w:rPr>
          <w:bCs/>
          <w:iCs/>
          <w:color w:val="000000"/>
          <w:sz w:val="24"/>
        </w:rPr>
        <w:t>processes</w:t>
      </w:r>
      <w:r w:rsidR="00A34F63" w:rsidRPr="00012C17">
        <w:rPr>
          <w:bCs/>
          <w:iCs/>
          <w:color w:val="000000"/>
          <w:sz w:val="24"/>
        </w:rPr>
        <w:t>, including the</w:t>
      </w:r>
      <w:r w:rsidRPr="00012C17">
        <w:rPr>
          <w:bCs/>
          <w:iCs/>
          <w:color w:val="000000"/>
          <w:sz w:val="24"/>
        </w:rPr>
        <w:t xml:space="preserve"> right to recount votes in case</w:t>
      </w:r>
      <w:r w:rsidR="00A34F63" w:rsidRPr="00012C17">
        <w:rPr>
          <w:bCs/>
          <w:iCs/>
          <w:color w:val="000000"/>
          <w:sz w:val="24"/>
        </w:rPr>
        <w:t xml:space="preserve"> of </w:t>
      </w:r>
      <w:r w:rsidRPr="00012C17">
        <w:rPr>
          <w:bCs/>
          <w:iCs/>
          <w:color w:val="000000"/>
          <w:sz w:val="24"/>
        </w:rPr>
        <w:t xml:space="preserve">the </w:t>
      </w:r>
      <w:r w:rsidR="00A34F63" w:rsidRPr="00012C17">
        <w:rPr>
          <w:bCs/>
          <w:iCs/>
          <w:color w:val="000000"/>
          <w:sz w:val="24"/>
        </w:rPr>
        <w:t xml:space="preserve">appeal. According to the Applicants, the right to recount is, </w:t>
      </w:r>
      <w:r w:rsidR="00A34F63" w:rsidRPr="00012C17">
        <w:rPr>
          <w:bCs/>
          <w:i/>
          <w:color w:val="000000"/>
          <w:sz w:val="24"/>
        </w:rPr>
        <w:t>inter alia</w:t>
      </w:r>
      <w:r w:rsidR="00A34F63" w:rsidRPr="00012C17">
        <w:rPr>
          <w:bCs/>
          <w:iCs/>
          <w:color w:val="000000"/>
          <w:sz w:val="24"/>
        </w:rPr>
        <w:t xml:space="preserve">, </w:t>
      </w:r>
      <w:r w:rsidRPr="00012C17">
        <w:rPr>
          <w:bCs/>
          <w:iCs/>
          <w:color w:val="000000"/>
          <w:sz w:val="24"/>
        </w:rPr>
        <w:t>stipulated</w:t>
      </w:r>
      <w:r w:rsidR="00A34F63" w:rsidRPr="00012C17">
        <w:rPr>
          <w:bCs/>
          <w:iCs/>
          <w:color w:val="000000"/>
          <w:sz w:val="24"/>
        </w:rPr>
        <w:t xml:space="preserve"> by Articles 101 and 106 of the LGE, which have left the </w:t>
      </w:r>
      <w:r w:rsidR="0062326C" w:rsidRPr="00012C17">
        <w:rPr>
          <w:bCs/>
          <w:iCs/>
          <w:color w:val="000000"/>
          <w:sz w:val="24"/>
        </w:rPr>
        <w:t>competence</w:t>
      </w:r>
      <w:r w:rsidR="00A34F63" w:rsidRPr="00012C17">
        <w:rPr>
          <w:bCs/>
          <w:iCs/>
          <w:color w:val="000000"/>
          <w:sz w:val="24"/>
        </w:rPr>
        <w:t xml:space="preserve"> and the possibility to the CEC to order, </w:t>
      </w:r>
      <w:r w:rsidR="00A34F63" w:rsidRPr="00012C17">
        <w:rPr>
          <w:bCs/>
          <w:i/>
          <w:color w:val="000000"/>
          <w:sz w:val="24"/>
        </w:rPr>
        <w:t>ex officio</w:t>
      </w:r>
      <w:r w:rsidR="00A34F63" w:rsidRPr="00012C17">
        <w:rPr>
          <w:bCs/>
          <w:iCs/>
          <w:color w:val="000000"/>
          <w:sz w:val="24"/>
        </w:rPr>
        <w:t xml:space="preserve">, the recount or the repetition of </w:t>
      </w:r>
      <w:r w:rsidRPr="00012C17">
        <w:rPr>
          <w:bCs/>
          <w:iCs/>
          <w:color w:val="000000"/>
          <w:sz w:val="24"/>
        </w:rPr>
        <w:t>vote before</w:t>
      </w:r>
      <w:r w:rsidR="00A34F63" w:rsidRPr="00012C17">
        <w:rPr>
          <w:bCs/>
          <w:iCs/>
          <w:color w:val="000000"/>
          <w:sz w:val="24"/>
        </w:rPr>
        <w:t xml:space="preserve"> </w:t>
      </w:r>
      <w:r w:rsidR="00AB75DA" w:rsidRPr="00012C17">
        <w:rPr>
          <w:bCs/>
          <w:iCs/>
          <w:color w:val="000000"/>
          <w:sz w:val="24"/>
        </w:rPr>
        <w:t>th</w:t>
      </w:r>
      <w:r w:rsidR="0062326C" w:rsidRPr="00012C17">
        <w:rPr>
          <w:bCs/>
          <w:iCs/>
          <w:color w:val="000000"/>
          <w:sz w:val="24"/>
        </w:rPr>
        <w:t>e</w:t>
      </w:r>
      <w:r w:rsidR="00AB75DA" w:rsidRPr="00012C17">
        <w:rPr>
          <w:bCs/>
          <w:iCs/>
          <w:color w:val="000000"/>
          <w:sz w:val="24"/>
        </w:rPr>
        <w:t xml:space="preserve"> </w:t>
      </w:r>
      <w:r w:rsidRPr="00012C17">
        <w:rPr>
          <w:bCs/>
          <w:iCs/>
          <w:color w:val="000000"/>
          <w:sz w:val="24"/>
        </w:rPr>
        <w:t>publication</w:t>
      </w:r>
      <w:r w:rsidR="00A34F63" w:rsidRPr="00012C17">
        <w:rPr>
          <w:bCs/>
          <w:iCs/>
          <w:color w:val="000000"/>
          <w:sz w:val="24"/>
        </w:rPr>
        <w:t xml:space="preserve"> of results</w:t>
      </w:r>
      <w:r w:rsidR="00AF396C" w:rsidRPr="00012C17">
        <w:rPr>
          <w:bCs/>
          <w:iCs/>
          <w:color w:val="000000"/>
          <w:sz w:val="24"/>
        </w:rPr>
        <w:t>.</w:t>
      </w:r>
    </w:p>
    <w:p w:rsidR="00AF396C" w:rsidRPr="00012C17" w:rsidRDefault="00AF396C" w:rsidP="001B11C5">
      <w:pPr>
        <w:pStyle w:val="ListParagraph"/>
        <w:spacing w:after="0" w:line="240" w:lineRule="auto"/>
        <w:rPr>
          <w:rFonts w:ascii="Georgia" w:hAnsi="Georgia"/>
          <w:bCs/>
          <w:iCs/>
          <w:color w:val="000000"/>
          <w:sz w:val="24"/>
          <w:szCs w:val="24"/>
          <w:lang w:val="en-US"/>
        </w:rPr>
      </w:pPr>
    </w:p>
    <w:p w:rsidR="00AF396C" w:rsidRPr="00012C17" w:rsidRDefault="00A34F63" w:rsidP="001B11C5">
      <w:pPr>
        <w:pStyle w:val="ListParagraph"/>
        <w:numPr>
          <w:ilvl w:val="0"/>
          <w:numId w:val="1"/>
        </w:numPr>
        <w:spacing w:after="0" w:line="240" w:lineRule="auto"/>
        <w:ind w:left="630" w:hanging="630"/>
        <w:jc w:val="both"/>
        <w:rPr>
          <w:rFonts w:ascii="Georgia" w:hAnsi="Georgia"/>
          <w:bCs/>
          <w:iCs/>
          <w:color w:val="000000"/>
          <w:sz w:val="24"/>
          <w:szCs w:val="24"/>
          <w:lang w:val="en-US"/>
        </w:rPr>
      </w:pPr>
      <w:r w:rsidRPr="00012C17">
        <w:rPr>
          <w:rFonts w:ascii="Georgia" w:hAnsi="Georgia"/>
          <w:bCs/>
          <w:iCs/>
          <w:color w:val="000000"/>
          <w:sz w:val="24"/>
          <w:szCs w:val="24"/>
          <w:lang w:val="en-US"/>
        </w:rPr>
        <w:lastRenderedPageBreak/>
        <w:t xml:space="preserve">In this regard, the Applicants allege that the reasoning of the Supreme Court, according to which </w:t>
      </w:r>
      <w:r w:rsidR="004A3765" w:rsidRPr="00012C17">
        <w:rPr>
          <w:rFonts w:ascii="Georgia" w:hAnsi="Georgia"/>
          <w:bCs/>
          <w:iCs/>
          <w:color w:val="000000"/>
          <w:sz w:val="24"/>
          <w:szCs w:val="24"/>
          <w:lang w:val="en-US"/>
        </w:rPr>
        <w:t>“</w:t>
      </w:r>
      <w:r w:rsidRPr="00012C17">
        <w:rPr>
          <w:rFonts w:ascii="Georgia" w:hAnsi="Georgia"/>
          <w:bCs/>
          <w:i/>
          <w:color w:val="000000"/>
          <w:sz w:val="24"/>
          <w:szCs w:val="24"/>
          <w:lang w:val="en-US"/>
        </w:rPr>
        <w:t xml:space="preserve">the law </w:t>
      </w:r>
      <w:r w:rsidR="00AB75DA" w:rsidRPr="00012C17">
        <w:rPr>
          <w:rFonts w:ascii="Georgia" w:hAnsi="Georgia"/>
          <w:bCs/>
          <w:i/>
          <w:color w:val="000000"/>
          <w:sz w:val="24"/>
          <w:szCs w:val="24"/>
          <w:lang w:val="en-US"/>
        </w:rPr>
        <w:t xml:space="preserve">nowhere </w:t>
      </w:r>
      <w:r w:rsidRPr="00012C17">
        <w:rPr>
          <w:rFonts w:ascii="Georgia" w:hAnsi="Georgia"/>
          <w:bCs/>
          <w:i/>
          <w:color w:val="000000"/>
          <w:sz w:val="24"/>
          <w:szCs w:val="24"/>
          <w:lang w:val="en-US"/>
        </w:rPr>
        <w:t xml:space="preserve">foresees a recount in the event of a small difference </w:t>
      </w:r>
      <w:r w:rsidR="0062326C" w:rsidRPr="00012C17">
        <w:rPr>
          <w:rFonts w:ascii="Georgia" w:hAnsi="Georgia"/>
          <w:bCs/>
          <w:i/>
          <w:color w:val="000000"/>
          <w:sz w:val="24"/>
          <w:szCs w:val="24"/>
          <w:lang w:val="en-US"/>
        </w:rPr>
        <w:t>between</w:t>
      </w:r>
      <w:r w:rsidRPr="00012C17">
        <w:rPr>
          <w:rFonts w:ascii="Georgia" w:hAnsi="Georgia"/>
          <w:bCs/>
          <w:i/>
          <w:color w:val="000000"/>
          <w:sz w:val="24"/>
          <w:szCs w:val="24"/>
          <w:lang w:val="en-US"/>
        </w:rPr>
        <w:t xml:space="preserve"> candidates</w:t>
      </w:r>
      <w:r w:rsidR="004A3765" w:rsidRPr="00012C17">
        <w:rPr>
          <w:rFonts w:ascii="Georgia" w:hAnsi="Georgia"/>
          <w:bCs/>
          <w:iCs/>
          <w:color w:val="000000"/>
          <w:sz w:val="24"/>
          <w:szCs w:val="24"/>
          <w:lang w:val="en-US"/>
        </w:rPr>
        <w:t>”</w:t>
      </w:r>
      <w:r w:rsidRPr="00012C17">
        <w:rPr>
          <w:rFonts w:ascii="Georgia" w:hAnsi="Georgia"/>
          <w:bCs/>
          <w:iCs/>
          <w:color w:val="000000"/>
          <w:sz w:val="24"/>
          <w:szCs w:val="24"/>
          <w:lang w:val="en-US"/>
        </w:rPr>
        <w:t>, violates the right to confirm and verify the election result</w:t>
      </w:r>
      <w:r w:rsidR="006F168E" w:rsidRPr="00012C17">
        <w:rPr>
          <w:rFonts w:ascii="Georgia" w:hAnsi="Georgia"/>
          <w:bCs/>
          <w:iCs/>
          <w:color w:val="000000"/>
          <w:sz w:val="24"/>
          <w:szCs w:val="24"/>
          <w:lang w:val="en-US"/>
        </w:rPr>
        <w:t>s</w:t>
      </w:r>
      <w:r w:rsidRPr="00012C17">
        <w:rPr>
          <w:rFonts w:ascii="Georgia" w:hAnsi="Georgia"/>
          <w:bCs/>
          <w:iCs/>
          <w:color w:val="000000"/>
          <w:sz w:val="24"/>
          <w:szCs w:val="24"/>
          <w:lang w:val="en-US"/>
        </w:rPr>
        <w:t xml:space="preserve">. Moreover, according to the Applicants, this reasoning does not take into account and does not assess the rights of the </w:t>
      </w:r>
      <w:r w:rsidR="004A3765" w:rsidRPr="00012C17">
        <w:rPr>
          <w:rFonts w:ascii="Georgia" w:hAnsi="Georgia"/>
          <w:bCs/>
          <w:iCs/>
          <w:color w:val="000000"/>
          <w:sz w:val="24"/>
          <w:szCs w:val="24"/>
          <w:lang w:val="en-US"/>
        </w:rPr>
        <w:t xml:space="preserve">Applicants </w:t>
      </w:r>
      <w:r w:rsidRPr="00012C17">
        <w:rPr>
          <w:rFonts w:ascii="Georgia" w:hAnsi="Georgia"/>
          <w:bCs/>
          <w:iCs/>
          <w:color w:val="000000"/>
          <w:sz w:val="24"/>
          <w:szCs w:val="24"/>
          <w:lang w:val="en-US"/>
        </w:rPr>
        <w:t xml:space="preserve">guaranteed by Article 45 of the Constitution. The Applicants </w:t>
      </w:r>
      <w:r w:rsidR="004A3765" w:rsidRPr="00012C17">
        <w:rPr>
          <w:rFonts w:ascii="Georgia" w:hAnsi="Georgia"/>
          <w:bCs/>
          <w:iCs/>
          <w:color w:val="000000"/>
          <w:sz w:val="24"/>
          <w:szCs w:val="24"/>
          <w:lang w:val="en-US"/>
        </w:rPr>
        <w:t>allege</w:t>
      </w:r>
      <w:r w:rsidRPr="00012C17">
        <w:rPr>
          <w:rFonts w:ascii="Georgia" w:hAnsi="Georgia"/>
          <w:bCs/>
          <w:iCs/>
          <w:color w:val="000000"/>
          <w:sz w:val="24"/>
          <w:szCs w:val="24"/>
          <w:lang w:val="en-US"/>
        </w:rPr>
        <w:t xml:space="preserve"> that </w:t>
      </w:r>
      <w:r w:rsidR="004A3765" w:rsidRPr="00012C17">
        <w:rPr>
          <w:rFonts w:ascii="Georgia" w:hAnsi="Georgia"/>
          <w:bCs/>
          <w:iCs/>
          <w:color w:val="000000"/>
          <w:sz w:val="24"/>
          <w:szCs w:val="24"/>
          <w:lang w:val="en-US"/>
        </w:rPr>
        <w:t>“</w:t>
      </w:r>
      <w:r w:rsidRPr="00012C17">
        <w:rPr>
          <w:rFonts w:ascii="Georgia" w:hAnsi="Georgia"/>
          <w:bCs/>
          <w:i/>
          <w:color w:val="000000"/>
          <w:sz w:val="24"/>
          <w:szCs w:val="24"/>
          <w:lang w:val="en-US"/>
        </w:rPr>
        <w:t>in the event of a narrow election result</w:t>
      </w:r>
      <w:r w:rsidR="00164ADC" w:rsidRPr="00012C17">
        <w:rPr>
          <w:rFonts w:ascii="Georgia" w:hAnsi="Georgia"/>
          <w:bCs/>
          <w:iCs/>
          <w:color w:val="000000"/>
          <w:sz w:val="24"/>
          <w:szCs w:val="24"/>
          <w:lang w:val="en-US"/>
        </w:rPr>
        <w:t>”</w:t>
      </w:r>
      <w:r w:rsidRPr="00012C17">
        <w:rPr>
          <w:rFonts w:ascii="Georgia" w:hAnsi="Georgia"/>
          <w:bCs/>
          <w:iCs/>
          <w:color w:val="000000"/>
          <w:sz w:val="24"/>
          <w:szCs w:val="24"/>
          <w:lang w:val="en-US"/>
        </w:rPr>
        <w:t xml:space="preserve">, the recount is a fundamental right which is initiated through the CEC or at the request of the party. In this regard, the Applicants refer to the </w:t>
      </w:r>
      <w:r w:rsidR="00164ADC" w:rsidRPr="00012C17">
        <w:rPr>
          <w:rFonts w:ascii="Georgia" w:hAnsi="Georgia"/>
          <w:bCs/>
          <w:iCs/>
          <w:color w:val="000000"/>
          <w:sz w:val="24"/>
          <w:szCs w:val="24"/>
          <w:lang w:val="en-US"/>
        </w:rPr>
        <w:t xml:space="preserve">Decision </w:t>
      </w:r>
      <w:r w:rsidR="00AB75DA" w:rsidRPr="00012C17">
        <w:rPr>
          <w:rFonts w:ascii="Georgia" w:hAnsi="Georgia"/>
          <w:bCs/>
          <w:iCs/>
          <w:color w:val="000000"/>
          <w:sz w:val="24"/>
          <w:szCs w:val="24"/>
          <w:lang w:val="en-US"/>
        </w:rPr>
        <w:t>IC_275/</w:t>
      </w:r>
      <w:r w:rsidRPr="00012C17">
        <w:rPr>
          <w:rFonts w:ascii="Georgia" w:hAnsi="Georgia"/>
          <w:bCs/>
          <w:iCs/>
          <w:color w:val="000000"/>
          <w:sz w:val="24"/>
          <w:szCs w:val="24"/>
          <w:lang w:val="en-US"/>
        </w:rPr>
        <w:t xml:space="preserve">2009 of 1 October 2009 of the Swiss Constitutional Court, according to which </w:t>
      </w:r>
      <w:r w:rsidR="00164ADC" w:rsidRPr="00012C17">
        <w:rPr>
          <w:rFonts w:ascii="Georgia" w:hAnsi="Georgia"/>
          <w:bCs/>
          <w:iCs/>
          <w:color w:val="000000"/>
          <w:sz w:val="24"/>
          <w:szCs w:val="24"/>
          <w:lang w:val="en-US"/>
        </w:rPr>
        <w:t>“</w:t>
      </w:r>
      <w:r w:rsidRPr="00012C17">
        <w:rPr>
          <w:rFonts w:ascii="Georgia" w:hAnsi="Georgia"/>
          <w:bCs/>
          <w:i/>
          <w:color w:val="000000"/>
          <w:sz w:val="24"/>
          <w:szCs w:val="24"/>
          <w:lang w:val="en-US"/>
        </w:rPr>
        <w:t xml:space="preserve">if there are doubts as to the regularity of the </w:t>
      </w:r>
      <w:r w:rsidR="00164ADC" w:rsidRPr="00012C17">
        <w:rPr>
          <w:rFonts w:ascii="Georgia" w:hAnsi="Georgia"/>
          <w:bCs/>
          <w:i/>
          <w:color w:val="000000"/>
          <w:sz w:val="24"/>
          <w:szCs w:val="24"/>
          <w:lang w:val="en-US"/>
        </w:rPr>
        <w:t>process, all ballot papers</w:t>
      </w:r>
      <w:r w:rsidRPr="00012C17">
        <w:rPr>
          <w:rFonts w:ascii="Georgia" w:hAnsi="Georgia"/>
          <w:bCs/>
          <w:i/>
          <w:color w:val="000000"/>
          <w:sz w:val="24"/>
          <w:szCs w:val="24"/>
          <w:lang w:val="en-US"/>
        </w:rPr>
        <w:t xml:space="preserve"> should be recounted in order to avoid any irregularity</w:t>
      </w:r>
      <w:r w:rsidR="0076239E" w:rsidRPr="00012C17">
        <w:rPr>
          <w:rFonts w:ascii="Georgia" w:hAnsi="Georgia"/>
          <w:bCs/>
          <w:i/>
          <w:iCs/>
          <w:color w:val="000000"/>
          <w:sz w:val="24"/>
          <w:szCs w:val="24"/>
          <w:lang w:val="en-US"/>
        </w:rPr>
        <w:t>”</w:t>
      </w:r>
      <w:r w:rsidR="00B32B6F" w:rsidRPr="00012C17">
        <w:rPr>
          <w:rFonts w:ascii="Georgia" w:hAnsi="Georgia"/>
          <w:bCs/>
          <w:iCs/>
          <w:color w:val="000000"/>
          <w:sz w:val="24"/>
          <w:szCs w:val="24"/>
          <w:lang w:val="en-US"/>
        </w:rPr>
        <w:t xml:space="preserve">. </w:t>
      </w:r>
    </w:p>
    <w:p w:rsidR="00AF396C" w:rsidRPr="00012C17" w:rsidRDefault="00AF396C" w:rsidP="001B11C5">
      <w:pPr>
        <w:pStyle w:val="ListParagraph"/>
        <w:spacing w:after="0" w:line="240" w:lineRule="auto"/>
        <w:rPr>
          <w:rFonts w:ascii="Georgia" w:hAnsi="Georgia"/>
          <w:bCs/>
          <w:iCs/>
          <w:color w:val="000000"/>
          <w:sz w:val="24"/>
          <w:szCs w:val="24"/>
          <w:lang w:val="en-US"/>
        </w:rPr>
      </w:pPr>
    </w:p>
    <w:p w:rsidR="00164ADC" w:rsidRPr="00012C17" w:rsidRDefault="00A34F63" w:rsidP="001B11C5">
      <w:pPr>
        <w:pStyle w:val="ListParagraph"/>
        <w:numPr>
          <w:ilvl w:val="0"/>
          <w:numId w:val="1"/>
        </w:numPr>
        <w:spacing w:after="0" w:line="240" w:lineRule="auto"/>
        <w:ind w:left="630" w:hanging="630"/>
        <w:jc w:val="both"/>
        <w:rPr>
          <w:rFonts w:ascii="Georgia" w:hAnsi="Georgia"/>
          <w:bCs/>
          <w:iCs/>
          <w:color w:val="000000"/>
          <w:sz w:val="24"/>
          <w:szCs w:val="24"/>
          <w:lang w:val="en-US"/>
        </w:rPr>
      </w:pPr>
      <w:r w:rsidRPr="00012C17">
        <w:rPr>
          <w:rFonts w:ascii="Georgia" w:hAnsi="Georgia"/>
          <w:bCs/>
          <w:iCs/>
          <w:color w:val="000000"/>
          <w:sz w:val="24"/>
          <w:szCs w:val="24"/>
          <w:lang w:val="en-US"/>
        </w:rPr>
        <w:t xml:space="preserve">In this regard, the Applicants state that the ECAP and the Supreme Court </w:t>
      </w:r>
      <w:r w:rsidR="00164ADC" w:rsidRPr="00012C17">
        <w:rPr>
          <w:rFonts w:ascii="Georgia" w:hAnsi="Georgia"/>
          <w:bCs/>
          <w:iCs/>
          <w:color w:val="000000"/>
          <w:sz w:val="24"/>
          <w:szCs w:val="24"/>
          <w:lang w:val="en-US"/>
        </w:rPr>
        <w:t>“</w:t>
      </w:r>
      <w:r w:rsidRPr="00012C17">
        <w:rPr>
          <w:rFonts w:ascii="Georgia" w:hAnsi="Georgia"/>
          <w:bCs/>
          <w:i/>
          <w:color w:val="000000"/>
          <w:sz w:val="24"/>
          <w:szCs w:val="24"/>
          <w:lang w:val="en-US"/>
        </w:rPr>
        <w:t xml:space="preserve">have </w:t>
      </w:r>
      <w:r w:rsidR="00164ADC" w:rsidRPr="00012C17">
        <w:rPr>
          <w:rFonts w:ascii="Georgia" w:hAnsi="Georgia"/>
          <w:bCs/>
          <w:i/>
          <w:color w:val="000000"/>
          <w:sz w:val="24"/>
          <w:szCs w:val="24"/>
          <w:lang w:val="en-US"/>
        </w:rPr>
        <w:t>found</w:t>
      </w:r>
      <w:r w:rsidRPr="00012C17">
        <w:rPr>
          <w:rFonts w:ascii="Georgia" w:hAnsi="Georgia"/>
          <w:bCs/>
          <w:i/>
          <w:color w:val="000000"/>
          <w:sz w:val="24"/>
          <w:szCs w:val="24"/>
          <w:lang w:val="en-US"/>
        </w:rPr>
        <w:t xml:space="preserve"> that </w:t>
      </w:r>
      <w:r w:rsidR="00164ADC" w:rsidRPr="00012C17">
        <w:rPr>
          <w:rFonts w:ascii="Georgia" w:hAnsi="Georgia"/>
          <w:bCs/>
          <w:i/>
          <w:color w:val="000000"/>
          <w:sz w:val="24"/>
          <w:szCs w:val="24"/>
          <w:lang w:val="en-US"/>
        </w:rPr>
        <w:t xml:space="preserve">in </w:t>
      </w:r>
      <w:r w:rsidRPr="00012C17">
        <w:rPr>
          <w:rFonts w:ascii="Georgia" w:hAnsi="Georgia"/>
          <w:bCs/>
          <w:i/>
          <w:color w:val="000000"/>
          <w:sz w:val="24"/>
          <w:szCs w:val="24"/>
          <w:lang w:val="en-US"/>
        </w:rPr>
        <w:t xml:space="preserve">the recount of the samples - conducted without the presence of the parties </w:t>
      </w:r>
      <w:r w:rsidR="00164ADC" w:rsidRPr="00012C17">
        <w:rPr>
          <w:rFonts w:ascii="Georgia" w:hAnsi="Georgia"/>
          <w:bCs/>
          <w:i/>
          <w:color w:val="000000"/>
          <w:sz w:val="24"/>
          <w:szCs w:val="24"/>
          <w:lang w:val="en-US"/>
        </w:rPr>
        <w:t>to</w:t>
      </w:r>
      <w:r w:rsidRPr="00012C17">
        <w:rPr>
          <w:rFonts w:ascii="Georgia" w:hAnsi="Georgia"/>
          <w:bCs/>
          <w:i/>
          <w:color w:val="000000"/>
          <w:sz w:val="24"/>
          <w:szCs w:val="24"/>
          <w:lang w:val="en-US"/>
        </w:rPr>
        <w:t xml:space="preserve"> the procedure - there were irregularities</w:t>
      </w:r>
      <w:r w:rsidR="00164ADC" w:rsidRPr="00012C17">
        <w:rPr>
          <w:rFonts w:ascii="Georgia" w:hAnsi="Georgia"/>
          <w:bCs/>
          <w:iCs/>
          <w:color w:val="000000"/>
          <w:sz w:val="24"/>
          <w:szCs w:val="24"/>
          <w:lang w:val="en-US"/>
        </w:rPr>
        <w:t>”</w:t>
      </w:r>
      <w:r w:rsidRPr="00012C17">
        <w:rPr>
          <w:rFonts w:ascii="Georgia" w:hAnsi="Georgia"/>
          <w:bCs/>
          <w:iCs/>
          <w:color w:val="000000"/>
          <w:sz w:val="24"/>
          <w:szCs w:val="24"/>
          <w:lang w:val="en-US"/>
        </w:rPr>
        <w:t>, but according to the Applicants, th</w:t>
      </w:r>
      <w:r w:rsidR="00164ADC" w:rsidRPr="00012C17">
        <w:rPr>
          <w:rFonts w:ascii="Georgia" w:hAnsi="Georgia"/>
          <w:bCs/>
          <w:iCs/>
          <w:color w:val="000000"/>
          <w:sz w:val="24"/>
          <w:szCs w:val="24"/>
          <w:lang w:val="en-US"/>
        </w:rPr>
        <w:t>e ECAP and the Supreme Court</w:t>
      </w:r>
      <w:r w:rsidRPr="00012C17">
        <w:rPr>
          <w:rFonts w:ascii="Georgia" w:hAnsi="Georgia"/>
          <w:bCs/>
          <w:iCs/>
          <w:color w:val="000000"/>
          <w:sz w:val="24"/>
          <w:szCs w:val="24"/>
          <w:lang w:val="en-US"/>
        </w:rPr>
        <w:t xml:space="preserve">, </w:t>
      </w:r>
      <w:r w:rsidR="00164ADC" w:rsidRPr="00012C17">
        <w:rPr>
          <w:rFonts w:ascii="Georgia" w:hAnsi="Georgia"/>
          <w:bCs/>
          <w:iCs/>
          <w:color w:val="000000"/>
          <w:sz w:val="24"/>
          <w:szCs w:val="24"/>
          <w:lang w:val="en-US"/>
        </w:rPr>
        <w:t>by</w:t>
      </w:r>
      <w:r w:rsidRPr="00012C17">
        <w:rPr>
          <w:rFonts w:ascii="Georgia" w:hAnsi="Georgia"/>
          <w:bCs/>
          <w:iCs/>
          <w:color w:val="000000"/>
          <w:sz w:val="24"/>
          <w:szCs w:val="24"/>
          <w:lang w:val="en-US"/>
        </w:rPr>
        <w:t xml:space="preserve"> its </w:t>
      </w:r>
      <w:r w:rsidR="0062326C" w:rsidRPr="00012C17">
        <w:rPr>
          <w:rFonts w:ascii="Georgia" w:hAnsi="Georgia"/>
          <w:bCs/>
          <w:iCs/>
          <w:color w:val="000000"/>
          <w:sz w:val="24"/>
          <w:szCs w:val="24"/>
          <w:lang w:val="en-US"/>
        </w:rPr>
        <w:t>s</w:t>
      </w:r>
      <w:r w:rsidRPr="00012C17">
        <w:rPr>
          <w:rFonts w:ascii="Georgia" w:hAnsi="Georgia"/>
          <w:bCs/>
          <w:iCs/>
          <w:color w:val="000000"/>
          <w:sz w:val="24"/>
          <w:szCs w:val="24"/>
          <w:lang w:val="en-US"/>
        </w:rPr>
        <w:t>econd Decision [A</w:t>
      </w:r>
      <w:r w:rsidR="006634E8" w:rsidRPr="00012C17">
        <w:rPr>
          <w:rFonts w:ascii="Georgia" w:hAnsi="Georgia"/>
          <w:bCs/>
          <w:iCs/>
          <w:color w:val="000000"/>
          <w:sz w:val="24"/>
          <w:szCs w:val="24"/>
          <w:lang w:val="en-US"/>
        </w:rPr>
        <w:t>.</w:t>
      </w:r>
      <w:r w:rsidRPr="00012C17">
        <w:rPr>
          <w:rFonts w:ascii="Georgia" w:hAnsi="Georgia"/>
          <w:bCs/>
          <w:iCs/>
          <w:color w:val="000000"/>
          <w:sz w:val="24"/>
          <w:szCs w:val="24"/>
          <w:lang w:val="en-US"/>
        </w:rPr>
        <w:t>A</w:t>
      </w:r>
      <w:r w:rsidR="006634E8" w:rsidRPr="00012C17">
        <w:rPr>
          <w:rFonts w:ascii="Georgia" w:hAnsi="Georgia"/>
          <w:bCs/>
          <w:iCs/>
          <w:color w:val="000000"/>
          <w:sz w:val="24"/>
          <w:szCs w:val="24"/>
          <w:lang w:val="en-US"/>
        </w:rPr>
        <w:t>.</w:t>
      </w:r>
      <w:r w:rsidRPr="00012C17">
        <w:rPr>
          <w:rFonts w:ascii="Georgia" w:hAnsi="Georgia"/>
          <w:bCs/>
          <w:iCs/>
          <w:color w:val="000000"/>
          <w:sz w:val="24"/>
          <w:szCs w:val="24"/>
          <w:lang w:val="en-US"/>
        </w:rPr>
        <w:t xml:space="preserve"> U.ZH. </w:t>
      </w:r>
      <w:r w:rsidR="00164ADC" w:rsidRPr="00012C17">
        <w:rPr>
          <w:rFonts w:ascii="Georgia" w:hAnsi="Georgia"/>
          <w:bCs/>
          <w:iCs/>
          <w:color w:val="000000"/>
          <w:sz w:val="24"/>
          <w:szCs w:val="24"/>
          <w:lang w:val="en-US"/>
        </w:rPr>
        <w:t>N</w:t>
      </w:r>
      <w:r w:rsidRPr="00012C17">
        <w:rPr>
          <w:rFonts w:ascii="Georgia" w:hAnsi="Georgia"/>
          <w:bCs/>
          <w:iCs/>
          <w:color w:val="000000"/>
          <w:sz w:val="24"/>
          <w:szCs w:val="24"/>
          <w:lang w:val="en-US"/>
        </w:rPr>
        <w:t xml:space="preserve">o. 62/2017] </w:t>
      </w:r>
      <w:r w:rsidR="00164ADC" w:rsidRPr="00012C17">
        <w:rPr>
          <w:rFonts w:ascii="Georgia" w:hAnsi="Georgia"/>
          <w:bCs/>
          <w:iCs/>
          <w:color w:val="000000"/>
          <w:sz w:val="24"/>
          <w:szCs w:val="24"/>
          <w:lang w:val="en-US"/>
        </w:rPr>
        <w:t>“</w:t>
      </w:r>
      <w:r w:rsidRPr="00012C17">
        <w:rPr>
          <w:rFonts w:ascii="Georgia" w:hAnsi="Georgia"/>
          <w:bCs/>
          <w:i/>
          <w:color w:val="000000"/>
          <w:sz w:val="24"/>
          <w:szCs w:val="24"/>
          <w:lang w:val="en-US"/>
        </w:rPr>
        <w:t>consider</w:t>
      </w:r>
      <w:r w:rsidR="00164ADC" w:rsidRPr="00012C17">
        <w:rPr>
          <w:rFonts w:ascii="Georgia" w:hAnsi="Georgia"/>
          <w:bCs/>
          <w:i/>
          <w:color w:val="000000"/>
          <w:sz w:val="24"/>
          <w:szCs w:val="24"/>
          <w:lang w:val="en-US"/>
        </w:rPr>
        <w:t>s</w:t>
      </w:r>
      <w:r w:rsidRPr="00012C17">
        <w:rPr>
          <w:rFonts w:ascii="Georgia" w:hAnsi="Georgia"/>
          <w:bCs/>
          <w:i/>
          <w:color w:val="000000"/>
          <w:sz w:val="24"/>
          <w:szCs w:val="24"/>
          <w:lang w:val="en-US"/>
        </w:rPr>
        <w:t xml:space="preserve"> </w:t>
      </w:r>
      <w:r w:rsidR="00164ADC" w:rsidRPr="00012C17">
        <w:rPr>
          <w:rFonts w:ascii="Georgia" w:hAnsi="Georgia"/>
          <w:bCs/>
          <w:i/>
          <w:color w:val="000000"/>
          <w:sz w:val="24"/>
          <w:szCs w:val="24"/>
          <w:lang w:val="en-US"/>
        </w:rPr>
        <w:t>the latter</w:t>
      </w:r>
      <w:r w:rsidRPr="00012C17">
        <w:rPr>
          <w:rFonts w:ascii="Georgia" w:hAnsi="Georgia"/>
          <w:bCs/>
          <w:i/>
          <w:color w:val="000000"/>
          <w:sz w:val="24"/>
          <w:szCs w:val="24"/>
          <w:lang w:val="en-US"/>
        </w:rPr>
        <w:t xml:space="preserve"> balanced between the two candidates in the </w:t>
      </w:r>
      <w:r w:rsidR="00164ADC" w:rsidRPr="00012C17">
        <w:rPr>
          <w:rFonts w:ascii="Georgia" w:hAnsi="Georgia"/>
          <w:bCs/>
          <w:i/>
          <w:color w:val="000000"/>
          <w:sz w:val="24"/>
          <w:szCs w:val="24"/>
          <w:lang w:val="en-US"/>
        </w:rPr>
        <w:t>competition</w:t>
      </w:r>
      <w:r w:rsidRPr="00012C17">
        <w:rPr>
          <w:rFonts w:ascii="Georgia" w:hAnsi="Georgia"/>
          <w:bCs/>
          <w:iCs/>
          <w:color w:val="000000"/>
          <w:sz w:val="24"/>
          <w:szCs w:val="24"/>
          <w:lang w:val="en-US"/>
        </w:rPr>
        <w:t xml:space="preserve">". In this regard, the Applicants allege that </w:t>
      </w:r>
      <w:r w:rsidR="00164ADC" w:rsidRPr="00012C17">
        <w:rPr>
          <w:rFonts w:ascii="Georgia" w:hAnsi="Georgia"/>
          <w:bCs/>
          <w:iCs/>
          <w:color w:val="000000"/>
          <w:sz w:val="24"/>
          <w:szCs w:val="24"/>
          <w:lang w:val="en-US"/>
        </w:rPr>
        <w:t>“</w:t>
      </w:r>
      <w:r w:rsidRPr="00012C17">
        <w:rPr>
          <w:rFonts w:ascii="Georgia" w:hAnsi="Georgia"/>
          <w:bCs/>
          <w:i/>
          <w:color w:val="000000"/>
          <w:sz w:val="24"/>
          <w:szCs w:val="24"/>
          <w:lang w:val="en-US"/>
        </w:rPr>
        <w:t xml:space="preserve">there is no </w:t>
      </w:r>
      <w:r w:rsidR="00164ADC" w:rsidRPr="00012C17">
        <w:rPr>
          <w:rFonts w:ascii="Georgia" w:hAnsi="Georgia"/>
          <w:bCs/>
          <w:i/>
          <w:color w:val="000000"/>
          <w:sz w:val="24"/>
          <w:szCs w:val="24"/>
          <w:lang w:val="en-US"/>
        </w:rPr>
        <w:t>big</w:t>
      </w:r>
      <w:r w:rsidRPr="00012C17">
        <w:rPr>
          <w:rFonts w:ascii="Georgia" w:hAnsi="Georgia"/>
          <w:bCs/>
          <w:i/>
          <w:color w:val="000000"/>
          <w:sz w:val="24"/>
          <w:szCs w:val="24"/>
          <w:lang w:val="en-US"/>
        </w:rPr>
        <w:t xml:space="preserve"> or minor </w:t>
      </w:r>
      <w:r w:rsidR="00164ADC" w:rsidRPr="00012C17">
        <w:rPr>
          <w:rFonts w:ascii="Georgia" w:hAnsi="Georgia"/>
          <w:bCs/>
          <w:i/>
          <w:color w:val="000000"/>
          <w:sz w:val="24"/>
          <w:szCs w:val="24"/>
          <w:lang w:val="en-US"/>
        </w:rPr>
        <w:t>violation</w:t>
      </w:r>
      <w:r w:rsidRPr="00012C17">
        <w:rPr>
          <w:rFonts w:ascii="Georgia" w:hAnsi="Georgia"/>
          <w:bCs/>
          <w:iCs/>
          <w:color w:val="000000"/>
          <w:sz w:val="24"/>
          <w:szCs w:val="24"/>
          <w:lang w:val="en-US"/>
        </w:rPr>
        <w:t xml:space="preserve">" and that in case of finding any violation, the repetition of </w:t>
      </w:r>
      <w:r w:rsidR="00164ADC" w:rsidRPr="00012C17">
        <w:rPr>
          <w:rFonts w:ascii="Georgia" w:hAnsi="Georgia"/>
          <w:bCs/>
          <w:iCs/>
          <w:color w:val="000000"/>
          <w:sz w:val="24"/>
          <w:szCs w:val="24"/>
          <w:lang w:val="en-US"/>
        </w:rPr>
        <w:t>the second round of elections should</w:t>
      </w:r>
      <w:r w:rsidRPr="00012C17">
        <w:rPr>
          <w:rFonts w:ascii="Georgia" w:hAnsi="Georgia"/>
          <w:bCs/>
          <w:iCs/>
          <w:color w:val="000000"/>
          <w:sz w:val="24"/>
          <w:szCs w:val="24"/>
          <w:lang w:val="en-US"/>
        </w:rPr>
        <w:t xml:space="preserve"> be ordered. </w:t>
      </w:r>
      <w:r w:rsidR="00164ADC" w:rsidRPr="00012C17">
        <w:rPr>
          <w:rFonts w:ascii="Georgia" w:hAnsi="Georgia"/>
          <w:bCs/>
          <w:iCs/>
          <w:color w:val="000000"/>
          <w:sz w:val="24"/>
          <w:szCs w:val="24"/>
          <w:lang w:val="en-US"/>
        </w:rPr>
        <w:t>In support of this allegation</w:t>
      </w:r>
      <w:r w:rsidRPr="00012C17">
        <w:rPr>
          <w:rFonts w:ascii="Georgia" w:hAnsi="Georgia"/>
          <w:bCs/>
          <w:iCs/>
          <w:color w:val="000000"/>
          <w:sz w:val="24"/>
          <w:szCs w:val="24"/>
          <w:lang w:val="en-US"/>
        </w:rPr>
        <w:t>, the Applicants refer to the Decision (EI4/2015-25) of the Constitutional Court of Austria</w:t>
      </w:r>
      <w:r w:rsidR="00AF396C" w:rsidRPr="00012C17">
        <w:rPr>
          <w:rFonts w:ascii="Georgia" w:hAnsi="Georgia"/>
          <w:bCs/>
          <w:iCs/>
          <w:color w:val="000000"/>
          <w:sz w:val="24"/>
          <w:szCs w:val="24"/>
          <w:lang w:val="en-US"/>
        </w:rPr>
        <w:t>.</w:t>
      </w:r>
    </w:p>
    <w:p w:rsidR="00164ADC" w:rsidRPr="00012C17" w:rsidRDefault="00164ADC" w:rsidP="001B11C5">
      <w:pPr>
        <w:pStyle w:val="ListParagraph"/>
        <w:spacing w:after="0" w:line="240" w:lineRule="auto"/>
        <w:rPr>
          <w:rFonts w:ascii="Georgia" w:hAnsi="Georgia"/>
          <w:bCs/>
          <w:iCs/>
          <w:color w:val="000000"/>
          <w:sz w:val="24"/>
          <w:szCs w:val="24"/>
          <w:lang w:val="en-US"/>
        </w:rPr>
      </w:pPr>
    </w:p>
    <w:p w:rsidR="00AF396C" w:rsidRPr="00012C17" w:rsidRDefault="00A34F63" w:rsidP="001B11C5">
      <w:pPr>
        <w:pStyle w:val="ListParagraph"/>
        <w:numPr>
          <w:ilvl w:val="0"/>
          <w:numId w:val="1"/>
        </w:numPr>
        <w:spacing w:after="0" w:line="240" w:lineRule="auto"/>
        <w:ind w:left="630" w:hanging="630"/>
        <w:jc w:val="both"/>
        <w:rPr>
          <w:rFonts w:ascii="Georgia" w:hAnsi="Georgia"/>
          <w:bCs/>
          <w:iCs/>
          <w:color w:val="000000"/>
          <w:sz w:val="24"/>
          <w:szCs w:val="24"/>
          <w:lang w:val="en-US"/>
        </w:rPr>
      </w:pPr>
      <w:r w:rsidRPr="00012C17">
        <w:rPr>
          <w:rFonts w:ascii="Georgia" w:hAnsi="Georgia"/>
          <w:bCs/>
          <w:iCs/>
          <w:color w:val="000000"/>
          <w:sz w:val="24"/>
          <w:szCs w:val="24"/>
          <w:lang w:val="en-US"/>
        </w:rPr>
        <w:t xml:space="preserve">The Applicants further </w:t>
      </w:r>
      <w:r w:rsidR="00164ADC" w:rsidRPr="00012C17">
        <w:rPr>
          <w:rFonts w:ascii="Georgia" w:hAnsi="Georgia"/>
          <w:bCs/>
          <w:iCs/>
          <w:color w:val="000000"/>
          <w:sz w:val="24"/>
          <w:szCs w:val="24"/>
          <w:lang w:val="en-US"/>
        </w:rPr>
        <w:t>allege</w:t>
      </w:r>
      <w:r w:rsidRPr="00012C17">
        <w:rPr>
          <w:rFonts w:ascii="Georgia" w:hAnsi="Georgia"/>
          <w:bCs/>
          <w:iCs/>
          <w:color w:val="000000"/>
          <w:sz w:val="24"/>
          <w:szCs w:val="24"/>
          <w:lang w:val="en-US"/>
        </w:rPr>
        <w:t xml:space="preserve"> that the Supreme Court, by its </w:t>
      </w:r>
      <w:r w:rsidR="0062326C" w:rsidRPr="00012C17">
        <w:rPr>
          <w:rFonts w:ascii="Georgia" w:hAnsi="Georgia"/>
          <w:bCs/>
          <w:iCs/>
          <w:color w:val="000000"/>
          <w:sz w:val="24"/>
          <w:szCs w:val="24"/>
          <w:lang w:val="en-US"/>
        </w:rPr>
        <w:t>f</w:t>
      </w:r>
      <w:r w:rsidR="00D95C92" w:rsidRPr="00012C17">
        <w:rPr>
          <w:rFonts w:ascii="Georgia" w:hAnsi="Georgia"/>
          <w:bCs/>
          <w:iCs/>
          <w:color w:val="000000"/>
          <w:sz w:val="24"/>
          <w:szCs w:val="24"/>
          <w:lang w:val="en-US"/>
        </w:rPr>
        <w:t xml:space="preserve">irst Decision </w:t>
      </w:r>
      <w:r w:rsidRPr="00012C17">
        <w:rPr>
          <w:rFonts w:ascii="Georgia" w:hAnsi="Georgia"/>
          <w:bCs/>
          <w:iCs/>
          <w:color w:val="000000"/>
          <w:sz w:val="24"/>
          <w:szCs w:val="24"/>
          <w:lang w:val="en-US"/>
        </w:rPr>
        <w:t>[AA.</w:t>
      </w:r>
      <w:r w:rsidR="00164ADC" w:rsidRPr="00012C17">
        <w:rPr>
          <w:rFonts w:ascii="Georgia" w:hAnsi="Georgia"/>
          <w:bCs/>
          <w:iCs/>
          <w:color w:val="000000"/>
          <w:sz w:val="24"/>
          <w:szCs w:val="24"/>
          <w:lang w:val="en-US"/>
        </w:rPr>
        <w:t xml:space="preserve"> No</w:t>
      </w:r>
      <w:r w:rsidRPr="00012C17">
        <w:rPr>
          <w:rFonts w:ascii="Georgia" w:hAnsi="Georgia"/>
          <w:bCs/>
          <w:iCs/>
          <w:color w:val="000000"/>
          <w:sz w:val="24"/>
          <w:szCs w:val="24"/>
          <w:lang w:val="en-US"/>
        </w:rPr>
        <w:t>.</w:t>
      </w:r>
      <w:r w:rsidR="00164ADC" w:rsidRPr="00012C17">
        <w:rPr>
          <w:rFonts w:ascii="Georgia" w:hAnsi="Georgia"/>
          <w:bCs/>
          <w:iCs/>
          <w:color w:val="000000"/>
          <w:sz w:val="24"/>
          <w:szCs w:val="24"/>
          <w:lang w:val="en-US"/>
        </w:rPr>
        <w:t xml:space="preserve"> 52/</w:t>
      </w:r>
      <w:r w:rsidR="0062326C" w:rsidRPr="00012C17">
        <w:rPr>
          <w:rFonts w:ascii="Georgia" w:hAnsi="Georgia"/>
          <w:bCs/>
          <w:iCs/>
          <w:color w:val="000000"/>
          <w:sz w:val="24"/>
          <w:szCs w:val="24"/>
          <w:lang w:val="en-US"/>
        </w:rPr>
        <w:t>17]</w:t>
      </w:r>
      <w:r w:rsidRPr="00012C17">
        <w:rPr>
          <w:rFonts w:ascii="Georgia" w:hAnsi="Georgia"/>
          <w:bCs/>
          <w:iCs/>
          <w:color w:val="000000"/>
          <w:sz w:val="24"/>
          <w:szCs w:val="24"/>
          <w:lang w:val="en-US"/>
        </w:rPr>
        <w:t xml:space="preserve"> annulled </w:t>
      </w:r>
      <w:r w:rsidR="00164ADC" w:rsidRPr="00012C17">
        <w:rPr>
          <w:rFonts w:ascii="Georgia" w:hAnsi="Georgia"/>
          <w:bCs/>
          <w:iCs/>
          <w:color w:val="000000"/>
          <w:sz w:val="24"/>
          <w:szCs w:val="24"/>
          <w:lang w:val="en-US"/>
        </w:rPr>
        <w:t xml:space="preserve">only </w:t>
      </w:r>
      <w:r w:rsidRPr="00012C17">
        <w:rPr>
          <w:rFonts w:ascii="Georgia" w:hAnsi="Georgia"/>
          <w:bCs/>
          <w:iCs/>
          <w:color w:val="000000"/>
          <w:sz w:val="24"/>
          <w:szCs w:val="24"/>
          <w:lang w:val="en-US"/>
        </w:rPr>
        <w:t xml:space="preserve">the Decision of the </w:t>
      </w:r>
      <w:r w:rsidR="00164ADC" w:rsidRPr="00012C17">
        <w:rPr>
          <w:rFonts w:ascii="Georgia" w:hAnsi="Georgia"/>
          <w:bCs/>
          <w:iCs/>
          <w:color w:val="000000"/>
          <w:sz w:val="24"/>
          <w:szCs w:val="24"/>
          <w:lang w:val="en-US"/>
        </w:rPr>
        <w:t>ECAP</w:t>
      </w:r>
      <w:r w:rsidRPr="00012C17">
        <w:rPr>
          <w:rFonts w:ascii="Georgia" w:hAnsi="Georgia"/>
          <w:bCs/>
          <w:iCs/>
          <w:color w:val="000000"/>
          <w:sz w:val="24"/>
          <w:szCs w:val="24"/>
          <w:lang w:val="en-US"/>
        </w:rPr>
        <w:t xml:space="preserve"> [ZL. A</w:t>
      </w:r>
      <w:r w:rsidR="00164ADC" w:rsidRPr="00012C17">
        <w:rPr>
          <w:rFonts w:ascii="Georgia" w:hAnsi="Georgia"/>
          <w:bCs/>
          <w:iCs/>
          <w:color w:val="000000"/>
          <w:sz w:val="24"/>
          <w:szCs w:val="24"/>
          <w:lang w:val="en-US"/>
        </w:rPr>
        <w:t>no</w:t>
      </w:r>
      <w:r w:rsidRPr="00012C17">
        <w:rPr>
          <w:rFonts w:ascii="Georgia" w:hAnsi="Georgia"/>
          <w:bCs/>
          <w:iCs/>
          <w:color w:val="000000"/>
          <w:sz w:val="24"/>
          <w:szCs w:val="24"/>
          <w:lang w:val="en-US"/>
        </w:rPr>
        <w:t>. 1102/2017]</w:t>
      </w:r>
      <w:r w:rsidR="00A54CE2" w:rsidRPr="00012C17">
        <w:rPr>
          <w:rFonts w:ascii="Georgia" w:hAnsi="Georgia"/>
          <w:bCs/>
          <w:iCs/>
          <w:color w:val="000000"/>
          <w:sz w:val="24"/>
          <w:szCs w:val="24"/>
          <w:lang w:val="en-US"/>
        </w:rPr>
        <w:t xml:space="preserve"> of 22 November 2017</w:t>
      </w:r>
      <w:r w:rsidRPr="00012C17">
        <w:rPr>
          <w:rFonts w:ascii="Georgia" w:hAnsi="Georgia"/>
          <w:bCs/>
          <w:iCs/>
          <w:color w:val="000000"/>
          <w:sz w:val="24"/>
          <w:szCs w:val="24"/>
          <w:lang w:val="en-US"/>
        </w:rPr>
        <w:t xml:space="preserve">, but not the CEC Decision [2343-2017] </w:t>
      </w:r>
      <w:r w:rsidR="00164ADC" w:rsidRPr="00012C17">
        <w:rPr>
          <w:rFonts w:ascii="Georgia" w:hAnsi="Georgia"/>
          <w:bCs/>
          <w:iCs/>
          <w:color w:val="000000"/>
          <w:sz w:val="24"/>
          <w:szCs w:val="24"/>
          <w:lang w:val="en-US"/>
        </w:rPr>
        <w:t>on</w:t>
      </w:r>
      <w:r w:rsidRPr="00012C17">
        <w:rPr>
          <w:rFonts w:ascii="Georgia" w:hAnsi="Georgia"/>
          <w:bCs/>
          <w:iCs/>
          <w:color w:val="000000"/>
          <w:sz w:val="24"/>
          <w:szCs w:val="24"/>
          <w:lang w:val="en-US"/>
        </w:rPr>
        <w:t xml:space="preserve"> th</w:t>
      </w:r>
      <w:r w:rsidR="00164ADC" w:rsidRPr="00012C17">
        <w:rPr>
          <w:rFonts w:ascii="Georgia" w:hAnsi="Georgia"/>
          <w:bCs/>
          <w:iCs/>
          <w:color w:val="000000"/>
          <w:sz w:val="24"/>
          <w:szCs w:val="24"/>
          <w:lang w:val="en-US"/>
        </w:rPr>
        <w:t>e recount of all regular ballot papers in the</w:t>
      </w:r>
      <w:r w:rsidRPr="00012C17">
        <w:rPr>
          <w:rFonts w:ascii="Georgia" w:hAnsi="Georgia"/>
          <w:bCs/>
          <w:iCs/>
          <w:color w:val="000000"/>
          <w:sz w:val="24"/>
          <w:szCs w:val="24"/>
          <w:lang w:val="en-US"/>
        </w:rPr>
        <w:t xml:space="preserve"> polling stations established by </w:t>
      </w:r>
      <w:r w:rsidR="00A54CE2" w:rsidRPr="00012C17">
        <w:rPr>
          <w:rFonts w:ascii="Georgia" w:hAnsi="Georgia"/>
          <w:bCs/>
          <w:iCs/>
          <w:color w:val="000000"/>
          <w:sz w:val="24"/>
          <w:szCs w:val="24"/>
          <w:lang w:val="en-US"/>
        </w:rPr>
        <w:t xml:space="preserve">the abovementioned </w:t>
      </w:r>
      <w:r w:rsidR="00164ADC" w:rsidRPr="00012C17">
        <w:rPr>
          <w:rFonts w:ascii="Georgia" w:hAnsi="Georgia"/>
          <w:bCs/>
          <w:iCs/>
          <w:color w:val="000000"/>
          <w:sz w:val="24"/>
          <w:szCs w:val="24"/>
          <w:lang w:val="en-US"/>
        </w:rPr>
        <w:t>D</w:t>
      </w:r>
      <w:r w:rsidRPr="00012C17">
        <w:rPr>
          <w:rFonts w:ascii="Georgia" w:hAnsi="Georgia"/>
          <w:bCs/>
          <w:iCs/>
          <w:color w:val="000000"/>
          <w:sz w:val="24"/>
          <w:szCs w:val="24"/>
          <w:lang w:val="en-US"/>
        </w:rPr>
        <w:t>ecision</w:t>
      </w:r>
      <w:r w:rsidR="0062326C" w:rsidRPr="00012C17">
        <w:rPr>
          <w:rFonts w:ascii="Georgia" w:hAnsi="Georgia"/>
          <w:bCs/>
          <w:iCs/>
          <w:color w:val="000000"/>
          <w:sz w:val="24"/>
          <w:szCs w:val="24"/>
          <w:lang w:val="en-US"/>
        </w:rPr>
        <w:t xml:space="preserve"> of ECAP</w:t>
      </w:r>
      <w:r w:rsidR="0076239E" w:rsidRPr="00012C17">
        <w:rPr>
          <w:rFonts w:ascii="Georgia" w:hAnsi="Georgia"/>
          <w:bCs/>
          <w:iCs/>
          <w:color w:val="000000"/>
          <w:sz w:val="24"/>
          <w:szCs w:val="24"/>
          <w:lang w:val="en-US"/>
        </w:rPr>
        <w:t xml:space="preserve">. </w:t>
      </w:r>
    </w:p>
    <w:p w:rsidR="00AF396C" w:rsidRPr="00012C17" w:rsidRDefault="00AF396C" w:rsidP="001B11C5">
      <w:pPr>
        <w:pStyle w:val="ListParagraph"/>
        <w:spacing w:after="0" w:line="240" w:lineRule="auto"/>
        <w:rPr>
          <w:rFonts w:ascii="Georgia" w:hAnsi="Georgia"/>
          <w:bCs/>
          <w:iCs/>
          <w:color w:val="000000"/>
          <w:sz w:val="24"/>
          <w:szCs w:val="24"/>
          <w:lang w:val="en-US"/>
        </w:rPr>
      </w:pPr>
    </w:p>
    <w:p w:rsidR="00DD20E3" w:rsidRPr="00012C17" w:rsidRDefault="00A34F63" w:rsidP="001B11C5">
      <w:pPr>
        <w:pStyle w:val="ListParagraph"/>
        <w:numPr>
          <w:ilvl w:val="0"/>
          <w:numId w:val="1"/>
        </w:numPr>
        <w:spacing w:after="0" w:line="240" w:lineRule="auto"/>
        <w:ind w:left="630" w:hanging="630"/>
        <w:jc w:val="both"/>
        <w:rPr>
          <w:rFonts w:ascii="Georgia" w:hAnsi="Georgia"/>
          <w:bCs/>
          <w:iCs/>
          <w:color w:val="000000"/>
          <w:sz w:val="24"/>
          <w:szCs w:val="24"/>
          <w:lang w:val="en-US"/>
        </w:rPr>
      </w:pPr>
      <w:r w:rsidRPr="00012C17">
        <w:rPr>
          <w:rFonts w:ascii="Georgia" w:hAnsi="Georgia"/>
          <w:bCs/>
          <w:iCs/>
          <w:color w:val="000000"/>
          <w:sz w:val="24"/>
          <w:szCs w:val="24"/>
          <w:lang w:val="en-US"/>
        </w:rPr>
        <w:t xml:space="preserve">The Applicants also reiterate the allegation that the Supreme Court, by its </w:t>
      </w:r>
      <w:r w:rsidR="0062326C" w:rsidRPr="00012C17">
        <w:rPr>
          <w:rFonts w:ascii="Georgia" w:hAnsi="Georgia"/>
          <w:bCs/>
          <w:iCs/>
          <w:color w:val="000000"/>
          <w:sz w:val="24"/>
          <w:szCs w:val="24"/>
          <w:lang w:val="en-US"/>
        </w:rPr>
        <w:t>s</w:t>
      </w:r>
      <w:r w:rsidR="00D95C92" w:rsidRPr="00012C17">
        <w:rPr>
          <w:rFonts w:ascii="Georgia" w:hAnsi="Georgia"/>
          <w:bCs/>
          <w:iCs/>
          <w:color w:val="000000"/>
          <w:sz w:val="24"/>
          <w:szCs w:val="24"/>
          <w:lang w:val="en-US"/>
        </w:rPr>
        <w:t>econd Decision</w:t>
      </w:r>
      <w:r w:rsidR="00164ADC" w:rsidRPr="00012C17">
        <w:rPr>
          <w:rFonts w:ascii="Georgia" w:hAnsi="Georgia"/>
          <w:bCs/>
          <w:iCs/>
          <w:color w:val="000000"/>
          <w:sz w:val="24"/>
          <w:szCs w:val="24"/>
          <w:lang w:val="en-US"/>
        </w:rPr>
        <w:t xml:space="preserve"> </w:t>
      </w:r>
      <w:r w:rsidRPr="00012C17">
        <w:rPr>
          <w:rFonts w:ascii="Georgia" w:hAnsi="Georgia"/>
          <w:bCs/>
          <w:iCs/>
          <w:color w:val="000000"/>
          <w:sz w:val="24"/>
          <w:szCs w:val="24"/>
          <w:lang w:val="en-US"/>
        </w:rPr>
        <w:t>[A</w:t>
      </w:r>
      <w:r w:rsidR="006634E8" w:rsidRPr="00012C17">
        <w:rPr>
          <w:rFonts w:ascii="Georgia" w:hAnsi="Georgia"/>
          <w:bCs/>
          <w:iCs/>
          <w:color w:val="000000"/>
          <w:sz w:val="24"/>
          <w:szCs w:val="24"/>
          <w:lang w:val="en-US"/>
        </w:rPr>
        <w:t>.</w:t>
      </w:r>
      <w:r w:rsidRPr="00012C17">
        <w:rPr>
          <w:rFonts w:ascii="Georgia" w:hAnsi="Georgia"/>
          <w:bCs/>
          <w:iCs/>
          <w:color w:val="000000"/>
          <w:sz w:val="24"/>
          <w:szCs w:val="24"/>
          <w:lang w:val="en-US"/>
        </w:rPr>
        <w:t>A</w:t>
      </w:r>
      <w:r w:rsidR="006634E8" w:rsidRPr="00012C17">
        <w:rPr>
          <w:rFonts w:ascii="Georgia" w:hAnsi="Georgia"/>
          <w:bCs/>
          <w:iCs/>
          <w:color w:val="000000"/>
          <w:sz w:val="24"/>
          <w:szCs w:val="24"/>
          <w:lang w:val="en-US"/>
        </w:rPr>
        <w:t>.</w:t>
      </w:r>
      <w:r w:rsidRPr="00012C17">
        <w:rPr>
          <w:rFonts w:ascii="Georgia" w:hAnsi="Georgia"/>
          <w:bCs/>
          <w:iCs/>
          <w:color w:val="000000"/>
          <w:sz w:val="24"/>
          <w:szCs w:val="24"/>
          <w:lang w:val="en-US"/>
        </w:rPr>
        <w:t xml:space="preserve"> U.ZH. </w:t>
      </w:r>
      <w:r w:rsidR="00164ADC" w:rsidRPr="00012C17">
        <w:rPr>
          <w:rFonts w:ascii="Georgia" w:hAnsi="Georgia"/>
          <w:bCs/>
          <w:iCs/>
          <w:color w:val="000000"/>
          <w:sz w:val="24"/>
          <w:szCs w:val="24"/>
          <w:lang w:val="en-US"/>
        </w:rPr>
        <w:t>N</w:t>
      </w:r>
      <w:r w:rsidRPr="00012C17">
        <w:rPr>
          <w:rFonts w:ascii="Georgia" w:hAnsi="Georgia"/>
          <w:bCs/>
          <w:iCs/>
          <w:color w:val="000000"/>
          <w:sz w:val="24"/>
          <w:szCs w:val="24"/>
          <w:lang w:val="en-US"/>
        </w:rPr>
        <w:t>o. 62/2017</w:t>
      </w:r>
      <w:r w:rsidR="003A5D72" w:rsidRPr="00012C17">
        <w:rPr>
          <w:rFonts w:ascii="Georgia" w:hAnsi="Georgia"/>
          <w:bCs/>
          <w:iCs/>
          <w:color w:val="000000"/>
          <w:sz w:val="24"/>
          <w:szCs w:val="24"/>
          <w:lang w:val="en-US"/>
        </w:rPr>
        <w:t>]</w:t>
      </w:r>
      <w:r w:rsidRPr="00012C17">
        <w:rPr>
          <w:rFonts w:ascii="Georgia" w:hAnsi="Georgia"/>
          <w:bCs/>
          <w:iCs/>
          <w:color w:val="000000"/>
          <w:sz w:val="24"/>
          <w:szCs w:val="24"/>
          <w:lang w:val="en-US"/>
        </w:rPr>
        <w:t xml:space="preserve"> and ECAP</w:t>
      </w:r>
      <w:r w:rsidR="003A5D72" w:rsidRPr="00012C17">
        <w:rPr>
          <w:rFonts w:ascii="Georgia" w:hAnsi="Georgia"/>
          <w:bCs/>
          <w:iCs/>
          <w:color w:val="000000"/>
          <w:sz w:val="24"/>
          <w:szCs w:val="24"/>
          <w:lang w:val="en-US"/>
        </w:rPr>
        <w:t xml:space="preserve"> by</w:t>
      </w:r>
      <w:r w:rsidRPr="00012C17">
        <w:rPr>
          <w:rFonts w:ascii="Georgia" w:hAnsi="Georgia"/>
          <w:bCs/>
          <w:iCs/>
          <w:color w:val="000000"/>
          <w:sz w:val="24"/>
          <w:szCs w:val="24"/>
          <w:lang w:val="en-US"/>
        </w:rPr>
        <w:t xml:space="preserve"> </w:t>
      </w:r>
      <w:r w:rsidR="00D95C92" w:rsidRPr="00012C17">
        <w:rPr>
          <w:rFonts w:ascii="Georgia" w:hAnsi="Georgia"/>
          <w:bCs/>
          <w:iCs/>
          <w:color w:val="000000"/>
          <w:sz w:val="24"/>
          <w:szCs w:val="24"/>
          <w:lang w:val="en-US"/>
        </w:rPr>
        <w:t xml:space="preserve">Decision </w:t>
      </w:r>
      <w:r w:rsidRPr="00012C17">
        <w:rPr>
          <w:rFonts w:ascii="Georgia" w:hAnsi="Georgia"/>
          <w:bCs/>
          <w:iCs/>
          <w:color w:val="000000"/>
          <w:sz w:val="24"/>
          <w:szCs w:val="24"/>
          <w:lang w:val="en-US"/>
        </w:rPr>
        <w:t>[ZL. A</w:t>
      </w:r>
      <w:r w:rsidR="003A5D72" w:rsidRPr="00012C17">
        <w:rPr>
          <w:rFonts w:ascii="Georgia" w:hAnsi="Georgia"/>
          <w:bCs/>
          <w:iCs/>
          <w:color w:val="000000"/>
          <w:sz w:val="24"/>
          <w:szCs w:val="24"/>
          <w:lang w:val="en-US"/>
        </w:rPr>
        <w:t xml:space="preserve">. </w:t>
      </w:r>
      <w:r w:rsidR="00164ADC" w:rsidRPr="00012C17">
        <w:rPr>
          <w:rFonts w:ascii="Georgia" w:hAnsi="Georgia"/>
          <w:bCs/>
          <w:iCs/>
          <w:color w:val="000000"/>
          <w:sz w:val="24"/>
          <w:szCs w:val="24"/>
          <w:lang w:val="en-US"/>
        </w:rPr>
        <w:t>no</w:t>
      </w:r>
      <w:r w:rsidRPr="00012C17">
        <w:rPr>
          <w:rFonts w:ascii="Georgia" w:hAnsi="Georgia"/>
          <w:bCs/>
          <w:iCs/>
          <w:color w:val="000000"/>
          <w:sz w:val="24"/>
          <w:szCs w:val="24"/>
          <w:lang w:val="en-US"/>
        </w:rPr>
        <w:t>. 1125/2017]</w:t>
      </w:r>
      <w:r w:rsidR="00D95C92" w:rsidRPr="00012C17">
        <w:rPr>
          <w:rFonts w:ascii="Georgia" w:hAnsi="Georgia"/>
          <w:bCs/>
          <w:iCs/>
          <w:color w:val="000000"/>
          <w:sz w:val="24"/>
          <w:szCs w:val="24"/>
          <w:lang w:val="en-US"/>
        </w:rPr>
        <w:t xml:space="preserve"> of 1 December 2017,</w:t>
      </w:r>
      <w:r w:rsidRPr="00012C17">
        <w:rPr>
          <w:rFonts w:ascii="Georgia" w:hAnsi="Georgia"/>
          <w:bCs/>
          <w:iCs/>
          <w:color w:val="000000"/>
          <w:sz w:val="24"/>
          <w:szCs w:val="24"/>
          <w:lang w:val="en-US"/>
        </w:rPr>
        <w:t xml:space="preserve"> in addressing their </w:t>
      </w:r>
      <w:r w:rsidR="00B43233" w:rsidRPr="00012C17">
        <w:rPr>
          <w:rFonts w:ascii="Georgia" w:hAnsi="Georgia"/>
          <w:bCs/>
          <w:iCs/>
          <w:color w:val="000000"/>
          <w:sz w:val="24"/>
          <w:szCs w:val="24"/>
          <w:lang w:val="en-US"/>
        </w:rPr>
        <w:t>second appeal</w:t>
      </w:r>
      <w:r w:rsidRPr="00012C17">
        <w:rPr>
          <w:rFonts w:ascii="Georgia" w:hAnsi="Georgia"/>
          <w:bCs/>
          <w:iCs/>
          <w:color w:val="000000"/>
          <w:sz w:val="24"/>
          <w:szCs w:val="24"/>
          <w:lang w:val="en-US"/>
        </w:rPr>
        <w:t xml:space="preserve"> of 30 November 2017</w:t>
      </w:r>
      <w:r w:rsidR="00D95C92" w:rsidRPr="00012C17">
        <w:rPr>
          <w:rFonts w:ascii="Georgia" w:hAnsi="Georgia"/>
          <w:bCs/>
          <w:iCs/>
          <w:color w:val="000000"/>
          <w:sz w:val="24"/>
          <w:szCs w:val="24"/>
          <w:lang w:val="en-US"/>
        </w:rPr>
        <w:t>,</w:t>
      </w:r>
      <w:r w:rsidRPr="00012C17">
        <w:rPr>
          <w:rFonts w:ascii="Georgia" w:hAnsi="Georgia"/>
          <w:bCs/>
          <w:iCs/>
          <w:color w:val="000000"/>
          <w:sz w:val="24"/>
          <w:szCs w:val="24"/>
          <w:lang w:val="en-US"/>
        </w:rPr>
        <w:t xml:space="preserve"> did not address the </w:t>
      </w:r>
      <w:r w:rsidR="00B43233" w:rsidRPr="00012C17">
        <w:rPr>
          <w:rFonts w:ascii="Georgia" w:hAnsi="Georgia"/>
          <w:bCs/>
          <w:iCs/>
          <w:color w:val="000000"/>
          <w:sz w:val="24"/>
          <w:szCs w:val="24"/>
          <w:lang w:val="en-US"/>
        </w:rPr>
        <w:t>A</w:t>
      </w:r>
      <w:r w:rsidRPr="00012C17">
        <w:rPr>
          <w:rFonts w:ascii="Georgia" w:hAnsi="Georgia"/>
          <w:bCs/>
          <w:iCs/>
          <w:color w:val="000000"/>
          <w:sz w:val="24"/>
          <w:szCs w:val="24"/>
          <w:lang w:val="en-US"/>
        </w:rPr>
        <w:t xml:space="preserve">pplicants' evidence as </w:t>
      </w:r>
      <w:r w:rsidR="00B43233" w:rsidRPr="00012C17">
        <w:rPr>
          <w:rFonts w:ascii="Georgia" w:hAnsi="Georgia"/>
          <w:bCs/>
          <w:iCs/>
          <w:color w:val="000000"/>
          <w:sz w:val="24"/>
          <w:szCs w:val="24"/>
          <w:lang w:val="en-US"/>
        </w:rPr>
        <w:t>“</w:t>
      </w:r>
      <w:r w:rsidRPr="00012C17">
        <w:rPr>
          <w:rFonts w:ascii="Georgia" w:hAnsi="Georgia"/>
          <w:bCs/>
          <w:i/>
          <w:color w:val="000000"/>
          <w:sz w:val="24"/>
          <w:szCs w:val="24"/>
          <w:lang w:val="en-US"/>
        </w:rPr>
        <w:t>new and specific evidence</w:t>
      </w:r>
      <w:r w:rsidR="00B43233" w:rsidRPr="00012C17">
        <w:rPr>
          <w:rFonts w:ascii="Georgia" w:hAnsi="Georgia"/>
          <w:bCs/>
          <w:iCs/>
          <w:color w:val="000000"/>
          <w:sz w:val="24"/>
          <w:szCs w:val="24"/>
          <w:lang w:val="en-US"/>
        </w:rPr>
        <w:t>”</w:t>
      </w:r>
      <w:r w:rsidRPr="00012C17">
        <w:rPr>
          <w:rFonts w:ascii="Georgia" w:hAnsi="Georgia"/>
          <w:bCs/>
          <w:iCs/>
          <w:color w:val="000000"/>
          <w:sz w:val="24"/>
          <w:szCs w:val="24"/>
          <w:lang w:val="en-US"/>
        </w:rPr>
        <w:t xml:space="preserve"> and did not address their allegations of constitutional violation</w:t>
      </w:r>
      <w:r w:rsidR="00DD20E3" w:rsidRPr="00012C17">
        <w:rPr>
          <w:rFonts w:ascii="Georgia" w:hAnsi="Georgia"/>
          <w:bCs/>
          <w:iCs/>
          <w:color w:val="000000"/>
          <w:sz w:val="24"/>
          <w:szCs w:val="24"/>
          <w:lang w:val="en-US"/>
        </w:rPr>
        <w:t>.</w:t>
      </w:r>
      <w:r w:rsidR="006E52F9" w:rsidRPr="00012C17">
        <w:rPr>
          <w:rFonts w:ascii="Georgia" w:hAnsi="Georgia"/>
          <w:bCs/>
          <w:iCs/>
          <w:color w:val="000000"/>
          <w:sz w:val="24"/>
          <w:szCs w:val="24"/>
          <w:lang w:val="en-US"/>
        </w:rPr>
        <w:t xml:space="preserve"> </w:t>
      </w:r>
    </w:p>
    <w:p w:rsidR="00DB62DC" w:rsidRPr="00012C17" w:rsidRDefault="00DB62DC" w:rsidP="001B11C5">
      <w:pPr>
        <w:pStyle w:val="ListParagraph"/>
        <w:spacing w:after="0" w:line="240" w:lineRule="auto"/>
        <w:rPr>
          <w:rFonts w:ascii="Georgia" w:hAnsi="Georgia"/>
          <w:bCs/>
          <w:iCs/>
          <w:color w:val="000000"/>
          <w:sz w:val="24"/>
          <w:szCs w:val="24"/>
          <w:lang w:val="en-US"/>
        </w:rPr>
      </w:pPr>
    </w:p>
    <w:p w:rsidR="00DB62DC" w:rsidRPr="00012C17" w:rsidRDefault="00A34F63" w:rsidP="003A5D72">
      <w:pPr>
        <w:pStyle w:val="ListParagraph"/>
        <w:numPr>
          <w:ilvl w:val="0"/>
          <w:numId w:val="1"/>
        </w:numPr>
        <w:spacing w:after="0" w:line="240" w:lineRule="auto"/>
        <w:ind w:left="630" w:hanging="630"/>
        <w:jc w:val="both"/>
        <w:rPr>
          <w:rFonts w:ascii="Georgia" w:hAnsi="Georgia"/>
          <w:bCs/>
          <w:iCs/>
          <w:color w:val="000000"/>
          <w:sz w:val="24"/>
          <w:szCs w:val="24"/>
          <w:lang w:val="en-US"/>
        </w:rPr>
      </w:pPr>
      <w:r w:rsidRPr="00012C17">
        <w:rPr>
          <w:rFonts w:ascii="Georgia" w:hAnsi="Georgia"/>
          <w:bCs/>
          <w:iCs/>
          <w:color w:val="000000"/>
          <w:sz w:val="24"/>
          <w:szCs w:val="24"/>
          <w:lang w:val="en-US"/>
        </w:rPr>
        <w:t xml:space="preserve">The Applicants </w:t>
      </w:r>
      <w:r w:rsidR="00B43233" w:rsidRPr="00012C17">
        <w:rPr>
          <w:rFonts w:ascii="Georgia" w:hAnsi="Georgia"/>
          <w:bCs/>
          <w:iCs/>
          <w:color w:val="000000"/>
          <w:sz w:val="24"/>
          <w:szCs w:val="24"/>
          <w:lang w:val="en-US"/>
        </w:rPr>
        <w:t>allege</w:t>
      </w:r>
      <w:r w:rsidRPr="00012C17">
        <w:rPr>
          <w:rFonts w:ascii="Georgia" w:hAnsi="Georgia"/>
          <w:bCs/>
          <w:iCs/>
          <w:color w:val="000000"/>
          <w:sz w:val="24"/>
          <w:szCs w:val="24"/>
          <w:lang w:val="en-US"/>
        </w:rPr>
        <w:t xml:space="preserve"> that the principle of transparency has also been violated in case of </w:t>
      </w:r>
      <w:r w:rsidR="00B43233" w:rsidRPr="00012C17">
        <w:rPr>
          <w:rFonts w:ascii="Georgia" w:hAnsi="Georgia"/>
          <w:bCs/>
          <w:iCs/>
          <w:color w:val="000000"/>
          <w:sz w:val="24"/>
          <w:szCs w:val="24"/>
          <w:lang w:val="en-US"/>
        </w:rPr>
        <w:t>“</w:t>
      </w:r>
      <w:r w:rsidRPr="00012C17">
        <w:rPr>
          <w:rFonts w:ascii="Georgia" w:hAnsi="Georgia"/>
          <w:bCs/>
          <w:i/>
          <w:color w:val="000000"/>
          <w:sz w:val="24"/>
          <w:szCs w:val="24"/>
          <w:lang w:val="en-US"/>
        </w:rPr>
        <w:t>destruction of election material</w:t>
      </w:r>
      <w:r w:rsidR="00B43233" w:rsidRPr="00012C17">
        <w:rPr>
          <w:rFonts w:ascii="Georgia" w:hAnsi="Georgia"/>
          <w:bCs/>
          <w:iCs/>
          <w:color w:val="000000"/>
          <w:sz w:val="24"/>
          <w:szCs w:val="24"/>
          <w:lang w:val="en-US"/>
        </w:rPr>
        <w:t>”</w:t>
      </w:r>
      <w:r w:rsidRPr="00012C17">
        <w:rPr>
          <w:rFonts w:ascii="Georgia" w:hAnsi="Georgia"/>
          <w:bCs/>
          <w:iCs/>
          <w:color w:val="000000"/>
          <w:sz w:val="24"/>
          <w:szCs w:val="24"/>
          <w:lang w:val="en-US"/>
        </w:rPr>
        <w:t xml:space="preserve"> by the CEC, and </w:t>
      </w:r>
      <w:r w:rsidR="0062326C" w:rsidRPr="00012C17">
        <w:rPr>
          <w:rFonts w:ascii="Georgia" w:hAnsi="Georgia"/>
          <w:bCs/>
          <w:iCs/>
          <w:color w:val="000000"/>
          <w:sz w:val="24"/>
          <w:szCs w:val="24"/>
          <w:lang w:val="en-US"/>
        </w:rPr>
        <w:t>with this also</w:t>
      </w:r>
      <w:r w:rsidR="003A5D72" w:rsidRPr="00012C17">
        <w:rPr>
          <w:rFonts w:ascii="Georgia" w:hAnsi="Georgia"/>
          <w:bCs/>
          <w:iCs/>
          <w:color w:val="000000"/>
          <w:sz w:val="24"/>
          <w:szCs w:val="24"/>
          <w:lang w:val="en-US"/>
        </w:rPr>
        <w:t xml:space="preserve"> </w:t>
      </w:r>
      <w:r w:rsidRPr="00012C17">
        <w:rPr>
          <w:rFonts w:ascii="Georgia" w:hAnsi="Georgia"/>
          <w:bCs/>
          <w:iCs/>
          <w:color w:val="000000"/>
          <w:sz w:val="24"/>
          <w:szCs w:val="24"/>
          <w:lang w:val="en-US"/>
        </w:rPr>
        <w:t>their right to recount</w:t>
      </w:r>
      <w:r w:rsidR="00DB62DC" w:rsidRPr="00012C17">
        <w:rPr>
          <w:rFonts w:ascii="Georgia" w:hAnsi="Georgia"/>
          <w:color w:val="000000"/>
          <w:sz w:val="24"/>
          <w:szCs w:val="24"/>
          <w:lang w:val="en-US"/>
        </w:rPr>
        <w:t>.</w:t>
      </w:r>
    </w:p>
    <w:p w:rsidR="006A1494" w:rsidRPr="00012C17" w:rsidRDefault="00A34F63" w:rsidP="001B11C5">
      <w:pPr>
        <w:spacing w:line="240" w:lineRule="auto"/>
        <w:rPr>
          <w:b/>
          <w:i/>
          <w:color w:val="000000"/>
          <w:sz w:val="24"/>
        </w:rPr>
      </w:pPr>
      <w:r w:rsidRPr="00012C17">
        <w:rPr>
          <w:b/>
          <w:i/>
          <w:color w:val="000000"/>
          <w:sz w:val="24"/>
        </w:rPr>
        <w:t xml:space="preserve">Applicants' </w:t>
      </w:r>
      <w:r w:rsidR="00D95C92" w:rsidRPr="00012C17">
        <w:rPr>
          <w:b/>
          <w:i/>
          <w:color w:val="000000"/>
          <w:sz w:val="24"/>
        </w:rPr>
        <w:t>specific</w:t>
      </w:r>
      <w:r w:rsidRPr="00012C17">
        <w:rPr>
          <w:b/>
          <w:i/>
          <w:color w:val="000000"/>
          <w:sz w:val="24"/>
        </w:rPr>
        <w:t xml:space="preserve"> requests</w:t>
      </w:r>
    </w:p>
    <w:p w:rsidR="006A1494" w:rsidRPr="00012C17" w:rsidRDefault="006A1494" w:rsidP="001B11C5">
      <w:pPr>
        <w:spacing w:line="240" w:lineRule="auto"/>
        <w:rPr>
          <w:i/>
          <w:color w:val="000000"/>
          <w:sz w:val="24"/>
        </w:rPr>
      </w:pPr>
    </w:p>
    <w:p w:rsidR="00AF396C" w:rsidRPr="00012C17" w:rsidRDefault="00A34F63" w:rsidP="001B11C5">
      <w:pPr>
        <w:pStyle w:val="ListParagraph"/>
        <w:numPr>
          <w:ilvl w:val="0"/>
          <w:numId w:val="1"/>
        </w:numPr>
        <w:spacing w:after="0" w:line="240" w:lineRule="auto"/>
        <w:ind w:left="630" w:hanging="630"/>
        <w:jc w:val="both"/>
        <w:rPr>
          <w:rFonts w:ascii="Georgia" w:hAnsi="Georgia"/>
          <w:color w:val="000000"/>
          <w:sz w:val="24"/>
          <w:szCs w:val="24"/>
          <w:lang w:val="en-US"/>
        </w:rPr>
      </w:pPr>
      <w:r w:rsidRPr="00012C17">
        <w:rPr>
          <w:rFonts w:ascii="Georgia" w:hAnsi="Georgia"/>
          <w:color w:val="000000"/>
          <w:sz w:val="24"/>
          <w:szCs w:val="24"/>
          <w:lang w:val="en-US"/>
        </w:rPr>
        <w:t xml:space="preserve">The Applicants </w:t>
      </w:r>
      <w:r w:rsidR="00B43233" w:rsidRPr="00012C17">
        <w:rPr>
          <w:rFonts w:ascii="Georgia" w:hAnsi="Georgia"/>
          <w:color w:val="000000"/>
          <w:sz w:val="24"/>
          <w:szCs w:val="24"/>
          <w:lang w:val="en-US"/>
        </w:rPr>
        <w:t>emphasize</w:t>
      </w:r>
      <w:r w:rsidRPr="00012C17">
        <w:rPr>
          <w:rFonts w:ascii="Georgia" w:hAnsi="Georgia"/>
          <w:color w:val="000000"/>
          <w:sz w:val="24"/>
          <w:szCs w:val="24"/>
          <w:lang w:val="en-US"/>
        </w:rPr>
        <w:t xml:space="preserve"> that their purpose in seeking the assessment of the constitutionality of the </w:t>
      </w:r>
      <w:r w:rsidR="00B43233" w:rsidRPr="00012C17">
        <w:rPr>
          <w:rFonts w:ascii="Georgia" w:hAnsi="Georgia"/>
          <w:color w:val="000000"/>
          <w:sz w:val="24"/>
          <w:szCs w:val="24"/>
          <w:lang w:val="en-US"/>
        </w:rPr>
        <w:t>challenged</w:t>
      </w:r>
      <w:r w:rsidRPr="00012C17">
        <w:rPr>
          <w:rFonts w:ascii="Georgia" w:hAnsi="Georgia"/>
          <w:color w:val="000000"/>
          <w:sz w:val="24"/>
          <w:szCs w:val="24"/>
          <w:lang w:val="en-US"/>
        </w:rPr>
        <w:t xml:space="preserve"> </w:t>
      </w:r>
      <w:r w:rsidR="00D95C92" w:rsidRPr="00012C17">
        <w:rPr>
          <w:rFonts w:ascii="Georgia" w:hAnsi="Georgia"/>
          <w:color w:val="000000"/>
          <w:sz w:val="24"/>
          <w:szCs w:val="24"/>
          <w:lang w:val="en-US"/>
        </w:rPr>
        <w:t>D</w:t>
      </w:r>
      <w:r w:rsidRPr="00012C17">
        <w:rPr>
          <w:rFonts w:ascii="Georgia" w:hAnsi="Georgia"/>
          <w:color w:val="000000"/>
          <w:sz w:val="24"/>
          <w:szCs w:val="24"/>
          <w:lang w:val="en-US"/>
        </w:rPr>
        <w:t xml:space="preserve">ecisions was to </w:t>
      </w:r>
      <w:r w:rsidR="00B43233" w:rsidRPr="00012C17">
        <w:rPr>
          <w:rFonts w:ascii="Georgia" w:hAnsi="Georgia"/>
          <w:color w:val="000000"/>
          <w:sz w:val="24"/>
          <w:szCs w:val="24"/>
          <w:lang w:val="en-US"/>
        </w:rPr>
        <w:t>request</w:t>
      </w:r>
      <w:r w:rsidRPr="00012C17">
        <w:rPr>
          <w:rFonts w:ascii="Georgia" w:hAnsi="Georgia"/>
          <w:color w:val="000000"/>
          <w:sz w:val="24"/>
          <w:szCs w:val="24"/>
          <w:lang w:val="en-US"/>
        </w:rPr>
        <w:t xml:space="preserve"> the </w:t>
      </w:r>
      <w:r w:rsidR="003A5D72" w:rsidRPr="00012C17">
        <w:rPr>
          <w:rFonts w:ascii="Georgia" w:hAnsi="Georgia"/>
          <w:color w:val="000000"/>
          <w:sz w:val="24"/>
          <w:szCs w:val="24"/>
          <w:lang w:val="en-US"/>
        </w:rPr>
        <w:t>ordering of</w:t>
      </w:r>
      <w:r w:rsidRPr="00012C17">
        <w:rPr>
          <w:rFonts w:ascii="Georgia" w:hAnsi="Georgia"/>
          <w:color w:val="000000"/>
          <w:sz w:val="24"/>
          <w:szCs w:val="24"/>
          <w:lang w:val="en-US"/>
        </w:rPr>
        <w:t xml:space="preserve">  ballots</w:t>
      </w:r>
      <w:r w:rsidR="003A5D72" w:rsidRPr="00012C17">
        <w:rPr>
          <w:rFonts w:ascii="Georgia" w:hAnsi="Georgia"/>
          <w:color w:val="000000"/>
          <w:sz w:val="24"/>
          <w:szCs w:val="24"/>
          <w:lang w:val="en-US"/>
        </w:rPr>
        <w:t xml:space="preserve"> recounts</w:t>
      </w:r>
      <w:r w:rsidR="00B43233" w:rsidRPr="00012C17">
        <w:rPr>
          <w:rFonts w:ascii="Georgia" w:hAnsi="Georgia"/>
          <w:color w:val="000000"/>
          <w:sz w:val="24"/>
          <w:szCs w:val="24"/>
          <w:lang w:val="en-US"/>
        </w:rPr>
        <w:t>,</w:t>
      </w:r>
      <w:r w:rsidRPr="00012C17">
        <w:rPr>
          <w:rFonts w:ascii="Georgia" w:hAnsi="Georgia"/>
          <w:color w:val="000000"/>
          <w:sz w:val="24"/>
          <w:szCs w:val="24"/>
          <w:lang w:val="en-US"/>
        </w:rPr>
        <w:t xml:space="preserve"> as </w:t>
      </w:r>
      <w:r w:rsidR="00B43233" w:rsidRPr="00012C17">
        <w:rPr>
          <w:rFonts w:ascii="Georgia" w:hAnsi="Georgia"/>
          <w:color w:val="000000"/>
          <w:sz w:val="24"/>
          <w:szCs w:val="24"/>
          <w:lang w:val="en-US"/>
        </w:rPr>
        <w:t>they</w:t>
      </w:r>
      <w:r w:rsidRPr="00012C17">
        <w:rPr>
          <w:rFonts w:ascii="Georgia" w:hAnsi="Georgia"/>
          <w:color w:val="000000"/>
          <w:sz w:val="24"/>
          <w:szCs w:val="24"/>
          <w:lang w:val="en-US"/>
        </w:rPr>
        <w:t xml:space="preserve"> ha</w:t>
      </w:r>
      <w:r w:rsidR="003A5D72" w:rsidRPr="00012C17">
        <w:rPr>
          <w:rFonts w:ascii="Georgia" w:hAnsi="Georgia"/>
          <w:color w:val="000000"/>
          <w:sz w:val="24"/>
          <w:szCs w:val="24"/>
          <w:lang w:val="en-US"/>
        </w:rPr>
        <w:t>d</w:t>
      </w:r>
      <w:r w:rsidRPr="00012C17">
        <w:rPr>
          <w:rFonts w:ascii="Georgia" w:hAnsi="Georgia"/>
          <w:color w:val="000000"/>
          <w:sz w:val="24"/>
          <w:szCs w:val="24"/>
          <w:lang w:val="en-US"/>
        </w:rPr>
        <w:t xml:space="preserve"> requested at all stages of the proceedings. </w:t>
      </w:r>
      <w:r w:rsidR="00B43233" w:rsidRPr="00012C17">
        <w:rPr>
          <w:rFonts w:ascii="Georgia" w:hAnsi="Georgia"/>
          <w:color w:val="000000"/>
          <w:sz w:val="24"/>
          <w:szCs w:val="24"/>
          <w:lang w:val="en-US"/>
        </w:rPr>
        <w:t>However,</w:t>
      </w:r>
      <w:r w:rsidRPr="00012C17">
        <w:rPr>
          <w:rFonts w:ascii="Georgia" w:hAnsi="Georgia"/>
          <w:color w:val="000000"/>
          <w:sz w:val="24"/>
          <w:szCs w:val="24"/>
          <w:lang w:val="en-US"/>
        </w:rPr>
        <w:t xml:space="preserve"> the Applicants point out that such a request, </w:t>
      </w:r>
      <w:r w:rsidR="00AE7AFB" w:rsidRPr="00012C17">
        <w:rPr>
          <w:rFonts w:ascii="Georgia" w:hAnsi="Georgia"/>
          <w:color w:val="000000"/>
          <w:sz w:val="24"/>
          <w:szCs w:val="24"/>
          <w:lang w:val="en-US"/>
        </w:rPr>
        <w:t xml:space="preserve">became </w:t>
      </w:r>
      <w:r w:rsidRPr="00012C17">
        <w:rPr>
          <w:rFonts w:ascii="Georgia" w:hAnsi="Georgia"/>
          <w:color w:val="000000"/>
          <w:sz w:val="24"/>
          <w:szCs w:val="24"/>
          <w:lang w:val="en-US"/>
        </w:rPr>
        <w:t xml:space="preserve">impossible </w:t>
      </w:r>
      <w:r w:rsidR="00AE7AFB" w:rsidRPr="00012C17">
        <w:rPr>
          <w:rFonts w:ascii="Georgia" w:hAnsi="Georgia"/>
          <w:color w:val="000000"/>
          <w:sz w:val="24"/>
          <w:szCs w:val="24"/>
          <w:lang w:val="en-US"/>
        </w:rPr>
        <w:t xml:space="preserve">in the meantime, </w:t>
      </w:r>
      <w:r w:rsidRPr="00012C17">
        <w:rPr>
          <w:rFonts w:ascii="Georgia" w:hAnsi="Georgia"/>
          <w:color w:val="000000"/>
          <w:sz w:val="24"/>
          <w:szCs w:val="24"/>
          <w:lang w:val="en-US"/>
        </w:rPr>
        <w:t xml:space="preserve">given that </w:t>
      </w:r>
      <w:r w:rsidR="00B43233" w:rsidRPr="00012C17">
        <w:rPr>
          <w:rFonts w:ascii="Georgia" w:hAnsi="Georgia"/>
          <w:color w:val="000000"/>
          <w:sz w:val="24"/>
          <w:szCs w:val="24"/>
          <w:lang w:val="en-US"/>
        </w:rPr>
        <w:t>“</w:t>
      </w:r>
      <w:r w:rsidRPr="00012C17">
        <w:rPr>
          <w:rFonts w:ascii="Georgia" w:hAnsi="Georgia"/>
          <w:i/>
          <w:iCs/>
          <w:color w:val="000000"/>
          <w:sz w:val="24"/>
          <w:szCs w:val="24"/>
          <w:lang w:val="en-US"/>
        </w:rPr>
        <w:t xml:space="preserve">the CEC </w:t>
      </w:r>
      <w:r w:rsidR="00B43233" w:rsidRPr="00012C17">
        <w:rPr>
          <w:rFonts w:ascii="Georgia" w:hAnsi="Georgia"/>
          <w:i/>
          <w:iCs/>
          <w:color w:val="000000"/>
          <w:sz w:val="24"/>
          <w:szCs w:val="24"/>
          <w:lang w:val="en-US"/>
        </w:rPr>
        <w:t>destroyed</w:t>
      </w:r>
      <w:r w:rsidRPr="00012C17">
        <w:rPr>
          <w:rFonts w:ascii="Georgia" w:hAnsi="Georgia"/>
          <w:i/>
          <w:iCs/>
          <w:color w:val="000000"/>
          <w:sz w:val="24"/>
          <w:szCs w:val="24"/>
          <w:lang w:val="en-US"/>
        </w:rPr>
        <w:t xml:space="preserve"> of all election material</w:t>
      </w:r>
      <w:r w:rsidR="00B43233" w:rsidRPr="00012C17">
        <w:rPr>
          <w:rFonts w:ascii="Georgia" w:hAnsi="Georgia"/>
          <w:color w:val="000000"/>
          <w:sz w:val="24"/>
          <w:szCs w:val="24"/>
          <w:lang w:val="en-US"/>
        </w:rPr>
        <w:t>”</w:t>
      </w:r>
      <w:r w:rsidRPr="00012C17">
        <w:rPr>
          <w:rFonts w:ascii="Georgia" w:hAnsi="Georgia"/>
          <w:color w:val="000000"/>
          <w:sz w:val="24"/>
          <w:szCs w:val="24"/>
          <w:lang w:val="en-US"/>
        </w:rPr>
        <w:t xml:space="preserve">. Noting that the act of </w:t>
      </w:r>
      <w:r w:rsidR="00B43233" w:rsidRPr="00012C17">
        <w:rPr>
          <w:rFonts w:ascii="Georgia" w:hAnsi="Georgia"/>
          <w:i/>
          <w:iCs/>
          <w:color w:val="000000"/>
          <w:sz w:val="24"/>
          <w:szCs w:val="24"/>
          <w:lang w:val="en-US"/>
        </w:rPr>
        <w:t>“</w:t>
      </w:r>
      <w:r w:rsidRPr="00012C17">
        <w:rPr>
          <w:rFonts w:ascii="Georgia" w:hAnsi="Georgia"/>
          <w:i/>
          <w:iCs/>
          <w:color w:val="000000"/>
          <w:sz w:val="24"/>
          <w:szCs w:val="24"/>
          <w:lang w:val="en-US"/>
        </w:rPr>
        <w:t>destroying the election material</w:t>
      </w:r>
      <w:r w:rsidR="00B43233" w:rsidRPr="00012C17">
        <w:rPr>
          <w:rFonts w:ascii="Georgia" w:hAnsi="Georgia"/>
          <w:color w:val="000000"/>
          <w:sz w:val="24"/>
          <w:szCs w:val="24"/>
          <w:lang w:val="en-US"/>
        </w:rPr>
        <w:t>”</w:t>
      </w:r>
      <w:r w:rsidRPr="00012C17">
        <w:rPr>
          <w:rFonts w:ascii="Georgia" w:hAnsi="Georgia"/>
          <w:color w:val="000000"/>
          <w:sz w:val="24"/>
          <w:szCs w:val="24"/>
          <w:lang w:val="en-US"/>
        </w:rPr>
        <w:t xml:space="preserve"> has violated not only the principle of transparency, but also the right of the Applicant</w:t>
      </w:r>
      <w:r w:rsidR="00B43233" w:rsidRPr="00012C17">
        <w:rPr>
          <w:rFonts w:ascii="Georgia" w:hAnsi="Georgia"/>
          <w:color w:val="000000"/>
          <w:sz w:val="24"/>
          <w:szCs w:val="24"/>
          <w:lang w:val="en-US"/>
        </w:rPr>
        <w:t>s</w:t>
      </w:r>
      <w:r w:rsidRPr="00012C17">
        <w:rPr>
          <w:rFonts w:ascii="Georgia" w:hAnsi="Georgia"/>
          <w:color w:val="000000"/>
          <w:sz w:val="24"/>
          <w:szCs w:val="24"/>
          <w:lang w:val="en-US"/>
        </w:rPr>
        <w:t xml:space="preserve"> </w:t>
      </w:r>
      <w:r w:rsidR="002D7960" w:rsidRPr="00012C17">
        <w:rPr>
          <w:rFonts w:ascii="Georgia" w:hAnsi="Georgia"/>
          <w:color w:val="000000"/>
          <w:sz w:val="24"/>
          <w:szCs w:val="24"/>
          <w:lang w:val="en-US"/>
        </w:rPr>
        <w:t>to recount</w:t>
      </w:r>
      <w:r w:rsidRPr="00012C17">
        <w:rPr>
          <w:rFonts w:ascii="Georgia" w:hAnsi="Georgia"/>
          <w:color w:val="000000"/>
          <w:sz w:val="24"/>
          <w:szCs w:val="24"/>
          <w:lang w:val="en-US"/>
        </w:rPr>
        <w:t xml:space="preserve">, the only solution, according to the Applicants, remains </w:t>
      </w:r>
      <w:r w:rsidR="00B43233" w:rsidRPr="00012C17">
        <w:rPr>
          <w:rFonts w:ascii="Georgia" w:hAnsi="Georgia"/>
          <w:color w:val="000000"/>
          <w:sz w:val="24"/>
          <w:szCs w:val="24"/>
          <w:lang w:val="en-US"/>
        </w:rPr>
        <w:t>“</w:t>
      </w:r>
      <w:r w:rsidRPr="00012C17">
        <w:rPr>
          <w:rFonts w:ascii="Georgia" w:hAnsi="Georgia"/>
          <w:i/>
          <w:iCs/>
          <w:color w:val="000000"/>
          <w:sz w:val="24"/>
          <w:szCs w:val="24"/>
          <w:lang w:val="en-US"/>
        </w:rPr>
        <w:t xml:space="preserve">the repetition of </w:t>
      </w:r>
      <w:r w:rsidR="00B43233" w:rsidRPr="00012C17">
        <w:rPr>
          <w:rFonts w:ascii="Georgia" w:hAnsi="Georgia"/>
          <w:i/>
          <w:iCs/>
          <w:color w:val="000000"/>
          <w:sz w:val="24"/>
          <w:szCs w:val="24"/>
          <w:lang w:val="en-US"/>
        </w:rPr>
        <w:t xml:space="preserve">voting in the second round of </w:t>
      </w:r>
      <w:r w:rsidR="002D7960" w:rsidRPr="00012C17">
        <w:rPr>
          <w:rFonts w:ascii="Georgia" w:hAnsi="Georgia"/>
          <w:i/>
          <w:iCs/>
          <w:color w:val="000000"/>
          <w:sz w:val="24"/>
          <w:szCs w:val="24"/>
          <w:lang w:val="en-US"/>
        </w:rPr>
        <w:t>elections</w:t>
      </w:r>
      <w:r w:rsidR="00AE72C3" w:rsidRPr="00012C17">
        <w:rPr>
          <w:rFonts w:ascii="Georgia" w:hAnsi="Georgia"/>
          <w:i/>
          <w:color w:val="000000"/>
          <w:sz w:val="24"/>
          <w:szCs w:val="24"/>
          <w:lang w:val="en-US"/>
        </w:rPr>
        <w:t xml:space="preserve">”. </w:t>
      </w:r>
    </w:p>
    <w:p w:rsidR="00AF396C" w:rsidRPr="00012C17" w:rsidRDefault="00AF396C" w:rsidP="001B11C5">
      <w:pPr>
        <w:pStyle w:val="ListParagraph"/>
        <w:spacing w:after="0" w:line="240" w:lineRule="auto"/>
        <w:ind w:left="630"/>
        <w:jc w:val="both"/>
        <w:rPr>
          <w:rFonts w:ascii="Georgia" w:hAnsi="Georgia"/>
          <w:color w:val="000000"/>
          <w:sz w:val="24"/>
          <w:szCs w:val="24"/>
          <w:lang w:val="en-US"/>
        </w:rPr>
      </w:pPr>
    </w:p>
    <w:p w:rsidR="00BE2327" w:rsidRPr="00012C17" w:rsidRDefault="00B43233" w:rsidP="001B11C5">
      <w:pPr>
        <w:pStyle w:val="ListParagraph"/>
        <w:numPr>
          <w:ilvl w:val="0"/>
          <w:numId w:val="1"/>
        </w:numPr>
        <w:spacing w:after="0" w:line="240" w:lineRule="auto"/>
        <w:ind w:left="630" w:hanging="630"/>
        <w:jc w:val="both"/>
        <w:rPr>
          <w:rFonts w:ascii="Georgia" w:hAnsi="Georgia"/>
          <w:color w:val="000000"/>
          <w:sz w:val="24"/>
          <w:szCs w:val="24"/>
          <w:lang w:val="en-US"/>
        </w:rPr>
      </w:pPr>
      <w:r w:rsidRPr="00012C17">
        <w:rPr>
          <w:rFonts w:ascii="Georgia" w:hAnsi="Georgia"/>
          <w:color w:val="000000"/>
          <w:sz w:val="24"/>
          <w:szCs w:val="24"/>
          <w:lang w:val="en-US"/>
        </w:rPr>
        <w:lastRenderedPageBreak/>
        <w:t>In addition</w:t>
      </w:r>
      <w:r w:rsidR="00CE1903" w:rsidRPr="00012C17">
        <w:rPr>
          <w:rFonts w:ascii="Georgia" w:hAnsi="Georgia"/>
          <w:color w:val="000000"/>
          <w:sz w:val="24"/>
          <w:szCs w:val="24"/>
          <w:lang w:val="en-US"/>
        </w:rPr>
        <w:t xml:space="preserve">, the </w:t>
      </w:r>
      <w:r w:rsidR="00CE1903" w:rsidRPr="00012C17">
        <w:rPr>
          <w:rFonts w:ascii="Georgia" w:hAnsi="Georgia"/>
          <w:bCs/>
          <w:iCs/>
          <w:color w:val="000000"/>
          <w:sz w:val="24"/>
          <w:szCs w:val="24"/>
          <w:lang w:val="en-US"/>
        </w:rPr>
        <w:t>Applicants</w:t>
      </w:r>
      <w:r w:rsidR="00CE1903" w:rsidRPr="00012C17">
        <w:rPr>
          <w:rFonts w:ascii="Georgia" w:hAnsi="Georgia"/>
          <w:color w:val="000000"/>
          <w:sz w:val="24"/>
          <w:szCs w:val="24"/>
          <w:lang w:val="en-US"/>
        </w:rPr>
        <w:t xml:space="preserve"> request the Court: (i) to declare the Referral admissible; (ii) </w:t>
      </w:r>
      <w:r w:rsidRPr="00012C17">
        <w:rPr>
          <w:rFonts w:ascii="Georgia" w:hAnsi="Georgia"/>
          <w:color w:val="000000"/>
          <w:sz w:val="24"/>
          <w:szCs w:val="24"/>
          <w:lang w:val="en-US"/>
        </w:rPr>
        <w:t>to hold</w:t>
      </w:r>
      <w:r w:rsidR="00CE1903" w:rsidRPr="00012C17">
        <w:rPr>
          <w:rFonts w:ascii="Georgia" w:hAnsi="Georgia"/>
          <w:color w:val="000000"/>
          <w:sz w:val="24"/>
          <w:szCs w:val="24"/>
          <w:lang w:val="en-US"/>
        </w:rPr>
        <w:t xml:space="preserve"> that there has been a violation of Article 54 of the Constitution</w:t>
      </w:r>
      <w:r w:rsidR="00AE7AFB" w:rsidRPr="00012C17">
        <w:rPr>
          <w:rFonts w:ascii="Georgia" w:hAnsi="Georgia"/>
          <w:color w:val="000000"/>
          <w:sz w:val="24"/>
          <w:szCs w:val="24"/>
          <w:lang w:val="en-US"/>
        </w:rPr>
        <w:t>;</w:t>
      </w:r>
      <w:r w:rsidR="00CE1903" w:rsidRPr="00012C17">
        <w:rPr>
          <w:rFonts w:ascii="Georgia" w:hAnsi="Georgia"/>
          <w:color w:val="000000"/>
          <w:sz w:val="24"/>
          <w:szCs w:val="24"/>
          <w:lang w:val="en-US"/>
        </w:rPr>
        <w:t xml:space="preserve"> (iii) </w:t>
      </w:r>
      <w:r w:rsidRPr="00012C17">
        <w:rPr>
          <w:rFonts w:ascii="Georgia" w:hAnsi="Georgia"/>
          <w:color w:val="000000"/>
          <w:sz w:val="24"/>
          <w:szCs w:val="24"/>
          <w:lang w:val="en-US"/>
        </w:rPr>
        <w:t>to hold</w:t>
      </w:r>
      <w:r w:rsidR="00CE1903" w:rsidRPr="00012C17">
        <w:rPr>
          <w:rFonts w:ascii="Georgia" w:hAnsi="Georgia"/>
          <w:color w:val="000000"/>
          <w:sz w:val="24"/>
          <w:szCs w:val="24"/>
          <w:lang w:val="en-US"/>
        </w:rPr>
        <w:t xml:space="preserve"> that as a result of violation of Article 54 of the Constitution there has been a violation of Article 45 of the Constitution</w:t>
      </w:r>
      <w:r w:rsidR="00AE7AFB" w:rsidRPr="00012C17">
        <w:rPr>
          <w:rFonts w:ascii="Georgia" w:hAnsi="Georgia"/>
          <w:color w:val="000000"/>
          <w:sz w:val="24"/>
          <w:szCs w:val="24"/>
          <w:lang w:val="en-US"/>
        </w:rPr>
        <w:t>;</w:t>
      </w:r>
      <w:r w:rsidR="00CE1903" w:rsidRPr="00012C17">
        <w:rPr>
          <w:rFonts w:ascii="Georgia" w:hAnsi="Georgia"/>
          <w:color w:val="000000"/>
          <w:sz w:val="24"/>
          <w:szCs w:val="24"/>
          <w:lang w:val="en-US"/>
        </w:rPr>
        <w:t xml:space="preserve"> (iv) </w:t>
      </w:r>
      <w:r w:rsidRPr="00012C17">
        <w:rPr>
          <w:rFonts w:ascii="Georgia" w:hAnsi="Georgia"/>
          <w:color w:val="000000"/>
          <w:sz w:val="24"/>
          <w:szCs w:val="24"/>
          <w:lang w:val="en-US"/>
        </w:rPr>
        <w:t xml:space="preserve">to declare invalid </w:t>
      </w:r>
      <w:r w:rsidR="00CE1903" w:rsidRPr="00012C17">
        <w:rPr>
          <w:rFonts w:ascii="Georgia" w:hAnsi="Georgia"/>
          <w:color w:val="000000"/>
          <w:sz w:val="24"/>
          <w:szCs w:val="24"/>
          <w:lang w:val="en-US"/>
        </w:rPr>
        <w:t xml:space="preserve">Judgment </w:t>
      </w:r>
      <w:r w:rsidRPr="00012C17">
        <w:rPr>
          <w:rFonts w:ascii="Georgia" w:hAnsi="Georgia"/>
          <w:color w:val="000000"/>
          <w:sz w:val="24"/>
          <w:szCs w:val="24"/>
          <w:lang w:val="en-US"/>
        </w:rPr>
        <w:t>[A</w:t>
      </w:r>
      <w:r w:rsidR="006634E8" w:rsidRPr="00012C17">
        <w:rPr>
          <w:rFonts w:ascii="Georgia" w:hAnsi="Georgia"/>
          <w:color w:val="000000"/>
          <w:sz w:val="24"/>
          <w:szCs w:val="24"/>
          <w:lang w:val="en-US"/>
        </w:rPr>
        <w:t>.</w:t>
      </w:r>
      <w:r w:rsidRPr="00012C17">
        <w:rPr>
          <w:rFonts w:ascii="Georgia" w:hAnsi="Georgia"/>
          <w:color w:val="000000"/>
          <w:sz w:val="24"/>
          <w:szCs w:val="24"/>
          <w:lang w:val="en-US"/>
        </w:rPr>
        <w:t>A.</w:t>
      </w:r>
      <w:r w:rsidR="006634E8" w:rsidRPr="00012C17">
        <w:rPr>
          <w:rFonts w:ascii="Georgia" w:hAnsi="Georgia"/>
          <w:color w:val="000000"/>
          <w:sz w:val="24"/>
          <w:szCs w:val="24"/>
          <w:lang w:val="en-US"/>
        </w:rPr>
        <w:t xml:space="preserve"> </w:t>
      </w:r>
      <w:r w:rsidRPr="00012C17">
        <w:rPr>
          <w:rFonts w:ascii="Georgia" w:hAnsi="Georgia"/>
          <w:color w:val="000000"/>
          <w:sz w:val="24"/>
          <w:szCs w:val="24"/>
          <w:lang w:val="en-US"/>
        </w:rPr>
        <w:t xml:space="preserve">U.ZH. No. 62/2017] of the Supreme, and all </w:t>
      </w:r>
      <w:r w:rsidR="00D95C92" w:rsidRPr="00012C17">
        <w:rPr>
          <w:rFonts w:ascii="Georgia" w:hAnsi="Georgia"/>
          <w:color w:val="000000"/>
          <w:sz w:val="24"/>
          <w:szCs w:val="24"/>
          <w:lang w:val="en-US"/>
        </w:rPr>
        <w:t>decisions</w:t>
      </w:r>
      <w:r w:rsidRPr="00012C17">
        <w:rPr>
          <w:rFonts w:ascii="Georgia" w:hAnsi="Georgia"/>
          <w:color w:val="000000"/>
          <w:sz w:val="24"/>
          <w:szCs w:val="24"/>
          <w:lang w:val="en-US"/>
        </w:rPr>
        <w:t xml:space="preserve"> of the previous instances</w:t>
      </w:r>
      <w:r w:rsidR="00CE1903" w:rsidRPr="00012C17">
        <w:rPr>
          <w:rFonts w:ascii="Georgia" w:hAnsi="Georgia"/>
          <w:color w:val="000000"/>
          <w:sz w:val="24"/>
          <w:szCs w:val="24"/>
          <w:lang w:val="en-US"/>
        </w:rPr>
        <w:t xml:space="preserve">; (v) </w:t>
      </w:r>
      <w:r w:rsidR="00BB58C6" w:rsidRPr="00012C17">
        <w:rPr>
          <w:rFonts w:ascii="Georgia" w:hAnsi="Georgia"/>
          <w:color w:val="000000"/>
          <w:sz w:val="24"/>
          <w:szCs w:val="24"/>
          <w:lang w:val="en-US"/>
        </w:rPr>
        <w:t xml:space="preserve">to </w:t>
      </w:r>
      <w:r w:rsidR="00CE1903" w:rsidRPr="00012C17">
        <w:rPr>
          <w:rFonts w:ascii="Georgia" w:hAnsi="Georgia"/>
          <w:color w:val="000000"/>
          <w:sz w:val="24"/>
          <w:szCs w:val="24"/>
          <w:lang w:val="en-US"/>
        </w:rPr>
        <w:t xml:space="preserve">declare invalid the </w:t>
      </w:r>
      <w:r w:rsidR="002D7960" w:rsidRPr="00012C17">
        <w:rPr>
          <w:rFonts w:ascii="Georgia" w:hAnsi="Georgia"/>
          <w:color w:val="000000"/>
          <w:sz w:val="24"/>
          <w:szCs w:val="24"/>
          <w:lang w:val="en-US"/>
        </w:rPr>
        <w:t>electoral</w:t>
      </w:r>
      <w:r w:rsidR="00CE1903" w:rsidRPr="00012C17">
        <w:rPr>
          <w:rFonts w:ascii="Georgia" w:hAnsi="Georgia"/>
          <w:color w:val="000000"/>
          <w:sz w:val="24"/>
          <w:szCs w:val="24"/>
          <w:lang w:val="en-US"/>
        </w:rPr>
        <w:t xml:space="preserve"> process (</w:t>
      </w:r>
      <w:r w:rsidR="00BB58C6" w:rsidRPr="00012C17">
        <w:rPr>
          <w:rFonts w:ascii="Georgia" w:hAnsi="Georgia"/>
          <w:color w:val="000000"/>
          <w:sz w:val="24"/>
          <w:szCs w:val="24"/>
          <w:lang w:val="en-US"/>
        </w:rPr>
        <w:t xml:space="preserve">the </w:t>
      </w:r>
      <w:r w:rsidR="00AE7AFB" w:rsidRPr="00012C17">
        <w:rPr>
          <w:rFonts w:ascii="Georgia" w:hAnsi="Georgia"/>
          <w:color w:val="000000"/>
          <w:sz w:val="24"/>
          <w:szCs w:val="24"/>
          <w:lang w:val="en-US"/>
        </w:rPr>
        <w:t>run-off</w:t>
      </w:r>
      <w:r w:rsidR="00CE1903" w:rsidRPr="00012C17">
        <w:rPr>
          <w:rFonts w:ascii="Georgia" w:hAnsi="Georgia"/>
          <w:color w:val="000000"/>
          <w:sz w:val="24"/>
          <w:szCs w:val="24"/>
          <w:lang w:val="en-US"/>
        </w:rPr>
        <w:t xml:space="preserve">) for </w:t>
      </w:r>
      <w:r w:rsidR="00BB58C6" w:rsidRPr="00012C17">
        <w:rPr>
          <w:rFonts w:ascii="Georgia" w:hAnsi="Georgia"/>
          <w:color w:val="000000"/>
          <w:sz w:val="24"/>
          <w:szCs w:val="24"/>
          <w:lang w:val="en-US"/>
        </w:rPr>
        <w:t xml:space="preserve">the </w:t>
      </w:r>
      <w:r w:rsidR="00F32DC5" w:rsidRPr="00012C17">
        <w:rPr>
          <w:rFonts w:ascii="Georgia" w:hAnsi="Georgia"/>
          <w:color w:val="000000"/>
          <w:sz w:val="24"/>
          <w:szCs w:val="24"/>
          <w:lang w:val="en-US"/>
        </w:rPr>
        <w:t xml:space="preserve">Mayor </w:t>
      </w:r>
      <w:r w:rsidR="00BB58C6" w:rsidRPr="00012C17">
        <w:rPr>
          <w:rFonts w:ascii="Georgia" w:hAnsi="Georgia"/>
          <w:color w:val="000000"/>
          <w:sz w:val="24"/>
          <w:szCs w:val="24"/>
          <w:lang w:val="en-US"/>
        </w:rPr>
        <w:t>of the Municipality</w:t>
      </w:r>
      <w:r w:rsidR="00CE1903" w:rsidRPr="00012C17">
        <w:rPr>
          <w:rFonts w:ascii="Georgia" w:hAnsi="Georgia"/>
          <w:color w:val="000000"/>
          <w:sz w:val="24"/>
          <w:szCs w:val="24"/>
          <w:lang w:val="en-US"/>
        </w:rPr>
        <w:t xml:space="preserve"> of Prishtina, </w:t>
      </w:r>
      <w:r w:rsidR="00BB58C6" w:rsidRPr="00012C17">
        <w:rPr>
          <w:rFonts w:ascii="Georgia" w:hAnsi="Georgia"/>
          <w:color w:val="000000"/>
          <w:sz w:val="24"/>
          <w:szCs w:val="24"/>
          <w:lang w:val="en-US"/>
        </w:rPr>
        <w:t>of</w:t>
      </w:r>
      <w:r w:rsidR="00CE1903" w:rsidRPr="00012C17">
        <w:rPr>
          <w:rFonts w:ascii="Georgia" w:hAnsi="Georgia"/>
          <w:color w:val="000000"/>
          <w:sz w:val="24"/>
          <w:szCs w:val="24"/>
          <w:lang w:val="en-US"/>
        </w:rPr>
        <w:t xml:space="preserve"> 19 November 2017; and (vi)</w:t>
      </w:r>
      <w:r w:rsidR="00BB58C6" w:rsidRPr="00012C17">
        <w:rPr>
          <w:rFonts w:ascii="Georgia" w:hAnsi="Georgia"/>
          <w:color w:val="000000"/>
          <w:sz w:val="24"/>
          <w:szCs w:val="24"/>
          <w:lang w:val="en-US"/>
        </w:rPr>
        <w:t xml:space="preserve"> to</w:t>
      </w:r>
      <w:r w:rsidR="006E52F9" w:rsidRPr="00012C17">
        <w:rPr>
          <w:rFonts w:ascii="Georgia" w:hAnsi="Georgia"/>
          <w:color w:val="000000"/>
          <w:sz w:val="24"/>
          <w:szCs w:val="24"/>
          <w:lang w:val="en-US"/>
        </w:rPr>
        <w:t xml:space="preserve"> </w:t>
      </w:r>
      <w:r w:rsidR="00CE1903" w:rsidRPr="00012C17">
        <w:rPr>
          <w:rFonts w:ascii="Georgia" w:hAnsi="Georgia"/>
          <w:color w:val="000000"/>
          <w:sz w:val="24"/>
          <w:szCs w:val="24"/>
          <w:lang w:val="en-US"/>
        </w:rPr>
        <w:t xml:space="preserve">order the CEC, </w:t>
      </w:r>
      <w:r w:rsidR="00BB58C6" w:rsidRPr="00012C17">
        <w:rPr>
          <w:rFonts w:ascii="Georgia" w:hAnsi="Georgia"/>
          <w:color w:val="000000"/>
          <w:sz w:val="24"/>
          <w:szCs w:val="24"/>
          <w:lang w:val="en-US"/>
        </w:rPr>
        <w:t xml:space="preserve">that </w:t>
      </w:r>
      <w:r w:rsidR="00CE1903" w:rsidRPr="00012C17">
        <w:rPr>
          <w:rFonts w:ascii="Georgia" w:hAnsi="Georgia"/>
          <w:color w:val="000000"/>
          <w:sz w:val="24"/>
          <w:szCs w:val="24"/>
          <w:lang w:val="en-US"/>
        </w:rPr>
        <w:t xml:space="preserve">within 30 days from the receipt of the Judgment of the Constitutional Court, to organize the second round of elections for </w:t>
      </w:r>
      <w:r w:rsidR="00F32DC5" w:rsidRPr="00012C17">
        <w:rPr>
          <w:rFonts w:ascii="Georgia" w:hAnsi="Georgia"/>
          <w:color w:val="000000"/>
          <w:sz w:val="24"/>
          <w:szCs w:val="24"/>
          <w:lang w:val="en-US"/>
        </w:rPr>
        <w:t xml:space="preserve">Mayor </w:t>
      </w:r>
      <w:r w:rsidR="00BB58C6" w:rsidRPr="00012C17">
        <w:rPr>
          <w:rFonts w:ascii="Georgia" w:hAnsi="Georgia"/>
          <w:color w:val="000000"/>
          <w:sz w:val="24"/>
          <w:szCs w:val="24"/>
          <w:lang w:val="en-US"/>
        </w:rPr>
        <w:t xml:space="preserve">of the Municipality of </w:t>
      </w:r>
      <w:r w:rsidR="00CE1903" w:rsidRPr="00012C17">
        <w:rPr>
          <w:rFonts w:ascii="Georgia" w:hAnsi="Georgia"/>
          <w:color w:val="000000"/>
          <w:sz w:val="24"/>
          <w:szCs w:val="24"/>
          <w:lang w:val="en-US"/>
        </w:rPr>
        <w:t>Pris</w:t>
      </w:r>
      <w:r w:rsidR="00BB58C6" w:rsidRPr="00012C17">
        <w:rPr>
          <w:rFonts w:ascii="Georgia" w:hAnsi="Georgia"/>
          <w:color w:val="000000"/>
          <w:sz w:val="24"/>
          <w:szCs w:val="24"/>
          <w:lang w:val="en-US"/>
        </w:rPr>
        <w:t>h</w:t>
      </w:r>
      <w:r w:rsidR="00CE1903" w:rsidRPr="00012C17">
        <w:rPr>
          <w:rFonts w:ascii="Georgia" w:hAnsi="Georgia"/>
          <w:color w:val="000000"/>
          <w:sz w:val="24"/>
          <w:szCs w:val="24"/>
          <w:lang w:val="en-US"/>
        </w:rPr>
        <w:t>tina</w:t>
      </w:r>
      <w:r w:rsidR="007C7C1D" w:rsidRPr="00012C17">
        <w:rPr>
          <w:rFonts w:ascii="Georgia" w:hAnsi="Georgia"/>
          <w:color w:val="000000"/>
          <w:sz w:val="24"/>
          <w:szCs w:val="24"/>
          <w:lang w:val="en-US"/>
        </w:rPr>
        <w:t>.</w:t>
      </w:r>
    </w:p>
    <w:p w:rsidR="006E52F9" w:rsidRPr="00012C17" w:rsidRDefault="006E52F9" w:rsidP="001B11C5">
      <w:pPr>
        <w:spacing w:line="240" w:lineRule="auto"/>
        <w:rPr>
          <w:b/>
          <w:bCs/>
          <w:color w:val="000000"/>
          <w:sz w:val="24"/>
        </w:rPr>
      </w:pPr>
    </w:p>
    <w:p w:rsidR="00BE2327" w:rsidRPr="00012C17" w:rsidRDefault="00A10FD0" w:rsidP="001B11C5">
      <w:pPr>
        <w:spacing w:line="240" w:lineRule="auto"/>
        <w:rPr>
          <w:b/>
          <w:bCs/>
          <w:color w:val="000000"/>
          <w:sz w:val="24"/>
        </w:rPr>
      </w:pPr>
      <w:r w:rsidRPr="00012C17">
        <w:rPr>
          <w:b/>
          <w:bCs/>
          <w:color w:val="000000"/>
          <w:sz w:val="24"/>
        </w:rPr>
        <w:t>Comments submitted by the interested party, Mr</w:t>
      </w:r>
      <w:r w:rsidR="002C5943" w:rsidRPr="00012C17">
        <w:rPr>
          <w:b/>
          <w:bCs/>
          <w:color w:val="000000"/>
          <w:sz w:val="24"/>
        </w:rPr>
        <w:t xml:space="preserve">. </w:t>
      </w:r>
      <w:r w:rsidR="002C714E" w:rsidRPr="00012C17">
        <w:rPr>
          <w:b/>
          <w:bCs/>
          <w:color w:val="000000"/>
          <w:sz w:val="24"/>
        </w:rPr>
        <w:t>Shpend Ahmeti</w:t>
      </w:r>
    </w:p>
    <w:p w:rsidR="00BE2327" w:rsidRPr="00012C17" w:rsidRDefault="00BE2327" w:rsidP="001B11C5">
      <w:pPr>
        <w:spacing w:line="240" w:lineRule="auto"/>
        <w:rPr>
          <w:b/>
          <w:bCs/>
          <w:color w:val="000000"/>
          <w:sz w:val="24"/>
        </w:rPr>
      </w:pPr>
    </w:p>
    <w:p w:rsidR="00AF396C" w:rsidRPr="00012C17" w:rsidRDefault="00A10FD0" w:rsidP="001B11C5">
      <w:pPr>
        <w:numPr>
          <w:ilvl w:val="0"/>
          <w:numId w:val="1"/>
        </w:numPr>
        <w:spacing w:line="240" w:lineRule="auto"/>
        <w:ind w:left="630" w:hanging="630"/>
        <w:rPr>
          <w:rFonts w:cs="Arial"/>
          <w:b/>
          <w:color w:val="000000"/>
          <w:sz w:val="24"/>
        </w:rPr>
      </w:pPr>
      <w:r w:rsidRPr="00012C17">
        <w:rPr>
          <w:rFonts w:cs="Arial"/>
          <w:color w:val="000000"/>
          <w:sz w:val="24"/>
        </w:rPr>
        <w:t>In the capacity of the interested party, Mr. Shpend Ahmeti submitted comments regarding</w:t>
      </w:r>
      <w:r w:rsidR="00AE7AFB" w:rsidRPr="00012C17">
        <w:rPr>
          <w:rFonts w:cs="Arial"/>
          <w:color w:val="000000"/>
          <w:sz w:val="24"/>
        </w:rPr>
        <w:t>:</w:t>
      </w:r>
      <w:r w:rsidRPr="00012C17">
        <w:rPr>
          <w:rFonts w:cs="Arial"/>
          <w:color w:val="000000"/>
          <w:sz w:val="24"/>
        </w:rPr>
        <w:t xml:space="preserve"> </w:t>
      </w:r>
      <w:r w:rsidR="00AE7AFB" w:rsidRPr="00012C17">
        <w:rPr>
          <w:rFonts w:cs="Arial"/>
          <w:color w:val="000000"/>
          <w:sz w:val="24"/>
        </w:rPr>
        <w:t>(</w:t>
      </w:r>
      <w:r w:rsidRPr="00012C17">
        <w:rPr>
          <w:rFonts w:cs="Arial"/>
          <w:color w:val="000000"/>
          <w:sz w:val="24"/>
        </w:rPr>
        <w:t xml:space="preserve">i) the admissibility of the </w:t>
      </w:r>
      <w:r w:rsidR="00BB58C6" w:rsidRPr="00012C17">
        <w:rPr>
          <w:rFonts w:cs="Arial"/>
          <w:color w:val="000000"/>
          <w:sz w:val="24"/>
        </w:rPr>
        <w:t>Referral</w:t>
      </w:r>
      <w:r w:rsidRPr="00012C17">
        <w:rPr>
          <w:rFonts w:cs="Arial"/>
          <w:color w:val="000000"/>
          <w:sz w:val="24"/>
        </w:rPr>
        <w:t xml:space="preserve">; </w:t>
      </w:r>
      <w:r w:rsidR="00AE7AFB" w:rsidRPr="00012C17">
        <w:rPr>
          <w:rFonts w:cs="Arial"/>
          <w:color w:val="000000"/>
          <w:sz w:val="24"/>
        </w:rPr>
        <w:t>(</w:t>
      </w:r>
      <w:r w:rsidRPr="00012C17">
        <w:rPr>
          <w:rFonts w:cs="Arial"/>
          <w:color w:val="000000"/>
          <w:sz w:val="24"/>
        </w:rPr>
        <w:t xml:space="preserve">ii) the jurisdiction of the Constitutional Court to decide on the matter; and </w:t>
      </w:r>
      <w:r w:rsidR="00AE7AFB" w:rsidRPr="00012C17">
        <w:rPr>
          <w:rFonts w:cs="Arial"/>
          <w:color w:val="000000"/>
          <w:sz w:val="24"/>
        </w:rPr>
        <w:t>(</w:t>
      </w:r>
      <w:r w:rsidRPr="00012C17">
        <w:rPr>
          <w:rFonts w:cs="Arial"/>
          <w:color w:val="000000"/>
          <w:sz w:val="24"/>
        </w:rPr>
        <w:t xml:space="preserve">iii) the merits of the </w:t>
      </w:r>
      <w:r w:rsidR="00BB58C6" w:rsidRPr="00012C17">
        <w:rPr>
          <w:rFonts w:cs="Arial"/>
          <w:color w:val="000000"/>
          <w:sz w:val="24"/>
        </w:rPr>
        <w:t>Referral</w:t>
      </w:r>
      <w:r w:rsidR="00EB445D" w:rsidRPr="00012C17">
        <w:rPr>
          <w:bCs/>
          <w:color w:val="000000"/>
          <w:sz w:val="24"/>
        </w:rPr>
        <w:t xml:space="preserve">. </w:t>
      </w:r>
    </w:p>
    <w:p w:rsidR="00C80753" w:rsidRPr="00012C17" w:rsidRDefault="00C80753" w:rsidP="001B11C5">
      <w:pPr>
        <w:spacing w:line="240" w:lineRule="auto"/>
        <w:ind w:left="630"/>
        <w:rPr>
          <w:rFonts w:cs="Arial"/>
          <w:b/>
          <w:color w:val="000000"/>
          <w:sz w:val="24"/>
        </w:rPr>
      </w:pPr>
    </w:p>
    <w:p w:rsidR="00AF396C" w:rsidRPr="00012C17" w:rsidRDefault="00A10FD0" w:rsidP="001B11C5">
      <w:pPr>
        <w:numPr>
          <w:ilvl w:val="0"/>
          <w:numId w:val="1"/>
        </w:numPr>
        <w:spacing w:line="240" w:lineRule="auto"/>
        <w:ind w:left="630" w:hanging="630"/>
        <w:rPr>
          <w:rFonts w:cs="Arial"/>
          <w:b/>
          <w:color w:val="000000"/>
          <w:sz w:val="24"/>
        </w:rPr>
      </w:pPr>
      <w:r w:rsidRPr="00012C17">
        <w:rPr>
          <w:bCs/>
          <w:color w:val="000000"/>
          <w:sz w:val="24"/>
        </w:rPr>
        <w:t>As to the admissibility of the Referral, Mr. Shpend Ahmeti</w:t>
      </w:r>
      <w:r w:rsidR="00BB58C6" w:rsidRPr="00012C17">
        <w:rPr>
          <w:bCs/>
          <w:color w:val="000000"/>
          <w:sz w:val="24"/>
        </w:rPr>
        <w:t xml:space="preserve"> </w:t>
      </w:r>
      <w:r w:rsidRPr="00012C17">
        <w:rPr>
          <w:bCs/>
          <w:color w:val="000000"/>
          <w:sz w:val="24"/>
        </w:rPr>
        <w:t xml:space="preserve">claims </w:t>
      </w:r>
      <w:r w:rsidR="00BB58C6" w:rsidRPr="00012C17">
        <w:rPr>
          <w:bCs/>
          <w:color w:val="000000"/>
          <w:sz w:val="24"/>
        </w:rPr>
        <w:t>that the Referral should</w:t>
      </w:r>
      <w:r w:rsidRPr="00012C17">
        <w:rPr>
          <w:bCs/>
          <w:color w:val="000000"/>
          <w:sz w:val="24"/>
        </w:rPr>
        <w:t xml:space="preserve"> be declared inadmissible because all legal remedies have not been exhausted. In this regard, </w:t>
      </w:r>
      <w:r w:rsidR="00BB58C6" w:rsidRPr="00012C17">
        <w:rPr>
          <w:bCs/>
          <w:color w:val="000000"/>
          <w:sz w:val="24"/>
        </w:rPr>
        <w:t>as to</w:t>
      </w:r>
      <w:r w:rsidRPr="00012C17">
        <w:rPr>
          <w:bCs/>
          <w:color w:val="000000"/>
          <w:sz w:val="24"/>
        </w:rPr>
        <w:t xml:space="preserve"> the allegations of irregularities on the voting day, Mr. Shpend Ahmeti states that the Applicants have failed to </w:t>
      </w:r>
      <w:r w:rsidR="00BB58C6" w:rsidRPr="00012C17">
        <w:rPr>
          <w:bCs/>
          <w:color w:val="000000"/>
          <w:sz w:val="24"/>
        </w:rPr>
        <w:t>exhaust</w:t>
      </w:r>
      <w:r w:rsidRPr="00012C17">
        <w:rPr>
          <w:bCs/>
          <w:color w:val="000000"/>
          <w:sz w:val="24"/>
        </w:rPr>
        <w:t xml:space="preserve"> legal remedies within the legal deadlines set by the Constitution, the Law and the Rules of Procedure of the Court</w:t>
      </w:r>
      <w:r w:rsidR="00FA2C95" w:rsidRPr="00012C17">
        <w:rPr>
          <w:bCs/>
          <w:color w:val="000000"/>
          <w:sz w:val="24"/>
        </w:rPr>
        <w:t>.</w:t>
      </w:r>
    </w:p>
    <w:p w:rsidR="00AF396C" w:rsidRPr="00012C17" w:rsidRDefault="00AF396C" w:rsidP="001B11C5">
      <w:pPr>
        <w:spacing w:line="240" w:lineRule="auto"/>
        <w:ind w:left="630"/>
        <w:rPr>
          <w:rFonts w:cs="Arial"/>
          <w:b/>
          <w:color w:val="000000"/>
          <w:sz w:val="24"/>
        </w:rPr>
      </w:pPr>
    </w:p>
    <w:p w:rsidR="00AF396C" w:rsidRPr="00012C17" w:rsidRDefault="00A10FD0" w:rsidP="001B11C5">
      <w:pPr>
        <w:numPr>
          <w:ilvl w:val="0"/>
          <w:numId w:val="1"/>
        </w:numPr>
        <w:spacing w:line="240" w:lineRule="auto"/>
        <w:ind w:left="630" w:hanging="630"/>
        <w:rPr>
          <w:rFonts w:cs="Arial"/>
          <w:b/>
          <w:color w:val="000000"/>
          <w:sz w:val="24"/>
        </w:rPr>
      </w:pPr>
      <w:r w:rsidRPr="00012C17">
        <w:rPr>
          <w:bCs/>
          <w:color w:val="000000"/>
          <w:sz w:val="24"/>
        </w:rPr>
        <w:t xml:space="preserve">Specifically, he argues that, pursuant to Article 36 of the </w:t>
      </w:r>
      <w:r w:rsidR="00BB58C6" w:rsidRPr="00012C17">
        <w:rPr>
          <w:bCs/>
          <w:color w:val="000000"/>
          <w:sz w:val="24"/>
        </w:rPr>
        <w:t>LGE</w:t>
      </w:r>
      <w:r w:rsidRPr="00012C17">
        <w:rPr>
          <w:bCs/>
          <w:color w:val="000000"/>
          <w:sz w:val="24"/>
        </w:rPr>
        <w:t xml:space="preserve"> and Article 25.1 of </w:t>
      </w:r>
      <w:r w:rsidR="002D7960" w:rsidRPr="00012C17">
        <w:rPr>
          <w:bCs/>
          <w:color w:val="000000"/>
          <w:sz w:val="24"/>
        </w:rPr>
        <w:t>Electio</w:t>
      </w:r>
      <w:r w:rsidR="00AE7AFB" w:rsidRPr="00012C17">
        <w:rPr>
          <w:bCs/>
          <w:color w:val="000000"/>
          <w:sz w:val="24"/>
        </w:rPr>
        <w:t>n</w:t>
      </w:r>
      <w:r w:rsidRPr="00012C17">
        <w:rPr>
          <w:bCs/>
          <w:color w:val="000000"/>
          <w:sz w:val="24"/>
        </w:rPr>
        <w:t xml:space="preserve"> Rule </w:t>
      </w:r>
      <w:r w:rsidR="00AE7AFB" w:rsidRPr="00012C17">
        <w:rPr>
          <w:bCs/>
          <w:color w:val="000000"/>
          <w:sz w:val="24"/>
        </w:rPr>
        <w:t xml:space="preserve">no. </w:t>
      </w:r>
      <w:r w:rsidRPr="00012C17">
        <w:rPr>
          <w:bCs/>
          <w:color w:val="000000"/>
          <w:sz w:val="24"/>
        </w:rPr>
        <w:t xml:space="preserve">9/2013, the Applicants, regarding their allegations of irregularities on the Election Day, should have </w:t>
      </w:r>
      <w:r w:rsidR="005624AA" w:rsidRPr="00012C17">
        <w:rPr>
          <w:bCs/>
          <w:color w:val="000000"/>
          <w:sz w:val="24"/>
        </w:rPr>
        <w:t xml:space="preserve">had </w:t>
      </w:r>
      <w:r w:rsidRPr="00012C17">
        <w:rPr>
          <w:bCs/>
          <w:color w:val="000000"/>
          <w:sz w:val="24"/>
        </w:rPr>
        <w:t>complained within 24 hours after closure of the polling stations, not after the announcement of the final results by the CEC</w:t>
      </w:r>
      <w:r w:rsidR="008A2D4D" w:rsidRPr="00012C17">
        <w:rPr>
          <w:bCs/>
          <w:color w:val="000000"/>
          <w:sz w:val="24"/>
        </w:rPr>
        <w:t>.</w:t>
      </w:r>
    </w:p>
    <w:p w:rsidR="00AF396C" w:rsidRPr="00012C17" w:rsidRDefault="00AF396C" w:rsidP="001B11C5">
      <w:pPr>
        <w:spacing w:line="240" w:lineRule="auto"/>
        <w:rPr>
          <w:bCs/>
          <w:color w:val="000000"/>
          <w:sz w:val="24"/>
        </w:rPr>
      </w:pPr>
    </w:p>
    <w:p w:rsidR="00AF396C" w:rsidRPr="00012C17" w:rsidRDefault="00BB58C6" w:rsidP="001B11C5">
      <w:pPr>
        <w:numPr>
          <w:ilvl w:val="0"/>
          <w:numId w:val="1"/>
        </w:numPr>
        <w:spacing w:line="240" w:lineRule="auto"/>
        <w:ind w:left="630" w:hanging="630"/>
        <w:rPr>
          <w:rFonts w:cs="Arial"/>
          <w:b/>
          <w:color w:val="000000"/>
          <w:sz w:val="24"/>
        </w:rPr>
      </w:pPr>
      <w:r w:rsidRPr="00012C17">
        <w:rPr>
          <w:bCs/>
          <w:color w:val="000000"/>
          <w:sz w:val="24"/>
        </w:rPr>
        <w:t>In addition</w:t>
      </w:r>
      <w:r w:rsidR="00A10FD0" w:rsidRPr="00012C17">
        <w:rPr>
          <w:bCs/>
          <w:color w:val="000000"/>
          <w:sz w:val="24"/>
        </w:rPr>
        <w:t xml:space="preserve">, Mr. Shpend Ahmeti argues that the request for repetition of the </w:t>
      </w:r>
      <w:r w:rsidRPr="00012C17">
        <w:rPr>
          <w:bCs/>
          <w:color w:val="000000"/>
          <w:sz w:val="24"/>
        </w:rPr>
        <w:t>second round of elections</w:t>
      </w:r>
      <w:r w:rsidR="00A10FD0" w:rsidRPr="00012C17">
        <w:rPr>
          <w:bCs/>
          <w:color w:val="000000"/>
          <w:sz w:val="24"/>
        </w:rPr>
        <w:t xml:space="preserve"> has not been filed before the court</w:t>
      </w:r>
      <w:r w:rsidRPr="00012C17">
        <w:rPr>
          <w:bCs/>
          <w:color w:val="000000"/>
          <w:sz w:val="24"/>
        </w:rPr>
        <w:t xml:space="preserve"> instances</w:t>
      </w:r>
      <w:r w:rsidR="00A10FD0" w:rsidRPr="00012C17">
        <w:rPr>
          <w:bCs/>
          <w:color w:val="000000"/>
          <w:sz w:val="24"/>
        </w:rPr>
        <w:t xml:space="preserve">. In the latter, the </w:t>
      </w:r>
      <w:r w:rsidRPr="00012C17">
        <w:rPr>
          <w:bCs/>
          <w:color w:val="000000"/>
          <w:sz w:val="24"/>
        </w:rPr>
        <w:t>A</w:t>
      </w:r>
      <w:r w:rsidR="00A10FD0" w:rsidRPr="00012C17">
        <w:rPr>
          <w:bCs/>
          <w:color w:val="000000"/>
          <w:sz w:val="24"/>
        </w:rPr>
        <w:t>pplicants requested only the recount of votes. Mr. Shpend Ahmet</w:t>
      </w:r>
      <w:r w:rsidRPr="00012C17">
        <w:rPr>
          <w:bCs/>
          <w:color w:val="000000"/>
          <w:sz w:val="24"/>
        </w:rPr>
        <w:t>i claims that the Applicant can</w:t>
      </w:r>
      <w:r w:rsidR="00A10FD0" w:rsidRPr="00012C17">
        <w:rPr>
          <w:bCs/>
          <w:color w:val="000000"/>
          <w:sz w:val="24"/>
        </w:rPr>
        <w:t xml:space="preserve">not ask the Court for the repetition of the </w:t>
      </w:r>
      <w:r w:rsidRPr="00012C17">
        <w:rPr>
          <w:bCs/>
          <w:color w:val="000000"/>
          <w:sz w:val="24"/>
        </w:rPr>
        <w:t>second round of elections</w:t>
      </w:r>
      <w:r w:rsidR="00A10FD0" w:rsidRPr="00012C17">
        <w:rPr>
          <w:bCs/>
          <w:color w:val="000000"/>
          <w:sz w:val="24"/>
        </w:rPr>
        <w:t xml:space="preserve"> if </w:t>
      </w:r>
      <w:r w:rsidR="005624AA" w:rsidRPr="00012C17">
        <w:rPr>
          <w:bCs/>
          <w:color w:val="000000"/>
          <w:sz w:val="24"/>
        </w:rPr>
        <w:t>he has</w:t>
      </w:r>
      <w:r w:rsidR="00A10FD0" w:rsidRPr="00012C17">
        <w:rPr>
          <w:bCs/>
          <w:color w:val="000000"/>
          <w:sz w:val="24"/>
        </w:rPr>
        <w:t xml:space="preserve"> not requested </w:t>
      </w:r>
      <w:r w:rsidR="005624AA" w:rsidRPr="00012C17">
        <w:rPr>
          <w:bCs/>
          <w:color w:val="000000"/>
          <w:sz w:val="24"/>
        </w:rPr>
        <w:t xml:space="preserve">it from </w:t>
      </w:r>
      <w:r w:rsidR="00A10FD0" w:rsidRPr="00012C17">
        <w:rPr>
          <w:bCs/>
          <w:color w:val="000000"/>
          <w:sz w:val="24"/>
        </w:rPr>
        <w:t xml:space="preserve">the other instances of </w:t>
      </w:r>
      <w:r w:rsidRPr="00012C17">
        <w:rPr>
          <w:bCs/>
          <w:color w:val="000000"/>
          <w:sz w:val="24"/>
        </w:rPr>
        <w:t xml:space="preserve">the </w:t>
      </w:r>
      <w:r w:rsidR="00A10FD0" w:rsidRPr="00012C17">
        <w:rPr>
          <w:bCs/>
          <w:color w:val="000000"/>
          <w:sz w:val="24"/>
        </w:rPr>
        <w:t>regular courts</w:t>
      </w:r>
      <w:r w:rsidR="00EF4270" w:rsidRPr="00012C17">
        <w:rPr>
          <w:bCs/>
          <w:color w:val="000000"/>
          <w:sz w:val="24"/>
        </w:rPr>
        <w:t xml:space="preserve">. </w:t>
      </w:r>
    </w:p>
    <w:p w:rsidR="00AF396C" w:rsidRPr="00012C17" w:rsidRDefault="00AF396C" w:rsidP="001B11C5">
      <w:pPr>
        <w:spacing w:line="240" w:lineRule="auto"/>
        <w:rPr>
          <w:bCs/>
          <w:color w:val="000000"/>
          <w:sz w:val="24"/>
        </w:rPr>
      </w:pPr>
    </w:p>
    <w:p w:rsidR="00FA2C95" w:rsidRPr="00012C17" w:rsidRDefault="00A10FD0" w:rsidP="001B11C5">
      <w:pPr>
        <w:numPr>
          <w:ilvl w:val="0"/>
          <w:numId w:val="1"/>
        </w:numPr>
        <w:spacing w:line="240" w:lineRule="auto"/>
        <w:ind w:left="630" w:hanging="630"/>
        <w:rPr>
          <w:rFonts w:cs="Arial"/>
          <w:b/>
          <w:color w:val="000000"/>
          <w:sz w:val="24"/>
        </w:rPr>
      </w:pPr>
      <w:r w:rsidRPr="00012C17">
        <w:rPr>
          <w:bCs/>
          <w:color w:val="000000"/>
          <w:sz w:val="24"/>
        </w:rPr>
        <w:t>In addition</w:t>
      </w:r>
      <w:r w:rsidR="00BB58C6" w:rsidRPr="00012C17">
        <w:rPr>
          <w:bCs/>
          <w:color w:val="000000"/>
          <w:sz w:val="24"/>
        </w:rPr>
        <w:t>, as</w:t>
      </w:r>
      <w:r w:rsidRPr="00012C17">
        <w:rPr>
          <w:bCs/>
          <w:color w:val="000000"/>
          <w:sz w:val="24"/>
        </w:rPr>
        <w:t xml:space="preserve"> to the admissibility of the </w:t>
      </w:r>
      <w:r w:rsidR="00BB58C6" w:rsidRPr="00012C17">
        <w:rPr>
          <w:bCs/>
          <w:color w:val="000000"/>
          <w:sz w:val="24"/>
        </w:rPr>
        <w:t>Referral</w:t>
      </w:r>
      <w:r w:rsidRPr="00012C17">
        <w:rPr>
          <w:bCs/>
          <w:color w:val="000000"/>
          <w:sz w:val="24"/>
        </w:rPr>
        <w:t xml:space="preserve"> and the exhaustion of </w:t>
      </w:r>
      <w:r w:rsidR="00BB58C6" w:rsidRPr="00012C17">
        <w:rPr>
          <w:bCs/>
          <w:color w:val="000000"/>
          <w:sz w:val="24"/>
        </w:rPr>
        <w:t xml:space="preserve">other legal </w:t>
      </w:r>
      <w:r w:rsidRPr="00012C17">
        <w:rPr>
          <w:bCs/>
          <w:color w:val="000000"/>
          <w:sz w:val="24"/>
        </w:rPr>
        <w:t>remedies, Mr. Shpend Ahmeti claims that the Referral is also manifestly ill-founded and must be declared as such</w:t>
      </w:r>
      <w:r w:rsidR="005624AA" w:rsidRPr="00012C17">
        <w:rPr>
          <w:bCs/>
          <w:color w:val="000000"/>
          <w:sz w:val="24"/>
        </w:rPr>
        <w:t>,</w:t>
      </w:r>
      <w:r w:rsidRPr="00012C17">
        <w:rPr>
          <w:bCs/>
          <w:color w:val="000000"/>
          <w:sz w:val="24"/>
        </w:rPr>
        <w:t xml:space="preserve"> because the Applicants are not subject to violations of fundamental rights and freedoms guaranteed by the Constitution or because they</w:t>
      </w:r>
      <w:r w:rsidR="00AE7AFB" w:rsidRPr="00012C17">
        <w:rPr>
          <w:bCs/>
          <w:color w:val="000000"/>
          <w:sz w:val="24"/>
        </w:rPr>
        <w:t xml:space="preserve"> had</w:t>
      </w:r>
      <w:r w:rsidRPr="00012C17">
        <w:rPr>
          <w:bCs/>
          <w:color w:val="000000"/>
          <w:sz w:val="24"/>
        </w:rPr>
        <w:t xml:space="preserve"> failed to </w:t>
      </w:r>
      <w:r w:rsidR="00BB58C6" w:rsidRPr="00012C17">
        <w:rPr>
          <w:bCs/>
          <w:color w:val="000000"/>
          <w:sz w:val="24"/>
        </w:rPr>
        <w:t xml:space="preserve">sufficiently </w:t>
      </w:r>
      <w:r w:rsidRPr="00012C17">
        <w:rPr>
          <w:bCs/>
          <w:color w:val="000000"/>
          <w:sz w:val="24"/>
        </w:rPr>
        <w:t>reason such</w:t>
      </w:r>
      <w:r w:rsidR="00BB58C6" w:rsidRPr="00012C17">
        <w:rPr>
          <w:bCs/>
          <w:color w:val="000000"/>
          <w:sz w:val="24"/>
        </w:rPr>
        <w:t xml:space="preserve"> violations</w:t>
      </w:r>
      <w:r w:rsidR="00AE7AFB" w:rsidRPr="00012C17">
        <w:rPr>
          <w:bCs/>
          <w:color w:val="000000"/>
          <w:sz w:val="24"/>
        </w:rPr>
        <w:t xml:space="preserve"> before the Court</w:t>
      </w:r>
      <w:r w:rsidR="00FA2C95" w:rsidRPr="00012C17">
        <w:rPr>
          <w:bCs/>
          <w:color w:val="000000"/>
          <w:sz w:val="24"/>
        </w:rPr>
        <w:t xml:space="preserve">. </w:t>
      </w:r>
    </w:p>
    <w:p w:rsidR="008918F1" w:rsidRPr="00012C17" w:rsidRDefault="008918F1" w:rsidP="001B11C5">
      <w:pPr>
        <w:spacing w:line="240" w:lineRule="auto"/>
        <w:rPr>
          <w:rFonts w:cs="Arial"/>
          <w:b/>
          <w:color w:val="000000"/>
          <w:sz w:val="24"/>
        </w:rPr>
      </w:pPr>
    </w:p>
    <w:p w:rsidR="008918F1" w:rsidRPr="00012C17" w:rsidRDefault="00A10FD0" w:rsidP="001B11C5">
      <w:pPr>
        <w:numPr>
          <w:ilvl w:val="0"/>
          <w:numId w:val="1"/>
        </w:numPr>
        <w:spacing w:line="240" w:lineRule="auto"/>
        <w:ind w:left="630" w:hanging="630"/>
        <w:rPr>
          <w:rStyle w:val="CommentReference"/>
          <w:rFonts w:cs="Arial"/>
          <w:b/>
          <w:color w:val="000000"/>
          <w:sz w:val="24"/>
          <w:szCs w:val="24"/>
        </w:rPr>
      </w:pPr>
      <w:r w:rsidRPr="00012C17">
        <w:rPr>
          <w:rFonts w:cs="Arial"/>
          <w:color w:val="000000"/>
          <w:sz w:val="24"/>
        </w:rPr>
        <w:t xml:space="preserve">Regarding the jurisdiction </w:t>
      </w:r>
      <w:r w:rsidRPr="00012C17">
        <w:rPr>
          <w:bCs/>
          <w:color w:val="000000"/>
          <w:sz w:val="24"/>
        </w:rPr>
        <w:t>of</w:t>
      </w:r>
      <w:r w:rsidRPr="00012C17">
        <w:rPr>
          <w:rFonts w:cs="Arial"/>
          <w:color w:val="000000"/>
          <w:sz w:val="24"/>
        </w:rPr>
        <w:t xml:space="preserve"> the Constitutional Court, </w:t>
      </w:r>
      <w:r w:rsidR="00BB58C6" w:rsidRPr="00012C17">
        <w:rPr>
          <w:rFonts w:cs="Arial"/>
          <w:color w:val="000000"/>
          <w:sz w:val="24"/>
        </w:rPr>
        <w:t xml:space="preserve">Mr. </w:t>
      </w:r>
      <w:r w:rsidRPr="00012C17">
        <w:rPr>
          <w:rFonts w:cs="Arial"/>
          <w:color w:val="000000"/>
          <w:sz w:val="24"/>
        </w:rPr>
        <w:t xml:space="preserve">Shpend Ahmeti </w:t>
      </w:r>
      <w:r w:rsidR="00BB58C6" w:rsidRPr="00012C17">
        <w:rPr>
          <w:rFonts w:cs="Arial"/>
          <w:color w:val="000000"/>
          <w:sz w:val="24"/>
        </w:rPr>
        <w:t>alleges</w:t>
      </w:r>
      <w:r w:rsidRPr="00012C17">
        <w:rPr>
          <w:rFonts w:cs="Arial"/>
          <w:color w:val="000000"/>
          <w:sz w:val="24"/>
        </w:rPr>
        <w:t xml:space="preserve"> that the latter, based on Article 113.7 of the Constitution, does not have the </w:t>
      </w:r>
      <w:r w:rsidR="004F43F3" w:rsidRPr="00012C17">
        <w:rPr>
          <w:rFonts w:cs="Arial"/>
          <w:color w:val="000000"/>
          <w:sz w:val="24"/>
        </w:rPr>
        <w:t>jurisdiction</w:t>
      </w:r>
      <w:r w:rsidRPr="00012C17">
        <w:rPr>
          <w:rFonts w:cs="Arial"/>
          <w:color w:val="000000"/>
          <w:sz w:val="24"/>
        </w:rPr>
        <w:t xml:space="preserve"> to assess the constitutionality of the </w:t>
      </w:r>
      <w:r w:rsidR="002D7960" w:rsidRPr="00012C17">
        <w:rPr>
          <w:rFonts w:cs="Arial"/>
          <w:color w:val="000000"/>
          <w:sz w:val="24"/>
        </w:rPr>
        <w:t>electoral</w:t>
      </w:r>
      <w:r w:rsidRPr="00012C17">
        <w:rPr>
          <w:rFonts w:cs="Arial"/>
          <w:color w:val="000000"/>
          <w:sz w:val="24"/>
        </w:rPr>
        <w:t xml:space="preserve"> process. This constitutional provision, according to Mr. Shpend Ahmeti</w:t>
      </w:r>
      <w:r w:rsidR="004F43F3" w:rsidRPr="00012C17">
        <w:rPr>
          <w:rFonts w:cs="Arial"/>
          <w:color w:val="000000"/>
          <w:sz w:val="24"/>
        </w:rPr>
        <w:t>,</w:t>
      </w:r>
      <w:r w:rsidRPr="00012C17">
        <w:rPr>
          <w:rFonts w:cs="Arial"/>
          <w:color w:val="000000"/>
          <w:sz w:val="24"/>
        </w:rPr>
        <w:t xml:space="preserve"> limits the Court </w:t>
      </w:r>
      <w:r w:rsidR="004F43F3" w:rsidRPr="00012C17">
        <w:rPr>
          <w:rFonts w:cs="Arial"/>
          <w:color w:val="000000"/>
          <w:sz w:val="24"/>
        </w:rPr>
        <w:t>regarding the referrals</w:t>
      </w:r>
      <w:r w:rsidRPr="00012C17">
        <w:rPr>
          <w:rFonts w:cs="Arial"/>
          <w:color w:val="000000"/>
          <w:sz w:val="24"/>
        </w:rPr>
        <w:t xml:space="preserve"> filed by </w:t>
      </w:r>
      <w:r w:rsidR="005624AA" w:rsidRPr="00012C17">
        <w:rPr>
          <w:rFonts w:cs="Arial"/>
          <w:color w:val="000000"/>
          <w:sz w:val="24"/>
        </w:rPr>
        <w:t xml:space="preserve">the </w:t>
      </w:r>
      <w:r w:rsidRPr="00012C17">
        <w:rPr>
          <w:rFonts w:cs="Arial"/>
          <w:color w:val="000000"/>
          <w:sz w:val="24"/>
        </w:rPr>
        <w:t xml:space="preserve">individuals </w:t>
      </w:r>
      <w:r w:rsidR="004F43F3" w:rsidRPr="00012C17">
        <w:rPr>
          <w:rFonts w:cs="Arial"/>
          <w:color w:val="000000"/>
          <w:sz w:val="24"/>
        </w:rPr>
        <w:t>“</w:t>
      </w:r>
      <w:r w:rsidRPr="00012C17">
        <w:rPr>
          <w:rFonts w:cs="Arial"/>
          <w:i/>
          <w:iCs/>
          <w:color w:val="000000"/>
          <w:sz w:val="24"/>
        </w:rPr>
        <w:t xml:space="preserve">only in the area of the protection of individual </w:t>
      </w:r>
      <w:r w:rsidR="004F43F3" w:rsidRPr="00012C17">
        <w:rPr>
          <w:rFonts w:cs="Arial"/>
          <w:i/>
          <w:iCs/>
          <w:color w:val="000000"/>
          <w:sz w:val="24"/>
        </w:rPr>
        <w:t xml:space="preserve">rights and </w:t>
      </w:r>
      <w:r w:rsidRPr="00012C17">
        <w:rPr>
          <w:rFonts w:cs="Arial"/>
          <w:i/>
          <w:iCs/>
          <w:color w:val="000000"/>
          <w:sz w:val="24"/>
        </w:rPr>
        <w:t>freedoms guaranteed by the Constitution</w:t>
      </w:r>
      <w:r w:rsidR="004F43F3" w:rsidRPr="00012C17">
        <w:rPr>
          <w:rFonts w:cs="Arial"/>
          <w:i/>
          <w:color w:val="000000"/>
          <w:sz w:val="24"/>
        </w:rPr>
        <w:t>”</w:t>
      </w:r>
      <w:r w:rsidR="001A519F" w:rsidRPr="00012C17">
        <w:rPr>
          <w:rFonts w:cs="Arial"/>
          <w:i/>
          <w:color w:val="000000"/>
          <w:sz w:val="24"/>
        </w:rPr>
        <w:t>.</w:t>
      </w:r>
    </w:p>
    <w:p w:rsidR="001A519F" w:rsidRPr="00012C17" w:rsidRDefault="001A519F" w:rsidP="001B11C5">
      <w:pPr>
        <w:spacing w:line="240" w:lineRule="auto"/>
        <w:rPr>
          <w:rFonts w:cs="Arial"/>
          <w:b/>
          <w:color w:val="000000"/>
          <w:sz w:val="24"/>
        </w:rPr>
      </w:pPr>
    </w:p>
    <w:p w:rsidR="001A519F" w:rsidRPr="00012C17" w:rsidRDefault="004F43F3" w:rsidP="001B11C5">
      <w:pPr>
        <w:numPr>
          <w:ilvl w:val="0"/>
          <w:numId w:val="1"/>
        </w:numPr>
        <w:spacing w:line="240" w:lineRule="auto"/>
        <w:ind w:left="630" w:hanging="630"/>
        <w:rPr>
          <w:rFonts w:cs="Arial"/>
          <w:b/>
          <w:color w:val="000000"/>
          <w:sz w:val="24"/>
        </w:rPr>
      </w:pPr>
      <w:r w:rsidRPr="00012C17">
        <w:rPr>
          <w:rFonts w:cs="Arial"/>
          <w:color w:val="000000"/>
          <w:sz w:val="24"/>
        </w:rPr>
        <w:lastRenderedPageBreak/>
        <w:t>In addition</w:t>
      </w:r>
      <w:r w:rsidR="00A10FD0" w:rsidRPr="00012C17">
        <w:rPr>
          <w:rFonts w:cs="Arial"/>
          <w:color w:val="000000"/>
          <w:sz w:val="24"/>
        </w:rPr>
        <w:t xml:space="preserve">, with regard to the </w:t>
      </w:r>
      <w:r w:rsidR="006C10AC" w:rsidRPr="00012C17">
        <w:rPr>
          <w:rFonts w:cs="Arial"/>
          <w:color w:val="000000"/>
          <w:sz w:val="24"/>
        </w:rPr>
        <w:t xml:space="preserve">issue </w:t>
      </w:r>
      <w:r w:rsidR="00A10FD0" w:rsidRPr="00012C17">
        <w:rPr>
          <w:rFonts w:cs="Arial"/>
          <w:color w:val="000000"/>
          <w:sz w:val="24"/>
        </w:rPr>
        <w:t xml:space="preserve">of the jurisdiction of the Court, </w:t>
      </w:r>
      <w:r w:rsidRPr="00012C17">
        <w:rPr>
          <w:rFonts w:cs="Arial"/>
          <w:color w:val="000000"/>
          <w:sz w:val="24"/>
        </w:rPr>
        <w:t xml:space="preserve">Mr. </w:t>
      </w:r>
      <w:r w:rsidR="00A10FD0" w:rsidRPr="00012C17">
        <w:rPr>
          <w:rFonts w:cs="Arial"/>
          <w:color w:val="000000"/>
          <w:sz w:val="24"/>
        </w:rPr>
        <w:t xml:space="preserve">Shpend Ahmeti states that it is necessary to make </w:t>
      </w:r>
      <w:r w:rsidRPr="00012C17">
        <w:rPr>
          <w:rFonts w:cs="Arial"/>
          <w:color w:val="000000"/>
          <w:sz w:val="24"/>
        </w:rPr>
        <w:t>“</w:t>
      </w:r>
      <w:r w:rsidR="00A10FD0" w:rsidRPr="00012C17">
        <w:rPr>
          <w:rFonts w:cs="Arial"/>
          <w:i/>
          <w:iCs/>
          <w:color w:val="000000"/>
          <w:sz w:val="24"/>
        </w:rPr>
        <w:t xml:space="preserve">the distinction between constitutional </w:t>
      </w:r>
      <w:r w:rsidRPr="00012C17">
        <w:rPr>
          <w:rFonts w:cs="Arial"/>
          <w:i/>
          <w:iCs/>
          <w:color w:val="000000"/>
          <w:sz w:val="24"/>
        </w:rPr>
        <w:t>adjudication</w:t>
      </w:r>
      <w:r w:rsidR="00A10FD0" w:rsidRPr="00012C17">
        <w:rPr>
          <w:rFonts w:cs="Arial"/>
          <w:i/>
          <w:iCs/>
          <w:color w:val="000000"/>
          <w:sz w:val="24"/>
        </w:rPr>
        <w:t xml:space="preserve"> and adjudication by the </w:t>
      </w:r>
      <w:r w:rsidRPr="00012C17">
        <w:rPr>
          <w:rFonts w:cs="Arial"/>
          <w:i/>
          <w:iCs/>
          <w:color w:val="000000"/>
          <w:sz w:val="24"/>
        </w:rPr>
        <w:t xml:space="preserve">authorities </w:t>
      </w:r>
      <w:r w:rsidR="00A10FD0" w:rsidRPr="00012C17">
        <w:rPr>
          <w:rFonts w:cs="Arial"/>
          <w:i/>
          <w:iCs/>
          <w:color w:val="000000"/>
          <w:sz w:val="24"/>
        </w:rPr>
        <w:t>of the regular court system</w:t>
      </w:r>
      <w:r w:rsidRPr="00012C17">
        <w:rPr>
          <w:rFonts w:cs="Arial"/>
          <w:i/>
          <w:iCs/>
          <w:color w:val="000000"/>
          <w:sz w:val="24"/>
        </w:rPr>
        <w:t>”.</w:t>
      </w:r>
      <w:r w:rsidR="00A10FD0" w:rsidRPr="00012C17">
        <w:rPr>
          <w:rFonts w:cs="Arial"/>
          <w:color w:val="000000"/>
          <w:sz w:val="24"/>
        </w:rPr>
        <w:t xml:space="preserve"> In this regard, he </w:t>
      </w:r>
      <w:r w:rsidRPr="00012C17">
        <w:rPr>
          <w:rFonts w:cs="Arial"/>
          <w:color w:val="000000"/>
          <w:sz w:val="24"/>
        </w:rPr>
        <w:t>emphasizes</w:t>
      </w:r>
      <w:r w:rsidR="00A10FD0" w:rsidRPr="00012C17">
        <w:rPr>
          <w:rFonts w:cs="Arial"/>
          <w:color w:val="000000"/>
          <w:sz w:val="24"/>
        </w:rPr>
        <w:t xml:space="preserve"> that the main </w:t>
      </w:r>
      <w:r w:rsidRPr="00012C17">
        <w:rPr>
          <w:rFonts w:cs="Arial"/>
          <w:color w:val="000000"/>
          <w:sz w:val="24"/>
        </w:rPr>
        <w:t>allegation</w:t>
      </w:r>
      <w:r w:rsidR="00A10FD0" w:rsidRPr="00012C17">
        <w:rPr>
          <w:rFonts w:cs="Arial"/>
          <w:color w:val="000000"/>
          <w:sz w:val="24"/>
        </w:rPr>
        <w:t xml:space="preserve"> of the </w:t>
      </w:r>
      <w:r w:rsidRPr="00012C17">
        <w:rPr>
          <w:rFonts w:cs="Arial"/>
          <w:color w:val="000000"/>
          <w:sz w:val="24"/>
        </w:rPr>
        <w:t>Applicants</w:t>
      </w:r>
      <w:r w:rsidR="00A10FD0" w:rsidRPr="00012C17">
        <w:rPr>
          <w:rFonts w:cs="Arial"/>
          <w:color w:val="000000"/>
          <w:sz w:val="24"/>
        </w:rPr>
        <w:t xml:space="preserve"> is related to the arguments of the absolute invalidity of the </w:t>
      </w:r>
      <w:r w:rsidRPr="00012C17">
        <w:rPr>
          <w:rFonts w:cs="Arial"/>
          <w:color w:val="000000"/>
          <w:sz w:val="24"/>
        </w:rPr>
        <w:t>s</w:t>
      </w:r>
      <w:r w:rsidR="00A10FD0" w:rsidRPr="00012C17">
        <w:rPr>
          <w:rFonts w:cs="Arial"/>
          <w:color w:val="000000"/>
          <w:sz w:val="24"/>
        </w:rPr>
        <w:t xml:space="preserve">econd </w:t>
      </w:r>
      <w:r w:rsidRPr="00012C17">
        <w:rPr>
          <w:rFonts w:cs="Arial"/>
          <w:color w:val="000000"/>
          <w:sz w:val="24"/>
        </w:rPr>
        <w:t>Decision</w:t>
      </w:r>
      <w:r w:rsidR="00A10FD0" w:rsidRPr="00012C17">
        <w:rPr>
          <w:rFonts w:cs="Arial"/>
          <w:color w:val="000000"/>
          <w:sz w:val="24"/>
        </w:rPr>
        <w:t xml:space="preserve"> of the Supreme Court</w:t>
      </w:r>
      <w:r w:rsidR="003532BE" w:rsidRPr="00012C17">
        <w:rPr>
          <w:rFonts w:cs="Arial"/>
          <w:color w:val="000000"/>
          <w:sz w:val="24"/>
        </w:rPr>
        <w:t>, respectively Judgment</w:t>
      </w:r>
      <w:r w:rsidR="00A10FD0" w:rsidRPr="00012C17">
        <w:rPr>
          <w:rFonts w:cs="Arial"/>
          <w:color w:val="000000"/>
          <w:sz w:val="24"/>
        </w:rPr>
        <w:t xml:space="preserve"> [A</w:t>
      </w:r>
      <w:r w:rsidR="006634E8" w:rsidRPr="00012C17">
        <w:rPr>
          <w:rFonts w:cs="Arial"/>
          <w:color w:val="000000"/>
          <w:sz w:val="24"/>
        </w:rPr>
        <w:t>.</w:t>
      </w:r>
      <w:r w:rsidR="00A10FD0" w:rsidRPr="00012C17">
        <w:rPr>
          <w:rFonts w:cs="Arial"/>
          <w:color w:val="000000"/>
          <w:sz w:val="24"/>
        </w:rPr>
        <w:t>A</w:t>
      </w:r>
      <w:r w:rsidR="006634E8" w:rsidRPr="00012C17">
        <w:rPr>
          <w:rFonts w:cs="Arial"/>
          <w:color w:val="000000"/>
          <w:sz w:val="24"/>
        </w:rPr>
        <w:t xml:space="preserve">. </w:t>
      </w:r>
      <w:r w:rsidR="00A10FD0" w:rsidRPr="00012C17">
        <w:rPr>
          <w:rFonts w:cs="Arial"/>
          <w:color w:val="000000"/>
          <w:sz w:val="24"/>
        </w:rPr>
        <w:t xml:space="preserve">U.ZH. </w:t>
      </w:r>
      <w:r w:rsidRPr="00012C17">
        <w:rPr>
          <w:rFonts w:cs="Arial"/>
          <w:color w:val="000000"/>
          <w:sz w:val="24"/>
        </w:rPr>
        <w:t>N</w:t>
      </w:r>
      <w:r w:rsidR="00A10FD0" w:rsidRPr="00012C17">
        <w:rPr>
          <w:rFonts w:cs="Arial"/>
          <w:color w:val="000000"/>
          <w:sz w:val="24"/>
        </w:rPr>
        <w:t>o. 62/2017] and the silence of the opposing party [</w:t>
      </w:r>
      <w:r w:rsidR="005624AA" w:rsidRPr="00012C17">
        <w:rPr>
          <w:rFonts w:cs="Arial"/>
          <w:color w:val="000000"/>
          <w:sz w:val="24"/>
        </w:rPr>
        <w:t xml:space="preserve">the </w:t>
      </w:r>
      <w:r w:rsidR="00A10FD0" w:rsidRPr="00012C17">
        <w:rPr>
          <w:rFonts w:cs="Arial"/>
          <w:color w:val="000000"/>
          <w:sz w:val="24"/>
        </w:rPr>
        <w:t>Supreme Court] in relation to the Applicants</w:t>
      </w:r>
      <w:r w:rsidRPr="00012C17">
        <w:rPr>
          <w:rFonts w:cs="Arial"/>
          <w:color w:val="000000"/>
          <w:sz w:val="24"/>
        </w:rPr>
        <w:t>’</w:t>
      </w:r>
      <w:r w:rsidR="00A10FD0" w:rsidRPr="00012C17">
        <w:rPr>
          <w:rFonts w:cs="Arial"/>
          <w:color w:val="000000"/>
          <w:sz w:val="24"/>
        </w:rPr>
        <w:t xml:space="preserve"> submissions regarding alleged constitutional violations, </w:t>
      </w:r>
      <w:r w:rsidRPr="00012C17">
        <w:rPr>
          <w:rFonts w:cs="Arial"/>
          <w:color w:val="000000"/>
          <w:sz w:val="24"/>
        </w:rPr>
        <w:t>namely</w:t>
      </w:r>
      <w:r w:rsidR="00A10FD0" w:rsidRPr="00012C17">
        <w:rPr>
          <w:rFonts w:cs="Arial"/>
          <w:color w:val="000000"/>
          <w:sz w:val="24"/>
        </w:rPr>
        <w:t xml:space="preserve"> violation of Article 45 of the Constitution. According to Mr. Shpend Ahmeti, while the Constitutional Court </w:t>
      </w:r>
      <w:r w:rsidRPr="00012C17">
        <w:rPr>
          <w:rFonts w:cs="Arial"/>
          <w:color w:val="000000"/>
          <w:sz w:val="24"/>
        </w:rPr>
        <w:t>makes the constitutional review</w:t>
      </w:r>
      <w:r w:rsidR="00A10FD0" w:rsidRPr="00012C17">
        <w:rPr>
          <w:rFonts w:cs="Arial"/>
          <w:color w:val="000000"/>
          <w:sz w:val="24"/>
        </w:rPr>
        <w:t xml:space="preserve">, </w:t>
      </w:r>
      <w:r w:rsidRPr="00012C17">
        <w:rPr>
          <w:rFonts w:cs="Arial"/>
          <w:color w:val="000000"/>
          <w:sz w:val="24"/>
        </w:rPr>
        <w:t xml:space="preserve">the </w:t>
      </w:r>
      <w:r w:rsidR="00A10FD0" w:rsidRPr="00012C17">
        <w:rPr>
          <w:rFonts w:cs="Arial"/>
          <w:color w:val="000000"/>
          <w:sz w:val="24"/>
        </w:rPr>
        <w:t xml:space="preserve">regular courts </w:t>
      </w:r>
      <w:r w:rsidRPr="00012C17">
        <w:rPr>
          <w:rFonts w:cs="Arial"/>
          <w:color w:val="000000"/>
          <w:sz w:val="24"/>
        </w:rPr>
        <w:t>assess</w:t>
      </w:r>
      <w:r w:rsidR="00A10FD0" w:rsidRPr="00012C17">
        <w:rPr>
          <w:rFonts w:cs="Arial"/>
          <w:color w:val="000000"/>
          <w:sz w:val="24"/>
        </w:rPr>
        <w:t xml:space="preserve"> the </w:t>
      </w:r>
      <w:r w:rsidRPr="00012C17">
        <w:rPr>
          <w:rFonts w:cs="Arial"/>
          <w:color w:val="000000"/>
          <w:sz w:val="24"/>
        </w:rPr>
        <w:t>legality</w:t>
      </w:r>
      <w:r w:rsidR="00A10FD0" w:rsidRPr="00012C17">
        <w:rPr>
          <w:rFonts w:cs="Arial"/>
          <w:color w:val="000000"/>
          <w:sz w:val="24"/>
        </w:rPr>
        <w:t xml:space="preserve"> when deciding on the concrete case. In this regard, Mr. Shpend Ahmeti states that the allegation of absolute invalidity of the </w:t>
      </w:r>
      <w:r w:rsidR="002D7960" w:rsidRPr="00012C17">
        <w:rPr>
          <w:rFonts w:cs="Arial"/>
          <w:color w:val="000000"/>
          <w:sz w:val="24"/>
        </w:rPr>
        <w:t>s</w:t>
      </w:r>
      <w:r w:rsidR="00A10FD0" w:rsidRPr="00012C17">
        <w:rPr>
          <w:rFonts w:cs="Arial"/>
          <w:color w:val="000000"/>
          <w:sz w:val="24"/>
        </w:rPr>
        <w:t xml:space="preserve">econd </w:t>
      </w:r>
      <w:r w:rsidRPr="00012C17">
        <w:rPr>
          <w:rFonts w:cs="Arial"/>
          <w:color w:val="000000"/>
          <w:sz w:val="24"/>
        </w:rPr>
        <w:t xml:space="preserve">Decision of the </w:t>
      </w:r>
      <w:r w:rsidR="00A10FD0" w:rsidRPr="00012C17">
        <w:rPr>
          <w:rFonts w:cs="Arial"/>
          <w:color w:val="000000"/>
          <w:sz w:val="24"/>
        </w:rPr>
        <w:t>Supreme Court is un</w:t>
      </w:r>
      <w:r w:rsidRPr="00012C17">
        <w:rPr>
          <w:rFonts w:cs="Arial"/>
          <w:color w:val="000000"/>
          <w:sz w:val="24"/>
        </w:rPr>
        <w:t>gr</w:t>
      </w:r>
      <w:r w:rsidR="00A10FD0" w:rsidRPr="00012C17">
        <w:rPr>
          <w:rFonts w:cs="Arial"/>
          <w:color w:val="000000"/>
          <w:sz w:val="24"/>
        </w:rPr>
        <w:t xml:space="preserve">ounded </w:t>
      </w:r>
      <w:r w:rsidRPr="00012C17">
        <w:rPr>
          <w:rFonts w:cs="Arial"/>
          <w:color w:val="000000"/>
          <w:sz w:val="24"/>
        </w:rPr>
        <w:t xml:space="preserve">in entirety </w:t>
      </w:r>
      <w:r w:rsidR="00A10FD0" w:rsidRPr="00012C17">
        <w:rPr>
          <w:rFonts w:cs="Arial"/>
          <w:color w:val="000000"/>
          <w:sz w:val="24"/>
        </w:rPr>
        <w:t xml:space="preserve">in relation to the subject matter </w:t>
      </w:r>
      <w:r w:rsidRPr="00012C17">
        <w:rPr>
          <w:rFonts w:cs="Arial"/>
          <w:color w:val="000000"/>
          <w:sz w:val="24"/>
        </w:rPr>
        <w:t xml:space="preserve">jurisdiction </w:t>
      </w:r>
      <w:r w:rsidR="00A10FD0" w:rsidRPr="00012C17">
        <w:rPr>
          <w:rFonts w:cs="Arial"/>
          <w:color w:val="000000"/>
          <w:sz w:val="24"/>
        </w:rPr>
        <w:t xml:space="preserve">of the Supreme Court, as defined by the Constitution and the Law on Courts. </w:t>
      </w:r>
      <w:r w:rsidRPr="00012C17">
        <w:rPr>
          <w:rFonts w:cs="Arial"/>
          <w:color w:val="000000"/>
          <w:sz w:val="24"/>
        </w:rPr>
        <w:t>In addition</w:t>
      </w:r>
      <w:r w:rsidR="00A10FD0" w:rsidRPr="00012C17">
        <w:rPr>
          <w:rFonts w:cs="Arial"/>
          <w:color w:val="000000"/>
          <w:sz w:val="24"/>
        </w:rPr>
        <w:t xml:space="preserve">, Mr. Shpend Ahmeti, in the argument of the </w:t>
      </w:r>
      <w:r w:rsidRPr="00012C17">
        <w:rPr>
          <w:rFonts w:cs="Arial"/>
          <w:color w:val="000000"/>
          <w:sz w:val="24"/>
        </w:rPr>
        <w:t xml:space="preserve">jurisdiction </w:t>
      </w:r>
      <w:r w:rsidR="00A10FD0" w:rsidRPr="00012C17">
        <w:rPr>
          <w:rFonts w:cs="Arial"/>
          <w:color w:val="000000"/>
          <w:sz w:val="24"/>
        </w:rPr>
        <w:t xml:space="preserve">of the courts to assess the legality of the allegations, </w:t>
      </w:r>
      <w:r w:rsidR="005624AA" w:rsidRPr="00012C17">
        <w:rPr>
          <w:rFonts w:cs="Arial"/>
          <w:color w:val="000000"/>
          <w:sz w:val="24"/>
        </w:rPr>
        <w:t>reiterates</w:t>
      </w:r>
      <w:r w:rsidR="00A10FD0" w:rsidRPr="00012C17">
        <w:rPr>
          <w:rFonts w:cs="Arial"/>
          <w:color w:val="000000"/>
          <w:sz w:val="24"/>
        </w:rPr>
        <w:t xml:space="preserve"> that the regular courts in case of suspicion of the constitutionality of the law they </w:t>
      </w:r>
      <w:r w:rsidRPr="00012C17">
        <w:rPr>
          <w:rFonts w:cs="Arial"/>
          <w:color w:val="000000"/>
          <w:sz w:val="24"/>
        </w:rPr>
        <w:t>assess,</w:t>
      </w:r>
      <w:r w:rsidR="00A10FD0" w:rsidRPr="00012C17">
        <w:rPr>
          <w:rFonts w:cs="Arial"/>
          <w:color w:val="000000"/>
          <w:sz w:val="24"/>
        </w:rPr>
        <w:t xml:space="preserve"> may address the Constitutional Court through paragraph 8 of Article 113 of the Constitution</w:t>
      </w:r>
      <w:r w:rsidR="00D72B7C" w:rsidRPr="00012C17">
        <w:rPr>
          <w:rFonts w:cs="Arial"/>
          <w:color w:val="000000"/>
          <w:sz w:val="24"/>
        </w:rPr>
        <w:t xml:space="preserve">. </w:t>
      </w:r>
    </w:p>
    <w:p w:rsidR="00B97613" w:rsidRPr="00012C17" w:rsidRDefault="00B97613" w:rsidP="001B11C5">
      <w:pPr>
        <w:spacing w:line="240" w:lineRule="auto"/>
        <w:rPr>
          <w:rFonts w:cs="Arial"/>
          <w:b/>
          <w:color w:val="000000"/>
          <w:sz w:val="24"/>
        </w:rPr>
      </w:pPr>
    </w:p>
    <w:p w:rsidR="00720580" w:rsidRPr="00012C17" w:rsidRDefault="00A10FD0" w:rsidP="001B11C5">
      <w:pPr>
        <w:numPr>
          <w:ilvl w:val="0"/>
          <w:numId w:val="1"/>
        </w:numPr>
        <w:spacing w:line="240" w:lineRule="auto"/>
        <w:ind w:left="630" w:hanging="630"/>
        <w:rPr>
          <w:rFonts w:cs="Arial"/>
          <w:color w:val="000000"/>
          <w:sz w:val="24"/>
        </w:rPr>
      </w:pPr>
      <w:r w:rsidRPr="00012C17">
        <w:rPr>
          <w:rFonts w:cs="Arial"/>
          <w:color w:val="000000"/>
          <w:sz w:val="24"/>
        </w:rPr>
        <w:t xml:space="preserve">With regard to the merits of the Referral, Mr. Shpend Ahmeti </w:t>
      </w:r>
      <w:r w:rsidR="004F43F3" w:rsidRPr="00012C17">
        <w:rPr>
          <w:rFonts w:cs="Arial"/>
          <w:color w:val="000000"/>
          <w:sz w:val="24"/>
        </w:rPr>
        <w:t>alleges</w:t>
      </w:r>
      <w:r w:rsidRPr="00012C17">
        <w:rPr>
          <w:rFonts w:cs="Arial"/>
          <w:color w:val="000000"/>
          <w:sz w:val="24"/>
        </w:rPr>
        <w:t xml:space="preserve"> that the Applicants' </w:t>
      </w:r>
      <w:r w:rsidRPr="00012C17">
        <w:rPr>
          <w:bCs/>
          <w:color w:val="000000"/>
          <w:sz w:val="24"/>
        </w:rPr>
        <w:t>allegations</w:t>
      </w:r>
      <w:r w:rsidRPr="00012C17">
        <w:rPr>
          <w:rFonts w:cs="Arial"/>
          <w:color w:val="000000"/>
          <w:sz w:val="24"/>
        </w:rPr>
        <w:t xml:space="preserve"> concerning the violation of Articles 45 and 54 of the Constitution are abstractly articulated and </w:t>
      </w:r>
      <w:r w:rsidR="005624AA" w:rsidRPr="00012C17">
        <w:rPr>
          <w:rFonts w:cs="Arial"/>
          <w:color w:val="000000"/>
          <w:sz w:val="24"/>
        </w:rPr>
        <w:t>state</w:t>
      </w:r>
      <w:r w:rsidR="006E52F9" w:rsidRPr="00012C17">
        <w:rPr>
          <w:rFonts w:cs="Arial"/>
          <w:color w:val="000000"/>
          <w:sz w:val="24"/>
        </w:rPr>
        <w:t xml:space="preserve"> </w:t>
      </w:r>
      <w:r w:rsidRPr="00012C17">
        <w:rPr>
          <w:rFonts w:cs="Arial"/>
          <w:color w:val="000000"/>
          <w:sz w:val="24"/>
        </w:rPr>
        <w:t xml:space="preserve">that the law itself </w:t>
      </w:r>
      <w:r w:rsidR="004F43F3" w:rsidRPr="00012C17">
        <w:rPr>
          <w:rFonts w:cs="Arial"/>
          <w:color w:val="000000"/>
          <w:sz w:val="24"/>
        </w:rPr>
        <w:t>“</w:t>
      </w:r>
      <w:r w:rsidRPr="00012C17">
        <w:rPr>
          <w:rFonts w:cs="Arial"/>
          <w:i/>
          <w:iCs/>
          <w:color w:val="000000"/>
          <w:sz w:val="24"/>
        </w:rPr>
        <w:t xml:space="preserve">has accepted the relative factuality of the </w:t>
      </w:r>
      <w:r w:rsidR="00EE6F51" w:rsidRPr="00012C17">
        <w:rPr>
          <w:rFonts w:cs="Arial"/>
          <w:i/>
          <w:iCs/>
          <w:color w:val="000000"/>
          <w:sz w:val="24"/>
        </w:rPr>
        <w:t>electoral</w:t>
      </w:r>
      <w:r w:rsidRPr="00012C17">
        <w:rPr>
          <w:rFonts w:cs="Arial"/>
          <w:i/>
          <w:iCs/>
          <w:color w:val="000000"/>
          <w:sz w:val="24"/>
        </w:rPr>
        <w:t xml:space="preserve"> process</w:t>
      </w:r>
      <w:r w:rsidR="004F43F3" w:rsidRPr="00012C17">
        <w:rPr>
          <w:rFonts w:cs="Arial"/>
          <w:color w:val="000000"/>
          <w:sz w:val="24"/>
        </w:rPr>
        <w:t>”</w:t>
      </w:r>
      <w:r w:rsidRPr="00012C17">
        <w:rPr>
          <w:rFonts w:cs="Arial"/>
          <w:color w:val="000000"/>
          <w:sz w:val="24"/>
        </w:rPr>
        <w:t xml:space="preserve"> and that this </w:t>
      </w:r>
      <w:r w:rsidR="004F43F3" w:rsidRPr="00012C17">
        <w:rPr>
          <w:rFonts w:cs="Arial"/>
          <w:color w:val="000000"/>
          <w:sz w:val="24"/>
        </w:rPr>
        <w:t>aims at</w:t>
      </w:r>
      <w:r w:rsidRPr="00012C17">
        <w:rPr>
          <w:rFonts w:cs="Arial"/>
          <w:color w:val="000000"/>
          <w:sz w:val="24"/>
        </w:rPr>
        <w:t xml:space="preserve"> legal certainty. </w:t>
      </w:r>
      <w:r w:rsidR="004F43F3" w:rsidRPr="00012C17">
        <w:rPr>
          <w:rFonts w:cs="Arial"/>
          <w:color w:val="000000"/>
          <w:sz w:val="24"/>
        </w:rPr>
        <w:t xml:space="preserve">Therefore, for </w:t>
      </w:r>
      <w:r w:rsidRPr="00012C17">
        <w:rPr>
          <w:rFonts w:cs="Arial"/>
          <w:color w:val="000000"/>
          <w:sz w:val="24"/>
        </w:rPr>
        <w:t xml:space="preserve">any (administrative or criminal) </w:t>
      </w:r>
      <w:r w:rsidR="004F43F3" w:rsidRPr="00012C17">
        <w:rPr>
          <w:rFonts w:cs="Arial"/>
          <w:color w:val="000000"/>
          <w:sz w:val="24"/>
        </w:rPr>
        <w:t>irregularity</w:t>
      </w:r>
      <w:r w:rsidR="00EE6F51" w:rsidRPr="00012C17">
        <w:rPr>
          <w:rFonts w:cs="Arial"/>
          <w:color w:val="000000"/>
          <w:sz w:val="24"/>
        </w:rPr>
        <w:t>,</w:t>
      </w:r>
      <w:r w:rsidR="004F43F3" w:rsidRPr="00012C17">
        <w:rPr>
          <w:rFonts w:cs="Arial"/>
          <w:color w:val="000000"/>
          <w:sz w:val="24"/>
        </w:rPr>
        <w:t xml:space="preserve"> </w:t>
      </w:r>
      <w:r w:rsidRPr="00012C17">
        <w:rPr>
          <w:rFonts w:cs="Arial"/>
          <w:color w:val="000000"/>
          <w:sz w:val="24"/>
        </w:rPr>
        <w:t>sanctions for those responsible</w:t>
      </w:r>
      <w:r w:rsidR="00EE6F51" w:rsidRPr="00012C17">
        <w:rPr>
          <w:rFonts w:cs="Arial"/>
          <w:color w:val="000000"/>
          <w:sz w:val="24"/>
        </w:rPr>
        <w:t xml:space="preserve"> are foreseen</w:t>
      </w:r>
      <w:r w:rsidRPr="00012C17">
        <w:rPr>
          <w:rFonts w:cs="Arial"/>
          <w:color w:val="000000"/>
          <w:sz w:val="24"/>
        </w:rPr>
        <w:t xml:space="preserve">. Mr. Shpend Ahmeti </w:t>
      </w:r>
      <w:r w:rsidR="004F43F3" w:rsidRPr="00012C17">
        <w:rPr>
          <w:rFonts w:cs="Arial"/>
          <w:color w:val="000000"/>
          <w:sz w:val="24"/>
        </w:rPr>
        <w:t xml:space="preserve">further </w:t>
      </w:r>
      <w:r w:rsidRPr="00012C17">
        <w:rPr>
          <w:rFonts w:cs="Arial"/>
          <w:color w:val="000000"/>
          <w:sz w:val="24"/>
        </w:rPr>
        <w:t>claims that an insistence on reparation would violate the right of the majority of citizens who have expressed their political will</w:t>
      </w:r>
      <w:r w:rsidR="00712DFA" w:rsidRPr="00012C17">
        <w:rPr>
          <w:rFonts w:cs="Arial"/>
          <w:color w:val="000000"/>
          <w:sz w:val="24"/>
        </w:rPr>
        <w:t>.</w:t>
      </w:r>
    </w:p>
    <w:p w:rsidR="00720580" w:rsidRPr="00012C17" w:rsidRDefault="00720580" w:rsidP="001B11C5">
      <w:pPr>
        <w:spacing w:line="240" w:lineRule="auto"/>
        <w:rPr>
          <w:rFonts w:cs="Arial"/>
          <w:color w:val="000000"/>
          <w:sz w:val="24"/>
        </w:rPr>
      </w:pPr>
    </w:p>
    <w:p w:rsidR="00720580" w:rsidRPr="00012C17" w:rsidRDefault="00A10FD0" w:rsidP="001B11C5">
      <w:pPr>
        <w:numPr>
          <w:ilvl w:val="0"/>
          <w:numId w:val="1"/>
        </w:numPr>
        <w:spacing w:line="240" w:lineRule="auto"/>
        <w:ind w:left="630" w:hanging="630"/>
        <w:rPr>
          <w:rFonts w:cs="Arial"/>
          <w:color w:val="000000"/>
          <w:sz w:val="24"/>
        </w:rPr>
      </w:pPr>
      <w:r w:rsidRPr="00012C17">
        <w:rPr>
          <w:rFonts w:cs="Arial"/>
          <w:color w:val="000000"/>
          <w:sz w:val="24"/>
        </w:rPr>
        <w:t xml:space="preserve">More specifically with regard to Article 45 of the Constitution, </w:t>
      </w:r>
      <w:r w:rsidR="00EA59F2" w:rsidRPr="00012C17">
        <w:rPr>
          <w:rFonts w:cs="Arial"/>
          <w:color w:val="000000"/>
          <w:sz w:val="24"/>
        </w:rPr>
        <w:t xml:space="preserve">Mr. </w:t>
      </w:r>
      <w:r w:rsidRPr="00012C17">
        <w:rPr>
          <w:rFonts w:cs="Arial"/>
          <w:color w:val="000000"/>
          <w:sz w:val="24"/>
        </w:rPr>
        <w:t xml:space="preserve">Shpend Ahmeti claims </w:t>
      </w:r>
      <w:r w:rsidRPr="00012C17">
        <w:rPr>
          <w:bCs/>
          <w:color w:val="000000"/>
          <w:sz w:val="24"/>
        </w:rPr>
        <w:t>that</w:t>
      </w:r>
      <w:r w:rsidRPr="00012C17">
        <w:rPr>
          <w:rFonts w:cs="Arial"/>
          <w:color w:val="000000"/>
          <w:sz w:val="24"/>
        </w:rPr>
        <w:t xml:space="preserve"> there has been no violation of this Article and that the Applicants have not </w:t>
      </w:r>
      <w:r w:rsidR="00EA59F2" w:rsidRPr="00012C17">
        <w:rPr>
          <w:rFonts w:cs="Arial"/>
          <w:color w:val="000000"/>
          <w:sz w:val="24"/>
        </w:rPr>
        <w:t>specified</w:t>
      </w:r>
      <w:r w:rsidRPr="00012C17">
        <w:rPr>
          <w:rFonts w:cs="Arial"/>
          <w:color w:val="000000"/>
          <w:sz w:val="24"/>
        </w:rPr>
        <w:t xml:space="preserve"> violation of the rights guaranteed by this Article. According to him, such </w:t>
      </w:r>
      <w:r w:rsidR="00EA59F2" w:rsidRPr="00012C17">
        <w:rPr>
          <w:rFonts w:cs="Arial"/>
          <w:color w:val="000000"/>
          <w:sz w:val="24"/>
        </w:rPr>
        <w:t>an “</w:t>
      </w:r>
      <w:r w:rsidRPr="00012C17">
        <w:rPr>
          <w:rFonts w:cs="Arial"/>
          <w:i/>
          <w:iCs/>
          <w:color w:val="000000"/>
          <w:sz w:val="24"/>
        </w:rPr>
        <w:t xml:space="preserve">unqualified </w:t>
      </w:r>
      <w:r w:rsidR="00EA59F2" w:rsidRPr="00012C17">
        <w:rPr>
          <w:rFonts w:cs="Arial"/>
          <w:i/>
          <w:iCs/>
          <w:color w:val="000000"/>
          <w:sz w:val="24"/>
        </w:rPr>
        <w:t xml:space="preserve">allegation </w:t>
      </w:r>
      <w:r w:rsidR="00EE6F51" w:rsidRPr="00012C17">
        <w:rPr>
          <w:rFonts w:cs="Arial"/>
          <w:i/>
          <w:iCs/>
          <w:color w:val="000000"/>
          <w:sz w:val="24"/>
        </w:rPr>
        <w:t xml:space="preserve">articulated </w:t>
      </w:r>
      <w:r w:rsidR="00EA59F2" w:rsidRPr="00012C17">
        <w:rPr>
          <w:rFonts w:cs="Arial"/>
          <w:i/>
          <w:iCs/>
          <w:color w:val="000000"/>
          <w:sz w:val="24"/>
        </w:rPr>
        <w:t>in an abstract way”</w:t>
      </w:r>
      <w:r w:rsidRPr="00012C17">
        <w:rPr>
          <w:rFonts w:cs="Arial"/>
          <w:color w:val="000000"/>
          <w:sz w:val="24"/>
        </w:rPr>
        <w:t xml:space="preserve"> </w:t>
      </w:r>
      <w:r w:rsidR="00EA59F2" w:rsidRPr="00012C17">
        <w:rPr>
          <w:rFonts w:cs="Arial"/>
          <w:color w:val="000000"/>
          <w:sz w:val="24"/>
        </w:rPr>
        <w:t>can</w:t>
      </w:r>
      <w:r w:rsidRPr="00012C17">
        <w:rPr>
          <w:rFonts w:cs="Arial"/>
          <w:color w:val="000000"/>
          <w:sz w:val="24"/>
        </w:rPr>
        <w:t xml:space="preserve">not be subject </w:t>
      </w:r>
      <w:r w:rsidR="00EA59F2" w:rsidRPr="00012C17">
        <w:rPr>
          <w:rFonts w:cs="Arial"/>
          <w:color w:val="000000"/>
          <w:sz w:val="24"/>
        </w:rPr>
        <w:t>of review</w:t>
      </w:r>
      <w:r w:rsidRPr="00012C17">
        <w:rPr>
          <w:rFonts w:cs="Arial"/>
          <w:color w:val="000000"/>
          <w:sz w:val="24"/>
        </w:rPr>
        <w:t xml:space="preserve"> by the Court. In the second round of elections for </w:t>
      </w:r>
      <w:r w:rsidR="00EA59F2" w:rsidRPr="00012C17">
        <w:rPr>
          <w:rFonts w:cs="Arial"/>
          <w:color w:val="000000"/>
          <w:sz w:val="24"/>
        </w:rPr>
        <w:t xml:space="preserve">the </w:t>
      </w:r>
      <w:r w:rsidR="00F32DC5" w:rsidRPr="00012C17">
        <w:rPr>
          <w:rFonts w:cs="Arial"/>
          <w:color w:val="000000"/>
          <w:sz w:val="24"/>
        </w:rPr>
        <w:t xml:space="preserve">Mayor </w:t>
      </w:r>
      <w:r w:rsidR="00EA59F2" w:rsidRPr="00012C17">
        <w:rPr>
          <w:rFonts w:cs="Arial"/>
          <w:color w:val="000000"/>
          <w:sz w:val="24"/>
        </w:rPr>
        <w:t>of the Municipality</w:t>
      </w:r>
      <w:r w:rsidRPr="00012C17">
        <w:rPr>
          <w:rFonts w:cs="Arial"/>
          <w:color w:val="000000"/>
          <w:sz w:val="24"/>
        </w:rPr>
        <w:t xml:space="preserve"> of Prishtina, no case has been proven to violate the personal character of the vote</w:t>
      </w:r>
      <w:r w:rsidR="00460F9F" w:rsidRPr="00012C17">
        <w:rPr>
          <w:rFonts w:cs="Arial"/>
          <w:color w:val="000000"/>
          <w:sz w:val="24"/>
        </w:rPr>
        <w:t>, its equality,</w:t>
      </w:r>
      <w:r w:rsidRPr="00012C17">
        <w:rPr>
          <w:rFonts w:cs="Arial"/>
          <w:color w:val="000000"/>
          <w:sz w:val="24"/>
        </w:rPr>
        <w:t xml:space="preserve"> freedom of choice or its secrecy</w:t>
      </w:r>
      <w:r w:rsidR="001A6387" w:rsidRPr="00012C17">
        <w:rPr>
          <w:rFonts w:cs="Arial"/>
          <w:color w:val="000000"/>
          <w:sz w:val="24"/>
        </w:rPr>
        <w:t xml:space="preserve">. </w:t>
      </w:r>
      <w:r w:rsidR="00EA59F2" w:rsidRPr="00012C17">
        <w:rPr>
          <w:rFonts w:cs="Arial"/>
          <w:color w:val="000000"/>
          <w:sz w:val="24"/>
        </w:rPr>
        <w:t>Mr</w:t>
      </w:r>
      <w:r w:rsidR="001202E9" w:rsidRPr="00012C17">
        <w:rPr>
          <w:rFonts w:cs="Arial"/>
          <w:color w:val="000000"/>
          <w:sz w:val="24"/>
        </w:rPr>
        <w:t xml:space="preserve">. </w:t>
      </w:r>
      <w:r w:rsidRPr="00012C17">
        <w:rPr>
          <w:rFonts w:cs="Arial"/>
          <w:color w:val="000000"/>
          <w:sz w:val="24"/>
        </w:rPr>
        <w:t xml:space="preserve">Shpend Ahmeti further emphasizes the fact that at the end of the </w:t>
      </w:r>
      <w:r w:rsidR="00EE6F51" w:rsidRPr="00012C17">
        <w:rPr>
          <w:rFonts w:cs="Arial"/>
          <w:color w:val="000000"/>
          <w:sz w:val="24"/>
        </w:rPr>
        <w:t xml:space="preserve">electoral </w:t>
      </w:r>
      <w:r w:rsidRPr="00012C17">
        <w:rPr>
          <w:rFonts w:cs="Arial"/>
          <w:color w:val="000000"/>
          <w:sz w:val="24"/>
        </w:rPr>
        <w:t>process, all forms have been signed by all members of the voting commissions, which according to him</w:t>
      </w:r>
      <w:r w:rsidR="005624AA" w:rsidRPr="00012C17">
        <w:rPr>
          <w:rFonts w:cs="Arial"/>
          <w:color w:val="000000"/>
          <w:sz w:val="24"/>
        </w:rPr>
        <w:t>,</w:t>
      </w:r>
      <w:r w:rsidRPr="00012C17">
        <w:rPr>
          <w:rFonts w:cs="Arial"/>
          <w:color w:val="000000"/>
          <w:sz w:val="24"/>
        </w:rPr>
        <w:t xml:space="preserve"> is </w:t>
      </w:r>
      <w:r w:rsidR="005624AA" w:rsidRPr="00012C17">
        <w:rPr>
          <w:rFonts w:cs="Arial"/>
          <w:color w:val="000000"/>
          <w:sz w:val="24"/>
        </w:rPr>
        <w:t xml:space="preserve">an </w:t>
      </w:r>
      <w:r w:rsidR="00EE6F51" w:rsidRPr="00012C17">
        <w:rPr>
          <w:rFonts w:cs="Arial"/>
          <w:color w:val="000000"/>
          <w:sz w:val="24"/>
        </w:rPr>
        <w:t xml:space="preserve">evidence of </w:t>
      </w:r>
      <w:r w:rsidRPr="00012C17">
        <w:rPr>
          <w:rFonts w:cs="Arial"/>
          <w:color w:val="000000"/>
          <w:sz w:val="24"/>
        </w:rPr>
        <w:t xml:space="preserve">fair and </w:t>
      </w:r>
      <w:r w:rsidR="00EA59F2" w:rsidRPr="00012C17">
        <w:rPr>
          <w:rFonts w:cs="Arial"/>
          <w:color w:val="000000"/>
          <w:sz w:val="24"/>
        </w:rPr>
        <w:t>correct</w:t>
      </w:r>
      <w:r w:rsidRPr="00012C17">
        <w:rPr>
          <w:rFonts w:cs="Arial"/>
          <w:color w:val="000000"/>
          <w:sz w:val="24"/>
        </w:rPr>
        <w:t xml:space="preserve"> </w:t>
      </w:r>
      <w:r w:rsidR="00EE6F51" w:rsidRPr="00012C17">
        <w:rPr>
          <w:rFonts w:cs="Arial"/>
          <w:color w:val="000000"/>
          <w:sz w:val="24"/>
        </w:rPr>
        <w:t xml:space="preserve">electoral </w:t>
      </w:r>
      <w:r w:rsidRPr="00012C17">
        <w:rPr>
          <w:rFonts w:cs="Arial"/>
          <w:color w:val="000000"/>
          <w:sz w:val="24"/>
        </w:rPr>
        <w:t>process</w:t>
      </w:r>
      <w:r w:rsidR="001202E9" w:rsidRPr="00012C17">
        <w:rPr>
          <w:rFonts w:cs="Arial"/>
          <w:color w:val="000000"/>
          <w:sz w:val="24"/>
        </w:rPr>
        <w:t>.</w:t>
      </w:r>
    </w:p>
    <w:p w:rsidR="00720580" w:rsidRPr="00012C17" w:rsidRDefault="00720580" w:rsidP="001B11C5">
      <w:pPr>
        <w:spacing w:line="240" w:lineRule="auto"/>
        <w:rPr>
          <w:rFonts w:cs="Arial"/>
          <w:color w:val="000000"/>
          <w:sz w:val="24"/>
        </w:rPr>
      </w:pPr>
    </w:p>
    <w:p w:rsidR="005C25D9" w:rsidRPr="00012C17" w:rsidRDefault="00A10FD0" w:rsidP="001B11C5">
      <w:pPr>
        <w:numPr>
          <w:ilvl w:val="0"/>
          <w:numId w:val="1"/>
        </w:numPr>
        <w:spacing w:line="240" w:lineRule="auto"/>
        <w:ind w:left="630" w:hanging="630"/>
        <w:rPr>
          <w:rFonts w:cs="Arial"/>
          <w:color w:val="000000"/>
          <w:sz w:val="24"/>
        </w:rPr>
      </w:pPr>
      <w:r w:rsidRPr="00012C17">
        <w:rPr>
          <w:rFonts w:cs="Arial"/>
          <w:color w:val="000000"/>
          <w:sz w:val="24"/>
        </w:rPr>
        <w:t xml:space="preserve">More </w:t>
      </w:r>
      <w:r w:rsidR="00EA59F2" w:rsidRPr="00012C17">
        <w:rPr>
          <w:rFonts w:cs="Arial"/>
          <w:color w:val="000000"/>
          <w:sz w:val="24"/>
        </w:rPr>
        <w:t>specifically</w:t>
      </w:r>
      <w:r w:rsidRPr="00012C17">
        <w:rPr>
          <w:rFonts w:cs="Arial"/>
          <w:color w:val="000000"/>
          <w:sz w:val="24"/>
        </w:rPr>
        <w:t xml:space="preserve">, </w:t>
      </w:r>
      <w:r w:rsidR="00EA59F2" w:rsidRPr="00012C17">
        <w:rPr>
          <w:rFonts w:cs="Arial"/>
          <w:color w:val="000000"/>
          <w:sz w:val="24"/>
        </w:rPr>
        <w:t>as regards</w:t>
      </w:r>
      <w:r w:rsidRPr="00012C17">
        <w:rPr>
          <w:rFonts w:cs="Arial"/>
          <w:color w:val="000000"/>
          <w:sz w:val="24"/>
        </w:rPr>
        <w:t xml:space="preserve"> Article 54 of the Constitution, </w:t>
      </w:r>
      <w:r w:rsidR="00EA59F2" w:rsidRPr="00012C17">
        <w:rPr>
          <w:rFonts w:cs="Arial"/>
          <w:color w:val="000000"/>
          <w:sz w:val="24"/>
        </w:rPr>
        <w:t xml:space="preserve">Mr. </w:t>
      </w:r>
      <w:r w:rsidRPr="00012C17">
        <w:rPr>
          <w:rFonts w:cs="Arial"/>
          <w:color w:val="000000"/>
          <w:sz w:val="24"/>
        </w:rPr>
        <w:t xml:space="preserve">Shpend Ahmeti claims that there has been no violation of this article and that there is a misinterpretation regarding this provision, which, according to Mr. Shpend Ahmeti, the Applicants have given </w:t>
      </w:r>
      <w:r w:rsidR="00EA59F2" w:rsidRPr="00012C17">
        <w:rPr>
          <w:rFonts w:cs="Arial"/>
          <w:color w:val="000000"/>
          <w:sz w:val="24"/>
        </w:rPr>
        <w:t>“</w:t>
      </w:r>
      <w:r w:rsidRPr="00012C17">
        <w:rPr>
          <w:rFonts w:cs="Arial"/>
          <w:i/>
          <w:iCs/>
          <w:color w:val="000000"/>
          <w:sz w:val="24"/>
        </w:rPr>
        <w:t xml:space="preserve">an </w:t>
      </w:r>
      <w:r w:rsidR="00EE6F51" w:rsidRPr="00012C17">
        <w:rPr>
          <w:rFonts w:cs="Arial"/>
          <w:i/>
          <w:iCs/>
          <w:color w:val="000000"/>
          <w:sz w:val="24"/>
        </w:rPr>
        <w:t>extensively</w:t>
      </w:r>
      <w:r w:rsidRPr="00012C17">
        <w:rPr>
          <w:rFonts w:cs="Arial"/>
          <w:i/>
          <w:iCs/>
          <w:color w:val="000000"/>
          <w:sz w:val="24"/>
        </w:rPr>
        <w:t xml:space="preserve"> abstract meaning</w:t>
      </w:r>
      <w:r w:rsidR="00EA59F2" w:rsidRPr="00012C17">
        <w:rPr>
          <w:rFonts w:cs="Arial"/>
          <w:color w:val="000000"/>
          <w:sz w:val="24"/>
        </w:rPr>
        <w:t>”</w:t>
      </w:r>
      <w:r w:rsidRPr="00012C17">
        <w:rPr>
          <w:rFonts w:cs="Arial"/>
          <w:color w:val="000000"/>
          <w:sz w:val="24"/>
        </w:rPr>
        <w:t xml:space="preserve">. According to Mr. Shpend Ahmeti, the judicial protection of rights guaranteed by the Constitution must be understood within the structural logic of the laws in force. In the </w:t>
      </w:r>
      <w:r w:rsidR="00EA59F2" w:rsidRPr="00012C17">
        <w:rPr>
          <w:rFonts w:cs="Arial"/>
          <w:color w:val="000000"/>
          <w:sz w:val="24"/>
        </w:rPr>
        <w:t>present</w:t>
      </w:r>
      <w:r w:rsidRPr="00012C17">
        <w:rPr>
          <w:rFonts w:cs="Arial"/>
          <w:color w:val="000000"/>
          <w:sz w:val="24"/>
        </w:rPr>
        <w:t xml:space="preserve"> case, according to the comments, </w:t>
      </w:r>
      <w:r w:rsidR="00F73E8F" w:rsidRPr="00012C17">
        <w:rPr>
          <w:rFonts w:cs="Arial"/>
          <w:color w:val="000000"/>
          <w:sz w:val="24"/>
        </w:rPr>
        <w:t>the specific</w:t>
      </w:r>
      <w:r w:rsidRPr="00012C17">
        <w:rPr>
          <w:rFonts w:cs="Arial"/>
          <w:color w:val="000000"/>
          <w:sz w:val="24"/>
        </w:rPr>
        <w:t xml:space="preserve"> provisions of the Law on Courts</w:t>
      </w:r>
      <w:r w:rsidR="00EA59F2" w:rsidRPr="00012C17">
        <w:rPr>
          <w:rFonts w:cs="Arial"/>
          <w:color w:val="000000"/>
          <w:sz w:val="24"/>
        </w:rPr>
        <w:t xml:space="preserve"> are important</w:t>
      </w:r>
      <w:r w:rsidRPr="00012C17">
        <w:rPr>
          <w:rFonts w:cs="Arial"/>
          <w:color w:val="000000"/>
          <w:sz w:val="24"/>
        </w:rPr>
        <w:t xml:space="preserve">, which define the </w:t>
      </w:r>
      <w:r w:rsidR="00EA59F2" w:rsidRPr="00012C17">
        <w:rPr>
          <w:rFonts w:cs="Arial"/>
          <w:color w:val="000000"/>
          <w:sz w:val="24"/>
        </w:rPr>
        <w:t>jurisdiction</w:t>
      </w:r>
      <w:r w:rsidRPr="00012C17">
        <w:rPr>
          <w:rFonts w:cs="Arial"/>
          <w:color w:val="000000"/>
          <w:sz w:val="24"/>
        </w:rPr>
        <w:t xml:space="preserve"> of </w:t>
      </w:r>
      <w:r w:rsidR="00EA59F2" w:rsidRPr="00012C17">
        <w:rPr>
          <w:rFonts w:cs="Arial"/>
          <w:color w:val="000000"/>
          <w:sz w:val="24"/>
        </w:rPr>
        <w:t xml:space="preserve">the </w:t>
      </w:r>
      <w:r w:rsidRPr="00012C17">
        <w:rPr>
          <w:rFonts w:cs="Arial"/>
          <w:color w:val="000000"/>
          <w:sz w:val="24"/>
        </w:rPr>
        <w:t xml:space="preserve">judicial </w:t>
      </w:r>
      <w:r w:rsidR="00EA59F2" w:rsidRPr="00012C17">
        <w:rPr>
          <w:rFonts w:cs="Arial"/>
          <w:color w:val="000000"/>
          <w:sz w:val="24"/>
        </w:rPr>
        <w:t>authorities</w:t>
      </w:r>
      <w:r w:rsidRPr="00012C17">
        <w:rPr>
          <w:rFonts w:cs="Arial"/>
          <w:color w:val="000000"/>
          <w:sz w:val="24"/>
        </w:rPr>
        <w:t xml:space="preserve"> and the provisions of the LGE that define the subject matter </w:t>
      </w:r>
      <w:r w:rsidR="00EA59F2" w:rsidRPr="00012C17">
        <w:rPr>
          <w:rFonts w:cs="Arial"/>
          <w:color w:val="000000"/>
          <w:sz w:val="24"/>
        </w:rPr>
        <w:t>jurisdiction</w:t>
      </w:r>
      <w:r w:rsidRPr="00012C17">
        <w:rPr>
          <w:rFonts w:cs="Arial"/>
          <w:color w:val="000000"/>
          <w:sz w:val="24"/>
        </w:rPr>
        <w:t xml:space="preserve"> </w:t>
      </w:r>
      <w:r w:rsidR="00EA59F2" w:rsidRPr="00012C17">
        <w:rPr>
          <w:rFonts w:cs="Arial"/>
          <w:color w:val="000000"/>
          <w:sz w:val="24"/>
        </w:rPr>
        <w:t>for</w:t>
      </w:r>
      <w:r w:rsidRPr="00012C17">
        <w:rPr>
          <w:rFonts w:cs="Arial"/>
          <w:color w:val="000000"/>
          <w:sz w:val="24"/>
        </w:rPr>
        <w:t xml:space="preserve"> the </w:t>
      </w:r>
      <w:r w:rsidR="00EA59F2" w:rsidRPr="00012C17">
        <w:rPr>
          <w:rFonts w:cs="Arial"/>
          <w:color w:val="000000"/>
          <w:sz w:val="24"/>
        </w:rPr>
        <w:t>appeals</w:t>
      </w:r>
      <w:r w:rsidRPr="00012C17">
        <w:rPr>
          <w:rFonts w:cs="Arial"/>
          <w:color w:val="000000"/>
          <w:sz w:val="24"/>
        </w:rPr>
        <w:t xml:space="preserve"> submitted to the Supreme Court as a judicial body </w:t>
      </w:r>
      <w:r w:rsidRPr="00012C17">
        <w:rPr>
          <w:rFonts w:cs="Arial"/>
          <w:color w:val="000000"/>
          <w:sz w:val="24"/>
        </w:rPr>
        <w:lastRenderedPageBreak/>
        <w:t xml:space="preserve">that controls the legality of decisions issued by ECAP. </w:t>
      </w:r>
      <w:r w:rsidR="00F05E0A" w:rsidRPr="00012C17">
        <w:rPr>
          <w:rFonts w:cs="Arial"/>
          <w:color w:val="000000"/>
          <w:sz w:val="24"/>
        </w:rPr>
        <w:t>Specifically, Mr. Shpend Ahmeti</w:t>
      </w:r>
      <w:r w:rsidRPr="00012C17">
        <w:rPr>
          <w:rFonts w:cs="Arial"/>
          <w:color w:val="000000"/>
          <w:sz w:val="24"/>
        </w:rPr>
        <w:t xml:space="preserve"> refers to Article 12 of the Law on Amend</w:t>
      </w:r>
      <w:r w:rsidR="00EA59F2" w:rsidRPr="00012C17">
        <w:rPr>
          <w:rFonts w:cs="Arial"/>
          <w:color w:val="000000"/>
          <w:sz w:val="24"/>
        </w:rPr>
        <w:t xml:space="preserve">ing and Supplementing </w:t>
      </w:r>
      <w:r w:rsidRPr="00012C17">
        <w:rPr>
          <w:rFonts w:cs="Arial"/>
          <w:color w:val="000000"/>
          <w:sz w:val="24"/>
        </w:rPr>
        <w:t xml:space="preserve">the </w:t>
      </w:r>
      <w:r w:rsidR="00EA59F2" w:rsidRPr="00012C17">
        <w:rPr>
          <w:rFonts w:cs="Arial"/>
          <w:color w:val="000000"/>
          <w:sz w:val="24"/>
        </w:rPr>
        <w:t>LGE</w:t>
      </w:r>
      <w:r w:rsidRPr="00012C17">
        <w:rPr>
          <w:rFonts w:cs="Arial"/>
          <w:color w:val="000000"/>
          <w:sz w:val="24"/>
        </w:rPr>
        <w:t xml:space="preserve">, which defines the </w:t>
      </w:r>
      <w:r w:rsidR="00EA59F2" w:rsidRPr="00012C17">
        <w:rPr>
          <w:rFonts w:cs="Arial"/>
          <w:color w:val="000000"/>
          <w:sz w:val="24"/>
        </w:rPr>
        <w:t>jurisdiction</w:t>
      </w:r>
      <w:r w:rsidRPr="00012C17">
        <w:rPr>
          <w:rFonts w:cs="Arial"/>
          <w:color w:val="000000"/>
          <w:sz w:val="24"/>
        </w:rPr>
        <w:t xml:space="preserve"> of the Supreme Court in dealing with appeals</w:t>
      </w:r>
      <w:r w:rsidR="00E82AE3" w:rsidRPr="00012C17">
        <w:rPr>
          <w:rFonts w:cs="Arial"/>
          <w:color w:val="000000"/>
          <w:sz w:val="24"/>
        </w:rPr>
        <w:t>.</w:t>
      </w:r>
      <w:r w:rsidR="006E52F9" w:rsidRPr="00012C17">
        <w:rPr>
          <w:rFonts w:cs="Arial"/>
          <w:color w:val="000000"/>
          <w:sz w:val="24"/>
        </w:rPr>
        <w:t xml:space="preserve"> </w:t>
      </w:r>
    </w:p>
    <w:p w:rsidR="00720580" w:rsidRPr="00012C17" w:rsidRDefault="00720580" w:rsidP="001B11C5">
      <w:pPr>
        <w:spacing w:line="240" w:lineRule="auto"/>
        <w:ind w:left="630"/>
        <w:rPr>
          <w:rFonts w:cs="Arial"/>
          <w:color w:val="000000"/>
          <w:sz w:val="24"/>
        </w:rPr>
      </w:pPr>
    </w:p>
    <w:p w:rsidR="009364FD" w:rsidRPr="00012C17" w:rsidRDefault="00A10FD0" w:rsidP="001B11C5">
      <w:pPr>
        <w:numPr>
          <w:ilvl w:val="0"/>
          <w:numId w:val="1"/>
        </w:numPr>
        <w:spacing w:line="240" w:lineRule="auto"/>
        <w:ind w:left="630" w:hanging="630"/>
        <w:rPr>
          <w:rFonts w:cs="Arial"/>
          <w:color w:val="000000"/>
          <w:sz w:val="24"/>
        </w:rPr>
      </w:pPr>
      <w:r w:rsidRPr="00012C17">
        <w:rPr>
          <w:rFonts w:cs="Arial"/>
          <w:color w:val="000000"/>
          <w:sz w:val="24"/>
        </w:rPr>
        <w:t xml:space="preserve">With regard to the evidence submitted to the Court by the </w:t>
      </w:r>
      <w:r w:rsidR="00EA59F2" w:rsidRPr="00012C17">
        <w:rPr>
          <w:rFonts w:cs="Arial"/>
          <w:color w:val="000000"/>
          <w:sz w:val="24"/>
        </w:rPr>
        <w:t>A</w:t>
      </w:r>
      <w:r w:rsidRPr="00012C17">
        <w:rPr>
          <w:rFonts w:cs="Arial"/>
          <w:color w:val="000000"/>
          <w:sz w:val="24"/>
        </w:rPr>
        <w:t xml:space="preserve">pplicants, </w:t>
      </w:r>
      <w:r w:rsidR="00BB7CB9" w:rsidRPr="00012C17">
        <w:rPr>
          <w:rFonts w:cs="Arial"/>
          <w:color w:val="000000"/>
          <w:sz w:val="24"/>
        </w:rPr>
        <w:t>namely</w:t>
      </w:r>
      <w:r w:rsidRPr="00012C17">
        <w:rPr>
          <w:rFonts w:cs="Arial"/>
          <w:color w:val="000000"/>
          <w:sz w:val="24"/>
        </w:rPr>
        <w:t xml:space="preserve"> the television reports, Mr. Shpend Ahmeti emphasizes that the Constitutional Court is not a court </w:t>
      </w:r>
      <w:r w:rsidR="00BB7CB9" w:rsidRPr="00012C17">
        <w:rPr>
          <w:rFonts w:cs="Arial"/>
          <w:color w:val="000000"/>
          <w:sz w:val="24"/>
        </w:rPr>
        <w:t>before</w:t>
      </w:r>
      <w:r w:rsidRPr="00012C17">
        <w:rPr>
          <w:rFonts w:cs="Arial"/>
          <w:color w:val="000000"/>
          <w:sz w:val="24"/>
        </w:rPr>
        <w:t xml:space="preserve"> which </w:t>
      </w:r>
      <w:r w:rsidR="00BB7CB9" w:rsidRPr="00012C17">
        <w:rPr>
          <w:rFonts w:cs="Arial"/>
          <w:color w:val="000000"/>
          <w:sz w:val="24"/>
        </w:rPr>
        <w:t xml:space="preserve">is administered </w:t>
      </w:r>
      <w:r w:rsidR="00F73E8F" w:rsidRPr="00012C17">
        <w:rPr>
          <w:rFonts w:cs="Arial"/>
          <w:color w:val="000000"/>
          <w:sz w:val="24"/>
        </w:rPr>
        <w:t>the</w:t>
      </w:r>
      <w:r w:rsidRPr="00012C17">
        <w:rPr>
          <w:rFonts w:cs="Arial"/>
          <w:color w:val="000000"/>
          <w:sz w:val="24"/>
        </w:rPr>
        <w:t xml:space="preserve"> evidence that has already been administered by the regular courts. </w:t>
      </w:r>
      <w:r w:rsidR="00BB7CB9" w:rsidRPr="00012C17">
        <w:rPr>
          <w:rFonts w:cs="Arial"/>
          <w:color w:val="000000"/>
          <w:sz w:val="24"/>
        </w:rPr>
        <w:t>In addition</w:t>
      </w:r>
      <w:r w:rsidRPr="00012C17">
        <w:rPr>
          <w:rFonts w:cs="Arial"/>
          <w:color w:val="000000"/>
          <w:sz w:val="24"/>
        </w:rPr>
        <w:t xml:space="preserve">, Mr. Shpend Ahmeti considers that the Applicants had the legal opportunity to submit all their </w:t>
      </w:r>
      <w:r w:rsidR="00BB7CB9" w:rsidRPr="00012C17">
        <w:rPr>
          <w:rFonts w:cs="Arial"/>
          <w:color w:val="000000"/>
          <w:sz w:val="24"/>
        </w:rPr>
        <w:t>allegations</w:t>
      </w:r>
      <w:r w:rsidRPr="00012C17">
        <w:rPr>
          <w:rFonts w:cs="Arial"/>
          <w:color w:val="000000"/>
          <w:sz w:val="24"/>
        </w:rPr>
        <w:t xml:space="preserve"> </w:t>
      </w:r>
      <w:r w:rsidR="00BB7CB9" w:rsidRPr="00012C17">
        <w:rPr>
          <w:rFonts w:cs="Arial"/>
          <w:color w:val="000000"/>
          <w:sz w:val="24"/>
        </w:rPr>
        <w:t>before</w:t>
      </w:r>
      <w:r w:rsidRPr="00012C17">
        <w:rPr>
          <w:rFonts w:cs="Arial"/>
          <w:color w:val="000000"/>
          <w:sz w:val="24"/>
        </w:rPr>
        <w:t xml:space="preserve"> the justice authorities (Police, Prosecut</w:t>
      </w:r>
      <w:r w:rsidR="00BB7CB9" w:rsidRPr="00012C17">
        <w:rPr>
          <w:rFonts w:cs="Arial"/>
          <w:color w:val="000000"/>
          <w:sz w:val="24"/>
        </w:rPr>
        <w:t>ion</w:t>
      </w:r>
      <w:r w:rsidRPr="00012C17">
        <w:rPr>
          <w:rFonts w:cs="Arial"/>
          <w:color w:val="000000"/>
          <w:sz w:val="24"/>
        </w:rPr>
        <w:t xml:space="preserve">, </w:t>
      </w:r>
      <w:r w:rsidR="00BB7CB9" w:rsidRPr="00012C17">
        <w:rPr>
          <w:rFonts w:cs="Arial"/>
          <w:color w:val="000000"/>
          <w:sz w:val="24"/>
        </w:rPr>
        <w:t>courts</w:t>
      </w:r>
      <w:r w:rsidRPr="00012C17">
        <w:rPr>
          <w:rFonts w:cs="Arial"/>
          <w:color w:val="000000"/>
          <w:sz w:val="24"/>
        </w:rPr>
        <w:t xml:space="preserve">) and these </w:t>
      </w:r>
      <w:r w:rsidR="00BB7CB9" w:rsidRPr="00012C17">
        <w:rPr>
          <w:rFonts w:cs="Arial"/>
          <w:color w:val="000000"/>
          <w:sz w:val="24"/>
        </w:rPr>
        <w:t>authorities</w:t>
      </w:r>
      <w:r w:rsidRPr="00012C17">
        <w:rPr>
          <w:rFonts w:cs="Arial"/>
          <w:color w:val="000000"/>
          <w:sz w:val="24"/>
        </w:rPr>
        <w:t xml:space="preserve"> could </w:t>
      </w:r>
      <w:r w:rsidR="00F73E8F" w:rsidRPr="00012C17">
        <w:rPr>
          <w:rFonts w:cs="Arial"/>
          <w:color w:val="000000"/>
          <w:sz w:val="24"/>
        </w:rPr>
        <w:t xml:space="preserve">have </w:t>
      </w:r>
      <w:r w:rsidRPr="00012C17">
        <w:rPr>
          <w:rFonts w:cs="Arial"/>
          <w:color w:val="000000"/>
          <w:sz w:val="24"/>
        </w:rPr>
        <w:t>decide</w:t>
      </w:r>
      <w:r w:rsidR="00F73E8F" w:rsidRPr="00012C17">
        <w:rPr>
          <w:rFonts w:cs="Arial"/>
          <w:color w:val="000000"/>
          <w:sz w:val="24"/>
        </w:rPr>
        <w:t>d</w:t>
      </w:r>
      <w:r w:rsidRPr="00012C17">
        <w:rPr>
          <w:rFonts w:cs="Arial"/>
          <w:color w:val="000000"/>
          <w:sz w:val="24"/>
        </w:rPr>
        <w:t xml:space="preserve"> on third-party violations. However, according to him, in </w:t>
      </w:r>
      <w:r w:rsidR="00F73E8F" w:rsidRPr="00012C17">
        <w:rPr>
          <w:rFonts w:cs="Arial"/>
          <w:color w:val="000000"/>
          <w:sz w:val="24"/>
        </w:rPr>
        <w:t>any</w:t>
      </w:r>
      <w:r w:rsidRPr="00012C17">
        <w:rPr>
          <w:rFonts w:cs="Arial"/>
          <w:color w:val="000000"/>
          <w:sz w:val="24"/>
        </w:rPr>
        <w:t xml:space="preserve"> case can</w:t>
      </w:r>
      <w:r w:rsidR="00F73E8F" w:rsidRPr="00012C17">
        <w:rPr>
          <w:rFonts w:cs="Arial"/>
          <w:color w:val="000000"/>
          <w:sz w:val="24"/>
        </w:rPr>
        <w:t>not</w:t>
      </w:r>
      <w:r w:rsidRPr="00012C17">
        <w:rPr>
          <w:rFonts w:cs="Arial"/>
          <w:color w:val="000000"/>
          <w:sz w:val="24"/>
        </w:rPr>
        <w:t xml:space="preserve"> be ascertained that there has been a violation of fundamental rights and freedoms guaranteed by the Constitution based on television reports </w:t>
      </w:r>
      <w:r w:rsidR="00BB7CB9" w:rsidRPr="00012C17">
        <w:rPr>
          <w:rFonts w:cs="Arial"/>
          <w:color w:val="000000"/>
          <w:sz w:val="24"/>
        </w:rPr>
        <w:t>submitted</w:t>
      </w:r>
      <w:r w:rsidRPr="00012C17">
        <w:rPr>
          <w:rFonts w:cs="Arial"/>
          <w:color w:val="000000"/>
          <w:sz w:val="24"/>
        </w:rPr>
        <w:t xml:space="preserve"> as evidence by the </w:t>
      </w:r>
      <w:r w:rsidR="00BB7CB9" w:rsidRPr="00012C17">
        <w:rPr>
          <w:rFonts w:cs="Arial"/>
          <w:color w:val="000000"/>
          <w:sz w:val="24"/>
        </w:rPr>
        <w:t>A</w:t>
      </w:r>
      <w:r w:rsidRPr="00012C17">
        <w:rPr>
          <w:rFonts w:cs="Arial"/>
          <w:color w:val="000000"/>
          <w:sz w:val="24"/>
        </w:rPr>
        <w:t xml:space="preserve">pplicants. This, according to the comments, is not something that can be </w:t>
      </w:r>
      <w:r w:rsidR="00BB7CB9" w:rsidRPr="00012C17">
        <w:rPr>
          <w:rFonts w:cs="Arial"/>
          <w:color w:val="000000"/>
          <w:sz w:val="24"/>
        </w:rPr>
        <w:t>requested</w:t>
      </w:r>
      <w:r w:rsidRPr="00012C17">
        <w:rPr>
          <w:rFonts w:cs="Arial"/>
          <w:color w:val="000000"/>
          <w:sz w:val="24"/>
        </w:rPr>
        <w:t xml:space="preserve"> </w:t>
      </w:r>
      <w:r w:rsidR="00BB7CB9" w:rsidRPr="00012C17">
        <w:rPr>
          <w:rFonts w:cs="Arial"/>
          <w:color w:val="000000"/>
          <w:sz w:val="24"/>
        </w:rPr>
        <w:t>from</w:t>
      </w:r>
      <w:r w:rsidRPr="00012C17">
        <w:rPr>
          <w:rFonts w:cs="Arial"/>
          <w:color w:val="000000"/>
          <w:sz w:val="24"/>
        </w:rPr>
        <w:t xml:space="preserve"> the Constitutional Court which can only make a constitutional review and violation of fundamental rights and freedoms guaranteed by the Constitution</w:t>
      </w:r>
      <w:r w:rsidR="00EC5C5F" w:rsidRPr="00012C17">
        <w:rPr>
          <w:rFonts w:cs="Arial"/>
          <w:color w:val="000000"/>
          <w:sz w:val="24"/>
        </w:rPr>
        <w:t xml:space="preserve">. </w:t>
      </w:r>
    </w:p>
    <w:p w:rsidR="009364FD" w:rsidRPr="00012C17" w:rsidRDefault="009364FD" w:rsidP="001B11C5">
      <w:pPr>
        <w:spacing w:line="240" w:lineRule="auto"/>
        <w:rPr>
          <w:rFonts w:cs="Arial"/>
          <w:color w:val="000000"/>
          <w:sz w:val="24"/>
        </w:rPr>
      </w:pPr>
    </w:p>
    <w:p w:rsidR="00942060" w:rsidRPr="00012C17" w:rsidRDefault="00A10FD0" w:rsidP="001B11C5">
      <w:pPr>
        <w:numPr>
          <w:ilvl w:val="0"/>
          <w:numId w:val="1"/>
        </w:numPr>
        <w:spacing w:line="240" w:lineRule="auto"/>
        <w:ind w:left="630" w:hanging="630"/>
        <w:rPr>
          <w:rFonts w:cs="Arial"/>
          <w:color w:val="000000"/>
          <w:sz w:val="24"/>
        </w:rPr>
      </w:pPr>
      <w:r w:rsidRPr="00012C17">
        <w:rPr>
          <w:rFonts w:cs="Arial"/>
          <w:color w:val="000000"/>
          <w:sz w:val="24"/>
        </w:rPr>
        <w:t xml:space="preserve">Regarding the referral of the Applicants to the decision of the Constitutional Court of Austria </w:t>
      </w:r>
      <w:r w:rsidR="00A54CE2" w:rsidRPr="00012C17">
        <w:rPr>
          <w:rFonts w:cs="Arial"/>
          <w:color w:val="000000"/>
          <w:sz w:val="24"/>
        </w:rPr>
        <w:t>(</w:t>
      </w:r>
      <w:r w:rsidRPr="00012C17">
        <w:rPr>
          <w:rFonts w:cs="Arial"/>
          <w:color w:val="000000"/>
          <w:sz w:val="24"/>
        </w:rPr>
        <w:t xml:space="preserve">E I 4/2015 </w:t>
      </w:r>
      <w:r w:rsidR="00A54CE2" w:rsidRPr="00012C17">
        <w:rPr>
          <w:rFonts w:cs="Arial"/>
          <w:color w:val="000000"/>
          <w:sz w:val="24"/>
        </w:rPr>
        <w:t>–</w:t>
      </w:r>
      <w:r w:rsidRPr="00012C17">
        <w:rPr>
          <w:rFonts w:cs="Arial"/>
          <w:color w:val="000000"/>
          <w:sz w:val="24"/>
        </w:rPr>
        <w:t xml:space="preserve"> 25</w:t>
      </w:r>
      <w:r w:rsidR="00A54CE2" w:rsidRPr="00012C17">
        <w:rPr>
          <w:rFonts w:cs="Arial"/>
          <w:color w:val="000000"/>
          <w:sz w:val="24"/>
        </w:rPr>
        <w:t>)</w:t>
      </w:r>
      <w:r w:rsidR="00AE7AFB" w:rsidRPr="00012C17">
        <w:rPr>
          <w:rFonts w:cs="Arial"/>
          <w:color w:val="000000"/>
          <w:sz w:val="24"/>
        </w:rPr>
        <w:t>,</w:t>
      </w:r>
      <w:r w:rsidRPr="00012C17">
        <w:rPr>
          <w:rFonts w:cs="Arial"/>
          <w:color w:val="000000"/>
          <w:sz w:val="24"/>
        </w:rPr>
        <w:t xml:space="preserve"> </w:t>
      </w:r>
      <w:r w:rsidR="00BB7CB9" w:rsidRPr="00012C17">
        <w:rPr>
          <w:rFonts w:cs="Arial"/>
          <w:color w:val="000000"/>
          <w:sz w:val="24"/>
        </w:rPr>
        <w:t xml:space="preserve">Mr. </w:t>
      </w:r>
      <w:r w:rsidRPr="00012C17">
        <w:rPr>
          <w:rFonts w:cs="Arial"/>
          <w:color w:val="000000"/>
          <w:sz w:val="24"/>
        </w:rPr>
        <w:t xml:space="preserve">Shpend Ahmeti claims that comparison with this decision does not stand because the election result in Austria was canceled because there </w:t>
      </w:r>
      <w:r w:rsidR="00BB7CB9" w:rsidRPr="00012C17">
        <w:rPr>
          <w:rFonts w:cs="Arial"/>
          <w:color w:val="000000"/>
          <w:sz w:val="24"/>
        </w:rPr>
        <w:t>has been a</w:t>
      </w:r>
      <w:r w:rsidRPr="00012C17">
        <w:rPr>
          <w:rFonts w:cs="Arial"/>
          <w:color w:val="000000"/>
          <w:sz w:val="24"/>
        </w:rPr>
        <w:t xml:space="preserve"> violation of the Federal Election Law </w:t>
      </w:r>
      <w:r w:rsidR="00455D92" w:rsidRPr="00012C17">
        <w:rPr>
          <w:rFonts w:cs="Arial"/>
          <w:color w:val="000000"/>
          <w:sz w:val="24"/>
        </w:rPr>
        <w:t>for</w:t>
      </w:r>
      <w:r w:rsidRPr="00012C17">
        <w:rPr>
          <w:rFonts w:cs="Arial"/>
          <w:color w:val="000000"/>
          <w:sz w:val="24"/>
        </w:rPr>
        <w:t xml:space="preserve"> the </w:t>
      </w:r>
      <w:r w:rsidR="00455D92" w:rsidRPr="00012C17">
        <w:rPr>
          <w:rFonts w:cs="Arial"/>
          <w:color w:val="000000"/>
          <w:sz w:val="24"/>
        </w:rPr>
        <w:t xml:space="preserve">election of the </w:t>
      </w:r>
      <w:r w:rsidRPr="00012C17">
        <w:rPr>
          <w:rFonts w:cs="Arial"/>
          <w:color w:val="000000"/>
          <w:sz w:val="24"/>
        </w:rPr>
        <w:t>President, where the votes were opened earl</w:t>
      </w:r>
      <w:r w:rsidR="00455D92" w:rsidRPr="00012C17">
        <w:rPr>
          <w:rFonts w:cs="Arial"/>
          <w:color w:val="000000"/>
          <w:sz w:val="24"/>
        </w:rPr>
        <w:t>ier by the non-competent person</w:t>
      </w:r>
      <w:r w:rsidRPr="00012C17">
        <w:rPr>
          <w:rFonts w:cs="Arial"/>
          <w:color w:val="000000"/>
          <w:sz w:val="24"/>
        </w:rPr>
        <w:t xml:space="preserve">; the criterion of the impact of the </w:t>
      </w:r>
      <w:r w:rsidR="00455D92" w:rsidRPr="00012C17">
        <w:rPr>
          <w:rFonts w:cs="Arial"/>
          <w:color w:val="000000"/>
          <w:sz w:val="24"/>
        </w:rPr>
        <w:t>violation</w:t>
      </w:r>
      <w:r w:rsidRPr="00012C17">
        <w:rPr>
          <w:rFonts w:cs="Arial"/>
          <w:color w:val="000000"/>
          <w:sz w:val="24"/>
        </w:rPr>
        <w:t xml:space="preserve"> </w:t>
      </w:r>
      <w:r w:rsidR="00455D92" w:rsidRPr="00012C17">
        <w:rPr>
          <w:rFonts w:cs="Arial"/>
          <w:color w:val="000000"/>
          <w:sz w:val="24"/>
        </w:rPr>
        <w:t>regarding</w:t>
      </w:r>
      <w:r w:rsidRPr="00012C17">
        <w:rPr>
          <w:rFonts w:cs="Arial"/>
          <w:color w:val="000000"/>
          <w:sz w:val="24"/>
        </w:rPr>
        <w:t xml:space="preserve"> the </w:t>
      </w:r>
      <w:r w:rsidR="00455D92" w:rsidRPr="00012C17">
        <w:rPr>
          <w:rFonts w:cs="Arial"/>
          <w:color w:val="000000"/>
          <w:sz w:val="24"/>
        </w:rPr>
        <w:t>result</w:t>
      </w:r>
      <w:r w:rsidRPr="00012C17">
        <w:rPr>
          <w:rFonts w:cs="Arial"/>
          <w:color w:val="000000"/>
          <w:sz w:val="24"/>
        </w:rPr>
        <w:t xml:space="preserve"> was based on 77,000 votes; </w:t>
      </w:r>
      <w:r w:rsidR="00455D92" w:rsidRPr="00012C17">
        <w:rPr>
          <w:rFonts w:cs="Arial"/>
          <w:color w:val="000000"/>
          <w:sz w:val="24"/>
        </w:rPr>
        <w:t>and</w:t>
      </w:r>
      <w:r w:rsidRPr="00012C17">
        <w:rPr>
          <w:rFonts w:cs="Arial"/>
          <w:color w:val="000000"/>
          <w:sz w:val="24"/>
        </w:rPr>
        <w:t xml:space="preserve"> violations of procedures </w:t>
      </w:r>
      <w:r w:rsidR="00455D92" w:rsidRPr="00012C17">
        <w:rPr>
          <w:rFonts w:cs="Arial"/>
          <w:color w:val="000000"/>
          <w:sz w:val="24"/>
        </w:rPr>
        <w:t>by</w:t>
      </w:r>
      <w:r w:rsidRPr="00012C17">
        <w:rPr>
          <w:rFonts w:cs="Arial"/>
          <w:color w:val="000000"/>
          <w:sz w:val="24"/>
        </w:rPr>
        <w:t xml:space="preserve"> lower instances</w:t>
      </w:r>
      <w:r w:rsidR="00455D92" w:rsidRPr="00012C17">
        <w:rPr>
          <w:rFonts w:cs="Arial"/>
          <w:color w:val="000000"/>
          <w:sz w:val="24"/>
        </w:rPr>
        <w:t xml:space="preserve"> have been found</w:t>
      </w:r>
      <w:r w:rsidRPr="00012C17">
        <w:rPr>
          <w:rFonts w:cs="Arial"/>
          <w:color w:val="000000"/>
          <w:sz w:val="24"/>
        </w:rPr>
        <w:t xml:space="preserve">. </w:t>
      </w:r>
      <w:r w:rsidR="00455D92" w:rsidRPr="00012C17">
        <w:rPr>
          <w:rFonts w:cs="Arial"/>
          <w:color w:val="000000"/>
          <w:sz w:val="24"/>
        </w:rPr>
        <w:t>In addition</w:t>
      </w:r>
      <w:r w:rsidRPr="00012C17">
        <w:rPr>
          <w:rFonts w:cs="Arial"/>
          <w:color w:val="000000"/>
          <w:sz w:val="24"/>
        </w:rPr>
        <w:t xml:space="preserve">, he states that the entire </w:t>
      </w:r>
      <w:r w:rsidR="00455D92" w:rsidRPr="00012C17">
        <w:rPr>
          <w:rFonts w:cs="Arial"/>
          <w:color w:val="000000"/>
          <w:sz w:val="24"/>
        </w:rPr>
        <w:t xml:space="preserve">decision of the </w:t>
      </w:r>
      <w:r w:rsidRPr="00012C17">
        <w:rPr>
          <w:rFonts w:cs="Arial"/>
          <w:color w:val="000000"/>
          <w:sz w:val="24"/>
        </w:rPr>
        <w:t>Austrian Constitutional Court had to do with a situation entirely different from that reflected by the Applicants</w:t>
      </w:r>
      <w:r w:rsidR="00EC5C5F" w:rsidRPr="00012C17">
        <w:rPr>
          <w:rFonts w:cs="Arial"/>
          <w:color w:val="000000"/>
          <w:sz w:val="24"/>
        </w:rPr>
        <w:t>.</w:t>
      </w:r>
      <w:r w:rsidR="00104641" w:rsidRPr="00012C17">
        <w:rPr>
          <w:rFonts w:cs="Arial"/>
          <w:color w:val="000000"/>
          <w:sz w:val="24"/>
        </w:rPr>
        <w:tab/>
      </w:r>
    </w:p>
    <w:p w:rsidR="00DF7E50" w:rsidRPr="00012C17" w:rsidRDefault="00DF7E50" w:rsidP="001B11C5">
      <w:pPr>
        <w:spacing w:line="240" w:lineRule="auto"/>
        <w:rPr>
          <w:bCs/>
          <w:color w:val="000000"/>
          <w:sz w:val="24"/>
        </w:rPr>
      </w:pPr>
    </w:p>
    <w:p w:rsidR="006F1448" w:rsidRPr="00012C17" w:rsidRDefault="00A10FD0" w:rsidP="001B11C5">
      <w:pPr>
        <w:numPr>
          <w:ilvl w:val="0"/>
          <w:numId w:val="1"/>
        </w:numPr>
        <w:spacing w:line="240" w:lineRule="auto"/>
        <w:ind w:left="630" w:hanging="630"/>
        <w:rPr>
          <w:rFonts w:cs="Arial"/>
          <w:color w:val="000000"/>
          <w:sz w:val="24"/>
        </w:rPr>
      </w:pPr>
      <w:r w:rsidRPr="00012C17">
        <w:rPr>
          <w:bCs/>
          <w:color w:val="000000"/>
          <w:sz w:val="24"/>
        </w:rPr>
        <w:t xml:space="preserve">As to the final </w:t>
      </w:r>
      <w:r w:rsidR="00455D92" w:rsidRPr="00012C17">
        <w:rPr>
          <w:bCs/>
          <w:color w:val="000000"/>
          <w:sz w:val="24"/>
        </w:rPr>
        <w:t>petitum</w:t>
      </w:r>
      <w:r w:rsidRPr="00012C17">
        <w:rPr>
          <w:bCs/>
          <w:color w:val="000000"/>
          <w:sz w:val="24"/>
        </w:rPr>
        <w:t xml:space="preserve"> of the Applicants for repetition of the </w:t>
      </w:r>
      <w:r w:rsidR="00455D92" w:rsidRPr="00012C17">
        <w:rPr>
          <w:bCs/>
          <w:color w:val="000000"/>
          <w:sz w:val="24"/>
        </w:rPr>
        <w:t>second round of elections</w:t>
      </w:r>
      <w:r w:rsidRPr="00012C17">
        <w:rPr>
          <w:bCs/>
          <w:color w:val="000000"/>
          <w:sz w:val="24"/>
        </w:rPr>
        <w:t xml:space="preserve">, Mr. Shpend Ahmeti points out that if eventually the repetition of the runoff would be ordered, this would result in a violation of his rights guaranteed by Article 45 of the Constitution. This is because the </w:t>
      </w:r>
      <w:r w:rsidR="00F32DC5" w:rsidRPr="00012C17">
        <w:rPr>
          <w:bCs/>
          <w:color w:val="000000"/>
          <w:sz w:val="24"/>
        </w:rPr>
        <w:t xml:space="preserve">Mayor </w:t>
      </w:r>
      <w:r w:rsidR="00455D92" w:rsidRPr="00012C17">
        <w:rPr>
          <w:bCs/>
          <w:color w:val="000000"/>
          <w:sz w:val="24"/>
        </w:rPr>
        <w:t>of the Municipality</w:t>
      </w:r>
      <w:r w:rsidRPr="00012C17">
        <w:rPr>
          <w:bCs/>
          <w:color w:val="000000"/>
          <w:sz w:val="24"/>
        </w:rPr>
        <w:t xml:space="preserve"> of Pris</w:t>
      </w:r>
      <w:r w:rsidR="00EE6F51" w:rsidRPr="00012C17">
        <w:rPr>
          <w:bCs/>
          <w:color w:val="000000"/>
          <w:sz w:val="24"/>
        </w:rPr>
        <w:t>h</w:t>
      </w:r>
      <w:r w:rsidRPr="00012C17">
        <w:rPr>
          <w:bCs/>
          <w:color w:val="000000"/>
          <w:sz w:val="24"/>
        </w:rPr>
        <w:t xml:space="preserve">tina </w:t>
      </w:r>
      <w:r w:rsidR="00EE6F51" w:rsidRPr="00012C17">
        <w:rPr>
          <w:bCs/>
          <w:color w:val="000000"/>
          <w:sz w:val="24"/>
        </w:rPr>
        <w:t>was</w:t>
      </w:r>
      <w:r w:rsidRPr="00012C17">
        <w:rPr>
          <w:bCs/>
          <w:color w:val="000000"/>
          <w:sz w:val="24"/>
        </w:rPr>
        <w:t xml:space="preserve"> elected in a regular </w:t>
      </w:r>
      <w:r w:rsidR="00EE6F51" w:rsidRPr="00012C17">
        <w:rPr>
          <w:rFonts w:cs="Arial"/>
          <w:color w:val="000000"/>
          <w:sz w:val="24"/>
        </w:rPr>
        <w:t xml:space="preserve">electoral process </w:t>
      </w:r>
      <w:r w:rsidRPr="00012C17">
        <w:rPr>
          <w:bCs/>
          <w:color w:val="000000"/>
          <w:sz w:val="24"/>
        </w:rPr>
        <w:t xml:space="preserve">and the repetition of the process after a few months </w:t>
      </w:r>
      <w:r w:rsidR="00EE6F51" w:rsidRPr="00012C17">
        <w:rPr>
          <w:bCs/>
          <w:color w:val="000000"/>
          <w:sz w:val="24"/>
        </w:rPr>
        <w:t>following</w:t>
      </w:r>
      <w:r w:rsidRPr="00012C17">
        <w:rPr>
          <w:bCs/>
          <w:color w:val="000000"/>
          <w:sz w:val="24"/>
        </w:rPr>
        <w:t xml:space="preserve"> the elections would negatively affect the </w:t>
      </w:r>
      <w:r w:rsidR="00F32DC5" w:rsidRPr="00012C17">
        <w:rPr>
          <w:bCs/>
          <w:color w:val="000000"/>
          <w:sz w:val="24"/>
        </w:rPr>
        <w:t xml:space="preserve">Mayor </w:t>
      </w:r>
      <w:r w:rsidRPr="00012C17">
        <w:rPr>
          <w:bCs/>
          <w:color w:val="000000"/>
          <w:sz w:val="24"/>
        </w:rPr>
        <w:t>himself</w:t>
      </w:r>
      <w:r w:rsidR="004C3E9A" w:rsidRPr="00012C17">
        <w:rPr>
          <w:bCs/>
          <w:color w:val="000000"/>
          <w:sz w:val="24"/>
        </w:rPr>
        <w:t>,</w:t>
      </w:r>
      <w:r w:rsidRPr="00012C17">
        <w:rPr>
          <w:bCs/>
          <w:color w:val="000000"/>
          <w:sz w:val="24"/>
        </w:rPr>
        <w:t xml:space="preserve"> by violating </w:t>
      </w:r>
      <w:r w:rsidR="004C3E9A" w:rsidRPr="00012C17">
        <w:rPr>
          <w:bCs/>
          <w:color w:val="000000"/>
          <w:sz w:val="24"/>
        </w:rPr>
        <w:t>his</w:t>
      </w:r>
      <w:r w:rsidRPr="00012C17">
        <w:rPr>
          <w:bCs/>
          <w:color w:val="000000"/>
          <w:sz w:val="24"/>
        </w:rPr>
        <w:t xml:space="preserve"> rights guaranteed by Article 45 of the Constitution</w:t>
      </w:r>
      <w:r w:rsidR="006F1448" w:rsidRPr="00012C17">
        <w:rPr>
          <w:rFonts w:cs="Arial"/>
          <w:color w:val="000000"/>
          <w:sz w:val="24"/>
        </w:rPr>
        <w:t xml:space="preserve">. </w:t>
      </w:r>
    </w:p>
    <w:p w:rsidR="006F1448" w:rsidRPr="00012C17" w:rsidRDefault="006F1448" w:rsidP="001B11C5">
      <w:pPr>
        <w:spacing w:line="240" w:lineRule="auto"/>
        <w:rPr>
          <w:rFonts w:cs="Arial"/>
          <w:color w:val="000000"/>
          <w:sz w:val="24"/>
        </w:rPr>
      </w:pPr>
    </w:p>
    <w:p w:rsidR="00E82AE3" w:rsidRPr="00012C17" w:rsidRDefault="00A10FD0" w:rsidP="001B11C5">
      <w:pPr>
        <w:numPr>
          <w:ilvl w:val="0"/>
          <w:numId w:val="1"/>
        </w:numPr>
        <w:spacing w:line="240" w:lineRule="auto"/>
        <w:ind w:left="630" w:hanging="630"/>
        <w:rPr>
          <w:rFonts w:cs="Arial"/>
          <w:color w:val="000000"/>
          <w:sz w:val="24"/>
        </w:rPr>
      </w:pPr>
      <w:r w:rsidRPr="00012C17">
        <w:rPr>
          <w:rFonts w:cs="Arial"/>
          <w:color w:val="000000"/>
          <w:sz w:val="24"/>
        </w:rPr>
        <w:t xml:space="preserve">Mr. Shpend Ahmeti also </w:t>
      </w:r>
      <w:r w:rsidR="00EE6F51" w:rsidRPr="00012C17">
        <w:rPr>
          <w:rFonts w:cs="Arial"/>
          <w:color w:val="000000"/>
          <w:sz w:val="24"/>
        </w:rPr>
        <w:t>emphasizes</w:t>
      </w:r>
      <w:r w:rsidRPr="00012C17">
        <w:rPr>
          <w:rFonts w:cs="Arial"/>
          <w:color w:val="000000"/>
          <w:sz w:val="24"/>
        </w:rPr>
        <w:t xml:space="preserve"> that the Applicants did not intend to count the votes</w:t>
      </w:r>
      <w:r w:rsidR="00F45E5F" w:rsidRPr="00012C17">
        <w:rPr>
          <w:rFonts w:cs="Arial"/>
          <w:color w:val="000000"/>
          <w:sz w:val="24"/>
        </w:rPr>
        <w:t>,</w:t>
      </w:r>
      <w:r w:rsidRPr="00012C17">
        <w:rPr>
          <w:rFonts w:cs="Arial"/>
          <w:color w:val="000000"/>
          <w:sz w:val="24"/>
        </w:rPr>
        <w:t xml:space="preserve"> but </w:t>
      </w:r>
      <w:r w:rsidR="00F45E5F" w:rsidRPr="00012C17">
        <w:rPr>
          <w:rFonts w:cs="Arial"/>
          <w:color w:val="000000"/>
          <w:sz w:val="24"/>
        </w:rPr>
        <w:t>to</w:t>
      </w:r>
      <w:r w:rsidR="00F73E8F" w:rsidRPr="00012C17">
        <w:rPr>
          <w:rFonts w:cs="Arial"/>
          <w:color w:val="000000"/>
          <w:sz w:val="24"/>
        </w:rPr>
        <w:t xml:space="preserve"> </w:t>
      </w:r>
      <w:r w:rsidR="00F73E8F" w:rsidRPr="00012C17">
        <w:rPr>
          <w:bCs/>
          <w:color w:val="000000"/>
          <w:sz w:val="24"/>
        </w:rPr>
        <w:t>revote</w:t>
      </w:r>
      <w:r w:rsidR="00F45E5F" w:rsidRPr="00012C17">
        <w:rPr>
          <w:rFonts w:cs="Arial"/>
          <w:color w:val="000000"/>
          <w:sz w:val="24"/>
        </w:rPr>
        <w:t>,</w:t>
      </w:r>
      <w:r w:rsidRPr="00012C17">
        <w:rPr>
          <w:rFonts w:cs="Arial"/>
          <w:color w:val="000000"/>
          <w:sz w:val="24"/>
        </w:rPr>
        <w:t xml:space="preserve"> because the </w:t>
      </w:r>
      <w:r w:rsidR="00F45E5F" w:rsidRPr="00012C17">
        <w:rPr>
          <w:rFonts w:cs="Arial"/>
          <w:color w:val="000000"/>
          <w:sz w:val="24"/>
        </w:rPr>
        <w:t>Referral</w:t>
      </w:r>
      <w:r w:rsidRPr="00012C17">
        <w:rPr>
          <w:rFonts w:cs="Arial"/>
          <w:color w:val="000000"/>
          <w:sz w:val="24"/>
        </w:rPr>
        <w:t xml:space="preserve"> to the Constitutional Court was </w:t>
      </w:r>
      <w:r w:rsidR="00F45E5F" w:rsidRPr="00012C17">
        <w:rPr>
          <w:rFonts w:cs="Arial"/>
          <w:color w:val="000000"/>
          <w:sz w:val="24"/>
        </w:rPr>
        <w:t>submitted</w:t>
      </w:r>
      <w:r w:rsidRPr="00012C17">
        <w:rPr>
          <w:rFonts w:cs="Arial"/>
          <w:color w:val="000000"/>
          <w:sz w:val="24"/>
        </w:rPr>
        <w:t xml:space="preserve"> only after the election material was destroyed by the CEC, and before this happened according to the comments, the Applicants had the opportunity to address the Court by requesting the interim measure and the preservation of the election material. In this regard, Mr. Shpend Ahmeti also </w:t>
      </w:r>
      <w:r w:rsidR="00F45E5F" w:rsidRPr="00012C17">
        <w:rPr>
          <w:rFonts w:cs="Arial"/>
          <w:color w:val="000000"/>
          <w:sz w:val="24"/>
        </w:rPr>
        <w:t>emphasizes</w:t>
      </w:r>
      <w:r w:rsidRPr="00012C17">
        <w:rPr>
          <w:rFonts w:cs="Arial"/>
          <w:color w:val="000000"/>
          <w:sz w:val="24"/>
        </w:rPr>
        <w:t xml:space="preserve"> that </w:t>
      </w:r>
      <w:r w:rsidR="00F45E5F" w:rsidRPr="00012C17">
        <w:rPr>
          <w:rFonts w:cs="Arial"/>
          <w:color w:val="000000"/>
          <w:sz w:val="24"/>
        </w:rPr>
        <w:t>“</w:t>
      </w:r>
      <w:r w:rsidRPr="00012C17">
        <w:rPr>
          <w:rFonts w:cs="Arial"/>
          <w:i/>
          <w:iCs/>
          <w:color w:val="000000"/>
          <w:sz w:val="24"/>
        </w:rPr>
        <w:t xml:space="preserve">if the violations of the </w:t>
      </w:r>
      <w:r w:rsidR="00EE6F51" w:rsidRPr="00012C17">
        <w:rPr>
          <w:rFonts w:cs="Arial"/>
          <w:i/>
          <w:iCs/>
          <w:color w:val="000000"/>
          <w:sz w:val="24"/>
        </w:rPr>
        <w:t>electoral</w:t>
      </w:r>
      <w:r w:rsidRPr="00012C17">
        <w:rPr>
          <w:rFonts w:cs="Arial"/>
          <w:i/>
          <w:iCs/>
          <w:color w:val="000000"/>
          <w:sz w:val="24"/>
        </w:rPr>
        <w:t xml:space="preserve"> process actually exist</w:t>
      </w:r>
      <w:r w:rsidR="00F45E5F" w:rsidRPr="00012C17">
        <w:rPr>
          <w:rFonts w:cs="Arial"/>
          <w:i/>
          <w:iCs/>
          <w:color w:val="000000"/>
          <w:sz w:val="24"/>
        </w:rPr>
        <w:t>ed</w:t>
      </w:r>
      <w:r w:rsidRPr="00012C17">
        <w:rPr>
          <w:rFonts w:cs="Arial"/>
          <w:i/>
          <w:iCs/>
          <w:color w:val="000000"/>
          <w:sz w:val="24"/>
        </w:rPr>
        <w:t xml:space="preserve">, the Applicants </w:t>
      </w:r>
      <w:r w:rsidR="00F45E5F" w:rsidRPr="00012C17">
        <w:rPr>
          <w:rFonts w:cs="Arial"/>
          <w:i/>
          <w:iCs/>
          <w:color w:val="000000"/>
          <w:sz w:val="24"/>
        </w:rPr>
        <w:t>had the opportunity</w:t>
      </w:r>
      <w:r w:rsidRPr="00012C17">
        <w:rPr>
          <w:rFonts w:cs="Arial"/>
          <w:i/>
          <w:iCs/>
          <w:color w:val="000000"/>
          <w:sz w:val="24"/>
        </w:rPr>
        <w:t xml:space="preserve"> to request from the Constitutional Court </w:t>
      </w:r>
      <w:r w:rsidR="00AE7AFB" w:rsidRPr="00012C17">
        <w:rPr>
          <w:rFonts w:cs="Arial"/>
          <w:i/>
          <w:iCs/>
          <w:color w:val="000000"/>
          <w:sz w:val="24"/>
        </w:rPr>
        <w:t xml:space="preserve">an interim </w:t>
      </w:r>
      <w:r w:rsidRPr="00012C17">
        <w:rPr>
          <w:rFonts w:cs="Arial"/>
          <w:i/>
          <w:iCs/>
          <w:color w:val="000000"/>
          <w:sz w:val="24"/>
        </w:rPr>
        <w:t>measure</w:t>
      </w:r>
      <w:r w:rsidR="00F45E5F" w:rsidRPr="00012C17">
        <w:rPr>
          <w:rFonts w:cs="Arial"/>
          <w:i/>
          <w:iCs/>
          <w:color w:val="000000"/>
          <w:sz w:val="24"/>
        </w:rPr>
        <w:t>,</w:t>
      </w:r>
      <w:r w:rsidRPr="00012C17">
        <w:rPr>
          <w:rFonts w:cs="Arial"/>
          <w:i/>
          <w:iCs/>
          <w:color w:val="000000"/>
          <w:sz w:val="24"/>
        </w:rPr>
        <w:t xml:space="preserve"> by which it would </w:t>
      </w:r>
      <w:r w:rsidR="00A54CE2" w:rsidRPr="00012C17">
        <w:rPr>
          <w:rFonts w:cs="Arial"/>
          <w:i/>
          <w:iCs/>
          <w:color w:val="000000"/>
          <w:sz w:val="24"/>
        </w:rPr>
        <w:t xml:space="preserve">prohibit the destruction of </w:t>
      </w:r>
      <w:r w:rsidRPr="00012C17">
        <w:rPr>
          <w:rFonts w:cs="Arial"/>
          <w:i/>
          <w:iCs/>
          <w:color w:val="000000"/>
          <w:sz w:val="24"/>
        </w:rPr>
        <w:t xml:space="preserve">the </w:t>
      </w:r>
      <w:r w:rsidR="00F45E5F" w:rsidRPr="00012C17">
        <w:rPr>
          <w:rFonts w:cs="Arial"/>
          <w:i/>
          <w:iCs/>
          <w:color w:val="000000"/>
          <w:sz w:val="24"/>
        </w:rPr>
        <w:t>election</w:t>
      </w:r>
      <w:r w:rsidRPr="00012C17">
        <w:rPr>
          <w:rFonts w:cs="Arial"/>
          <w:i/>
          <w:iCs/>
          <w:color w:val="000000"/>
          <w:sz w:val="24"/>
        </w:rPr>
        <w:t xml:space="preserve"> material</w:t>
      </w:r>
      <w:r w:rsidRPr="00012C17">
        <w:rPr>
          <w:rFonts w:cs="Arial"/>
          <w:color w:val="000000"/>
          <w:sz w:val="24"/>
        </w:rPr>
        <w:t xml:space="preserve"> </w:t>
      </w:r>
      <w:r w:rsidR="00E82AE3" w:rsidRPr="00012C17">
        <w:rPr>
          <w:rFonts w:cs="Arial"/>
          <w:i/>
          <w:color w:val="000000"/>
          <w:sz w:val="24"/>
        </w:rPr>
        <w:t>[...]</w:t>
      </w:r>
      <w:r w:rsidR="00F45E5F" w:rsidRPr="00012C17">
        <w:rPr>
          <w:rFonts w:cs="Arial"/>
          <w:i/>
          <w:color w:val="000000"/>
          <w:sz w:val="24"/>
        </w:rPr>
        <w:t>”</w:t>
      </w:r>
      <w:r w:rsidR="00E82AE3" w:rsidRPr="00012C17">
        <w:rPr>
          <w:rFonts w:cs="Arial"/>
          <w:i/>
          <w:color w:val="000000"/>
          <w:sz w:val="24"/>
        </w:rPr>
        <w:t>.</w:t>
      </w:r>
    </w:p>
    <w:p w:rsidR="00E82AE3" w:rsidRPr="00012C17" w:rsidRDefault="00E82AE3" w:rsidP="001B11C5">
      <w:pPr>
        <w:spacing w:line="240" w:lineRule="auto"/>
        <w:rPr>
          <w:rFonts w:cs="Arial"/>
          <w:color w:val="000000"/>
          <w:sz w:val="24"/>
        </w:rPr>
      </w:pPr>
    </w:p>
    <w:p w:rsidR="00AF396C" w:rsidRPr="00012C17" w:rsidRDefault="00A10FD0" w:rsidP="001B11C5">
      <w:pPr>
        <w:numPr>
          <w:ilvl w:val="0"/>
          <w:numId w:val="1"/>
        </w:numPr>
        <w:spacing w:line="240" w:lineRule="auto"/>
        <w:ind w:left="630" w:hanging="630"/>
        <w:rPr>
          <w:rFonts w:cs="Arial"/>
          <w:b/>
          <w:color w:val="000000"/>
          <w:sz w:val="24"/>
        </w:rPr>
      </w:pPr>
      <w:r w:rsidRPr="00012C17">
        <w:rPr>
          <w:rFonts w:cs="Arial"/>
          <w:color w:val="000000"/>
          <w:sz w:val="24"/>
        </w:rPr>
        <w:lastRenderedPageBreak/>
        <w:t xml:space="preserve">Finally, Mr. </w:t>
      </w:r>
      <w:r w:rsidRPr="00012C17">
        <w:rPr>
          <w:bCs/>
          <w:color w:val="000000"/>
          <w:sz w:val="24"/>
        </w:rPr>
        <w:t>Shpend</w:t>
      </w:r>
      <w:r w:rsidRPr="00012C17">
        <w:rPr>
          <w:rFonts w:cs="Arial"/>
          <w:color w:val="000000"/>
          <w:sz w:val="24"/>
        </w:rPr>
        <w:t xml:space="preserve"> Ahmeti </w:t>
      </w:r>
      <w:r w:rsidR="00F45E5F" w:rsidRPr="00012C17">
        <w:rPr>
          <w:rFonts w:cs="Arial"/>
          <w:color w:val="000000"/>
          <w:sz w:val="24"/>
        </w:rPr>
        <w:t>requests</w:t>
      </w:r>
      <w:r w:rsidRPr="00012C17">
        <w:rPr>
          <w:rFonts w:cs="Arial"/>
          <w:color w:val="000000"/>
          <w:sz w:val="24"/>
        </w:rPr>
        <w:t xml:space="preserve"> the Court to declare the Applicants</w:t>
      </w:r>
      <w:r w:rsidR="00BF2FD6" w:rsidRPr="00012C17">
        <w:rPr>
          <w:rFonts w:cs="Arial"/>
          <w:color w:val="000000"/>
          <w:sz w:val="24"/>
        </w:rPr>
        <w:t xml:space="preserve">’ </w:t>
      </w:r>
      <w:r w:rsidRPr="00012C17">
        <w:rPr>
          <w:rFonts w:cs="Arial"/>
          <w:color w:val="000000"/>
          <w:sz w:val="24"/>
        </w:rPr>
        <w:t xml:space="preserve">Referral as </w:t>
      </w:r>
      <w:r w:rsidR="00BF2FD6" w:rsidRPr="00012C17">
        <w:rPr>
          <w:rFonts w:cs="Arial"/>
          <w:color w:val="000000"/>
          <w:sz w:val="24"/>
        </w:rPr>
        <w:t>“</w:t>
      </w:r>
      <w:r w:rsidR="00BF2FD6" w:rsidRPr="00012C17">
        <w:rPr>
          <w:rFonts w:cs="Arial"/>
          <w:i/>
          <w:iCs/>
          <w:color w:val="000000"/>
          <w:sz w:val="24"/>
        </w:rPr>
        <w:t>manifestly inadmissible</w:t>
      </w:r>
      <w:r w:rsidR="00BF2FD6" w:rsidRPr="00012C17">
        <w:rPr>
          <w:rFonts w:cs="Arial"/>
          <w:color w:val="000000"/>
          <w:sz w:val="24"/>
        </w:rPr>
        <w:t>”</w:t>
      </w:r>
      <w:r w:rsidRPr="00012C17">
        <w:rPr>
          <w:rFonts w:cs="Arial"/>
          <w:color w:val="000000"/>
          <w:sz w:val="24"/>
        </w:rPr>
        <w:t>, since, according to him, the Applicants' submissions are manifestly ill-founded and are not reasoned</w:t>
      </w:r>
      <w:r w:rsidR="006F1448" w:rsidRPr="00012C17">
        <w:rPr>
          <w:rFonts w:cs="Arial"/>
          <w:color w:val="000000"/>
          <w:sz w:val="24"/>
        </w:rPr>
        <w:t xml:space="preserve"> </w:t>
      </w:r>
      <w:r w:rsidR="006F1448" w:rsidRPr="00012C17">
        <w:rPr>
          <w:rFonts w:cs="Arial"/>
          <w:i/>
          <w:color w:val="000000"/>
          <w:sz w:val="24"/>
        </w:rPr>
        <w:t>prima facie</w:t>
      </w:r>
      <w:r w:rsidR="006F1448" w:rsidRPr="00012C17">
        <w:rPr>
          <w:rFonts w:cs="Arial"/>
          <w:color w:val="000000"/>
          <w:sz w:val="24"/>
        </w:rPr>
        <w:t>.</w:t>
      </w:r>
    </w:p>
    <w:p w:rsidR="009A28A1" w:rsidRPr="00012C17" w:rsidRDefault="009A28A1" w:rsidP="001B11C5">
      <w:pPr>
        <w:spacing w:line="240" w:lineRule="auto"/>
        <w:rPr>
          <w:rFonts w:cs="Arial"/>
          <w:b/>
          <w:color w:val="000000"/>
          <w:sz w:val="24"/>
        </w:rPr>
      </w:pPr>
    </w:p>
    <w:p w:rsidR="0050374A" w:rsidRPr="00012C17" w:rsidRDefault="00A10FD0" w:rsidP="001B11C5">
      <w:pPr>
        <w:spacing w:line="240" w:lineRule="auto"/>
        <w:rPr>
          <w:b/>
          <w:bCs/>
          <w:color w:val="000000"/>
          <w:sz w:val="24"/>
        </w:rPr>
      </w:pPr>
      <w:r w:rsidRPr="00012C17">
        <w:rPr>
          <w:b/>
          <w:bCs/>
          <w:color w:val="000000"/>
          <w:sz w:val="24"/>
        </w:rPr>
        <w:t>Additional comments submitted by the Applicant</w:t>
      </w:r>
      <w:r w:rsidR="00F73E8F" w:rsidRPr="00012C17">
        <w:rPr>
          <w:b/>
          <w:bCs/>
          <w:color w:val="000000"/>
          <w:sz w:val="24"/>
        </w:rPr>
        <w:t>s</w:t>
      </w:r>
    </w:p>
    <w:p w:rsidR="0050374A" w:rsidRPr="00012C17" w:rsidRDefault="0050374A" w:rsidP="001B11C5">
      <w:pPr>
        <w:spacing w:line="240" w:lineRule="auto"/>
        <w:rPr>
          <w:b/>
          <w:bCs/>
          <w:color w:val="000000"/>
          <w:sz w:val="24"/>
        </w:rPr>
      </w:pPr>
    </w:p>
    <w:p w:rsidR="00AF396C" w:rsidRPr="00012C17" w:rsidRDefault="00F73E8F" w:rsidP="001B11C5">
      <w:pPr>
        <w:numPr>
          <w:ilvl w:val="0"/>
          <w:numId w:val="1"/>
        </w:numPr>
        <w:spacing w:line="240" w:lineRule="auto"/>
        <w:ind w:left="630" w:hanging="630"/>
        <w:rPr>
          <w:bCs/>
          <w:color w:val="000000"/>
          <w:sz w:val="24"/>
        </w:rPr>
      </w:pPr>
      <w:r w:rsidRPr="00012C17">
        <w:rPr>
          <w:bCs/>
          <w:color w:val="000000"/>
          <w:sz w:val="24"/>
        </w:rPr>
        <w:t>The Applicants, th</w:t>
      </w:r>
      <w:r w:rsidR="00A10FD0" w:rsidRPr="00012C17">
        <w:rPr>
          <w:bCs/>
          <w:color w:val="000000"/>
          <w:sz w:val="24"/>
        </w:rPr>
        <w:t xml:space="preserve">rough the comments submitted in response to the comments </w:t>
      </w:r>
      <w:r w:rsidR="00BF2FD6" w:rsidRPr="00012C17">
        <w:rPr>
          <w:bCs/>
          <w:color w:val="000000"/>
          <w:sz w:val="24"/>
        </w:rPr>
        <w:t>filed</w:t>
      </w:r>
      <w:r w:rsidR="00A10FD0" w:rsidRPr="00012C17">
        <w:rPr>
          <w:bCs/>
          <w:color w:val="000000"/>
          <w:sz w:val="24"/>
        </w:rPr>
        <w:t xml:space="preserve"> by Mr. Shpend Ahmeti, (i) challenge his procedural capacity in the proceedings before the Court; (ii) present their disagreement with regard to his arguments in favor of the inadmissibility of the Referral; (iii) present their disagreement with regard to their arguments concerning the lack of jurisdiction of the Court to </w:t>
      </w:r>
      <w:r w:rsidR="00BF2FD6" w:rsidRPr="00012C17">
        <w:rPr>
          <w:bCs/>
          <w:color w:val="000000"/>
          <w:sz w:val="24"/>
        </w:rPr>
        <w:t>review</w:t>
      </w:r>
      <w:r w:rsidR="00A10FD0" w:rsidRPr="00012C17">
        <w:rPr>
          <w:bCs/>
          <w:color w:val="000000"/>
          <w:sz w:val="24"/>
        </w:rPr>
        <w:t xml:space="preserve"> the referral in question; and (iv) challenge his arguments against the violation </w:t>
      </w:r>
      <w:r w:rsidRPr="00012C17">
        <w:rPr>
          <w:bCs/>
          <w:color w:val="000000"/>
          <w:sz w:val="24"/>
        </w:rPr>
        <w:t xml:space="preserve">alleged </w:t>
      </w:r>
      <w:r w:rsidR="00A10FD0" w:rsidRPr="00012C17">
        <w:rPr>
          <w:bCs/>
          <w:color w:val="000000"/>
          <w:sz w:val="24"/>
        </w:rPr>
        <w:t>by the Applicant</w:t>
      </w:r>
      <w:r w:rsidR="00BF2FD6" w:rsidRPr="00012C17">
        <w:rPr>
          <w:bCs/>
          <w:color w:val="000000"/>
          <w:sz w:val="24"/>
        </w:rPr>
        <w:t>s</w:t>
      </w:r>
      <w:r w:rsidR="008C3AAD" w:rsidRPr="00012C17">
        <w:rPr>
          <w:bCs/>
          <w:color w:val="000000"/>
          <w:sz w:val="24"/>
        </w:rPr>
        <w:t xml:space="preserve">. </w:t>
      </w:r>
    </w:p>
    <w:p w:rsidR="00AF396C" w:rsidRPr="00012C17" w:rsidRDefault="00AF396C" w:rsidP="001B11C5">
      <w:pPr>
        <w:pStyle w:val="ListParagraph"/>
        <w:spacing w:after="0" w:line="240" w:lineRule="auto"/>
        <w:ind w:left="630"/>
        <w:jc w:val="both"/>
        <w:rPr>
          <w:rFonts w:ascii="Georgia" w:hAnsi="Georgia"/>
          <w:bCs/>
          <w:color w:val="000000"/>
          <w:sz w:val="24"/>
          <w:szCs w:val="24"/>
          <w:lang w:val="en-US"/>
        </w:rPr>
      </w:pPr>
    </w:p>
    <w:p w:rsidR="00AF396C" w:rsidRPr="00012C17" w:rsidRDefault="00A10FD0" w:rsidP="001B11C5">
      <w:pPr>
        <w:numPr>
          <w:ilvl w:val="0"/>
          <w:numId w:val="1"/>
        </w:numPr>
        <w:spacing w:line="240" w:lineRule="auto"/>
        <w:ind w:left="630" w:hanging="630"/>
        <w:rPr>
          <w:bCs/>
          <w:color w:val="000000"/>
          <w:sz w:val="24"/>
        </w:rPr>
      </w:pPr>
      <w:r w:rsidRPr="00012C17">
        <w:rPr>
          <w:bCs/>
          <w:color w:val="000000"/>
          <w:sz w:val="24"/>
        </w:rPr>
        <w:t xml:space="preserve">As to the first </w:t>
      </w:r>
      <w:r w:rsidR="00EE6F51" w:rsidRPr="00012C17">
        <w:rPr>
          <w:bCs/>
          <w:color w:val="000000"/>
          <w:sz w:val="24"/>
        </w:rPr>
        <w:t>issue</w:t>
      </w:r>
      <w:r w:rsidRPr="00012C17">
        <w:rPr>
          <w:bCs/>
          <w:color w:val="000000"/>
          <w:sz w:val="24"/>
        </w:rPr>
        <w:t xml:space="preserve">, namely the procedural legitimacy of Mr. Shpend Ahmeti in the proceedings, the Applicants state that </w:t>
      </w:r>
      <w:r w:rsidR="00F05E0A" w:rsidRPr="00012C17">
        <w:rPr>
          <w:bCs/>
          <w:color w:val="000000"/>
          <w:sz w:val="24"/>
        </w:rPr>
        <w:t>VETËVENDOSJE! Movement</w:t>
      </w:r>
      <w:r w:rsidRPr="00012C17">
        <w:rPr>
          <w:bCs/>
          <w:color w:val="000000"/>
          <w:sz w:val="24"/>
        </w:rPr>
        <w:t xml:space="preserve"> </w:t>
      </w:r>
      <w:r w:rsidR="00BF2FD6" w:rsidRPr="00012C17">
        <w:rPr>
          <w:bCs/>
          <w:color w:val="000000"/>
          <w:sz w:val="24"/>
        </w:rPr>
        <w:t>i</w:t>
      </w:r>
      <w:r w:rsidRPr="00012C17">
        <w:rPr>
          <w:bCs/>
          <w:color w:val="000000"/>
          <w:sz w:val="24"/>
        </w:rPr>
        <w:t>s a procedural party before the Court and not Mr. Shpend Ahmeti</w:t>
      </w:r>
      <w:r w:rsidR="00BF2FD6" w:rsidRPr="00012C17">
        <w:rPr>
          <w:bCs/>
          <w:color w:val="000000"/>
          <w:sz w:val="24"/>
        </w:rPr>
        <w:t>,</w:t>
      </w:r>
      <w:r w:rsidRPr="00012C17">
        <w:rPr>
          <w:bCs/>
          <w:color w:val="000000"/>
          <w:sz w:val="24"/>
        </w:rPr>
        <w:t xml:space="preserve"> because </w:t>
      </w:r>
      <w:r w:rsidR="00F05E0A" w:rsidRPr="00012C17">
        <w:rPr>
          <w:bCs/>
          <w:color w:val="000000"/>
          <w:sz w:val="24"/>
        </w:rPr>
        <w:t>VETËVENDOSJE! Movement</w:t>
      </w:r>
      <w:r w:rsidRPr="00012C17">
        <w:rPr>
          <w:bCs/>
          <w:color w:val="000000"/>
          <w:sz w:val="24"/>
        </w:rPr>
        <w:t xml:space="preserve"> </w:t>
      </w:r>
      <w:r w:rsidR="00BF2FD6" w:rsidRPr="00012C17">
        <w:rPr>
          <w:bCs/>
          <w:color w:val="000000"/>
          <w:sz w:val="24"/>
        </w:rPr>
        <w:t>was</w:t>
      </w:r>
      <w:r w:rsidRPr="00012C17">
        <w:rPr>
          <w:bCs/>
          <w:color w:val="000000"/>
          <w:sz w:val="24"/>
        </w:rPr>
        <w:t xml:space="preserve"> a party to proceedings before the regular courts. </w:t>
      </w:r>
      <w:r w:rsidR="00BF2FD6" w:rsidRPr="00012C17">
        <w:rPr>
          <w:bCs/>
          <w:color w:val="000000"/>
          <w:sz w:val="24"/>
        </w:rPr>
        <w:t>In addition</w:t>
      </w:r>
      <w:r w:rsidRPr="00012C17">
        <w:rPr>
          <w:bCs/>
          <w:color w:val="000000"/>
          <w:sz w:val="24"/>
        </w:rPr>
        <w:t xml:space="preserve">, in this </w:t>
      </w:r>
      <w:r w:rsidR="00EE6F51" w:rsidRPr="00012C17">
        <w:rPr>
          <w:bCs/>
          <w:color w:val="000000"/>
          <w:sz w:val="24"/>
        </w:rPr>
        <w:t>respect</w:t>
      </w:r>
      <w:r w:rsidRPr="00012C17">
        <w:rPr>
          <w:bCs/>
          <w:color w:val="000000"/>
          <w:sz w:val="24"/>
        </w:rPr>
        <w:t xml:space="preserve">, the Applicants </w:t>
      </w:r>
      <w:r w:rsidR="00BF2FD6" w:rsidRPr="00012C17">
        <w:rPr>
          <w:bCs/>
          <w:color w:val="000000"/>
          <w:sz w:val="24"/>
        </w:rPr>
        <w:t>emphasize</w:t>
      </w:r>
      <w:r w:rsidRPr="00012C17">
        <w:rPr>
          <w:bCs/>
          <w:color w:val="000000"/>
          <w:sz w:val="24"/>
        </w:rPr>
        <w:t xml:space="preserve"> that</w:t>
      </w:r>
      <w:r w:rsidR="00BF2FD6" w:rsidRPr="00012C17">
        <w:rPr>
          <w:bCs/>
          <w:color w:val="000000"/>
          <w:sz w:val="24"/>
        </w:rPr>
        <w:t xml:space="preserve"> Mr</w:t>
      </w:r>
      <w:r w:rsidRPr="00012C17">
        <w:rPr>
          <w:bCs/>
          <w:color w:val="000000"/>
          <w:sz w:val="24"/>
        </w:rPr>
        <w:t>. Shpend</w:t>
      </w:r>
      <w:r w:rsidR="00BF2FD6" w:rsidRPr="00012C17">
        <w:rPr>
          <w:bCs/>
          <w:color w:val="000000"/>
          <w:sz w:val="24"/>
        </w:rPr>
        <w:t xml:space="preserve"> </w:t>
      </w:r>
      <w:r w:rsidRPr="00012C17">
        <w:rPr>
          <w:bCs/>
          <w:color w:val="000000"/>
          <w:sz w:val="24"/>
        </w:rPr>
        <w:t xml:space="preserve">Ahmeti, before the Court, must act as a natural person and not as a </w:t>
      </w:r>
      <w:r w:rsidR="00F32DC5" w:rsidRPr="00012C17">
        <w:rPr>
          <w:bCs/>
          <w:color w:val="000000"/>
          <w:sz w:val="24"/>
        </w:rPr>
        <w:t xml:space="preserve">Mayor </w:t>
      </w:r>
      <w:r w:rsidR="00BF2FD6" w:rsidRPr="00012C17">
        <w:rPr>
          <w:bCs/>
          <w:color w:val="000000"/>
          <w:sz w:val="24"/>
        </w:rPr>
        <w:t>of the Municipality</w:t>
      </w:r>
      <w:r w:rsidRPr="00012C17">
        <w:rPr>
          <w:bCs/>
          <w:color w:val="000000"/>
          <w:sz w:val="24"/>
        </w:rPr>
        <w:t xml:space="preserve"> of Prishtina</w:t>
      </w:r>
      <w:r w:rsidR="00BF2FD6" w:rsidRPr="00012C17">
        <w:rPr>
          <w:bCs/>
          <w:color w:val="000000"/>
          <w:sz w:val="24"/>
        </w:rPr>
        <w:t>,</w:t>
      </w:r>
      <w:r w:rsidRPr="00012C17">
        <w:rPr>
          <w:bCs/>
          <w:color w:val="000000"/>
          <w:sz w:val="24"/>
        </w:rPr>
        <w:t xml:space="preserve"> </w:t>
      </w:r>
      <w:r w:rsidR="00BF2FD6" w:rsidRPr="00012C17">
        <w:rPr>
          <w:bCs/>
          <w:color w:val="000000"/>
          <w:sz w:val="24"/>
        </w:rPr>
        <w:t>under</w:t>
      </w:r>
      <w:r w:rsidRPr="00012C17">
        <w:rPr>
          <w:bCs/>
          <w:color w:val="000000"/>
          <w:sz w:val="24"/>
        </w:rPr>
        <w:t xml:space="preserve"> </w:t>
      </w:r>
      <w:r w:rsidR="00BF2FD6" w:rsidRPr="00012C17">
        <w:rPr>
          <w:bCs/>
          <w:color w:val="000000"/>
          <w:sz w:val="24"/>
        </w:rPr>
        <w:t>which</w:t>
      </w:r>
      <w:r w:rsidRPr="00012C17">
        <w:rPr>
          <w:bCs/>
          <w:color w:val="000000"/>
          <w:sz w:val="24"/>
        </w:rPr>
        <w:t xml:space="preserve"> </w:t>
      </w:r>
      <w:r w:rsidR="00BF2FD6" w:rsidRPr="00012C17">
        <w:rPr>
          <w:bCs/>
          <w:color w:val="000000"/>
          <w:sz w:val="24"/>
        </w:rPr>
        <w:t>name</w:t>
      </w:r>
      <w:r w:rsidRPr="00012C17">
        <w:rPr>
          <w:bCs/>
          <w:color w:val="000000"/>
          <w:sz w:val="24"/>
        </w:rPr>
        <w:t xml:space="preserve"> he has submitted his comments to the Court</w:t>
      </w:r>
      <w:r w:rsidR="00AF396C" w:rsidRPr="00012C17">
        <w:rPr>
          <w:bCs/>
          <w:color w:val="000000"/>
          <w:sz w:val="24"/>
        </w:rPr>
        <w:t>.</w:t>
      </w:r>
    </w:p>
    <w:p w:rsidR="00AF396C" w:rsidRPr="00012C17" w:rsidRDefault="00AF396C" w:rsidP="001B11C5">
      <w:pPr>
        <w:pStyle w:val="ListParagraph"/>
        <w:spacing w:after="0" w:line="240" w:lineRule="auto"/>
        <w:rPr>
          <w:rFonts w:ascii="Georgia" w:hAnsi="Georgia"/>
          <w:bCs/>
          <w:color w:val="000000"/>
          <w:sz w:val="24"/>
          <w:szCs w:val="24"/>
          <w:lang w:val="en-US"/>
        </w:rPr>
      </w:pPr>
    </w:p>
    <w:p w:rsidR="00AF396C" w:rsidRPr="00012C17" w:rsidRDefault="00A10FD0" w:rsidP="001B11C5">
      <w:pPr>
        <w:numPr>
          <w:ilvl w:val="0"/>
          <w:numId w:val="1"/>
        </w:numPr>
        <w:spacing w:line="240" w:lineRule="auto"/>
        <w:ind w:left="630" w:hanging="630"/>
        <w:rPr>
          <w:bCs/>
          <w:color w:val="000000"/>
          <w:sz w:val="24"/>
        </w:rPr>
      </w:pPr>
      <w:r w:rsidRPr="00012C17">
        <w:rPr>
          <w:bCs/>
          <w:color w:val="000000"/>
          <w:sz w:val="24"/>
        </w:rPr>
        <w:t xml:space="preserve">As to the arguments in favor of the inadmissibility of the Referral, the Applicants allege that Mr. Shpend Ahmeti's comments are </w:t>
      </w:r>
      <w:r w:rsidR="00BF2FD6" w:rsidRPr="00012C17">
        <w:rPr>
          <w:bCs/>
          <w:color w:val="000000"/>
          <w:sz w:val="24"/>
        </w:rPr>
        <w:t>“</w:t>
      </w:r>
      <w:r w:rsidRPr="00012C17">
        <w:rPr>
          <w:bCs/>
          <w:i/>
          <w:iCs/>
          <w:color w:val="000000"/>
          <w:sz w:val="24"/>
        </w:rPr>
        <w:t xml:space="preserve">distortion of the legal provisions and do not </w:t>
      </w:r>
      <w:r w:rsidR="00D37662" w:rsidRPr="00012C17">
        <w:rPr>
          <w:bCs/>
          <w:i/>
          <w:iCs/>
          <w:color w:val="000000"/>
          <w:sz w:val="24"/>
        </w:rPr>
        <w:t>match</w:t>
      </w:r>
      <w:r w:rsidRPr="00012C17">
        <w:rPr>
          <w:bCs/>
          <w:i/>
          <w:iCs/>
          <w:color w:val="000000"/>
          <w:sz w:val="24"/>
        </w:rPr>
        <w:t xml:space="preserve"> with the Applicant's allegations</w:t>
      </w:r>
      <w:r w:rsidR="00D37662" w:rsidRPr="00012C17">
        <w:rPr>
          <w:bCs/>
          <w:color w:val="000000"/>
          <w:sz w:val="24"/>
        </w:rPr>
        <w:t>”</w:t>
      </w:r>
      <w:r w:rsidRPr="00012C17">
        <w:rPr>
          <w:bCs/>
          <w:color w:val="000000"/>
          <w:sz w:val="24"/>
        </w:rPr>
        <w:t xml:space="preserve">. The Applicants specifically </w:t>
      </w:r>
      <w:r w:rsidR="00D37662" w:rsidRPr="00012C17">
        <w:rPr>
          <w:bCs/>
          <w:color w:val="000000"/>
          <w:sz w:val="24"/>
        </w:rPr>
        <w:t>challenge</w:t>
      </w:r>
      <w:r w:rsidRPr="00012C17">
        <w:rPr>
          <w:bCs/>
          <w:color w:val="000000"/>
          <w:sz w:val="24"/>
        </w:rPr>
        <w:t xml:space="preserve"> the argument of Mr. Shpend Ahmeti that the Applicants did not </w:t>
      </w:r>
      <w:r w:rsidR="00D37662" w:rsidRPr="00012C17">
        <w:rPr>
          <w:bCs/>
          <w:color w:val="000000"/>
          <w:sz w:val="24"/>
        </w:rPr>
        <w:t>exhaust</w:t>
      </w:r>
      <w:r w:rsidRPr="00012C17">
        <w:rPr>
          <w:bCs/>
          <w:color w:val="000000"/>
          <w:sz w:val="24"/>
        </w:rPr>
        <w:t xml:space="preserve"> legal remedies in their substantive sense</w:t>
      </w:r>
      <w:r w:rsidR="00D37662" w:rsidRPr="00012C17">
        <w:rPr>
          <w:bCs/>
          <w:color w:val="000000"/>
          <w:sz w:val="24"/>
        </w:rPr>
        <w:t>,</w:t>
      </w:r>
      <w:r w:rsidRPr="00012C17">
        <w:rPr>
          <w:bCs/>
          <w:color w:val="000000"/>
          <w:sz w:val="24"/>
        </w:rPr>
        <w:t xml:space="preserve"> </w:t>
      </w:r>
      <w:r w:rsidR="00D37662" w:rsidRPr="00012C17">
        <w:rPr>
          <w:bCs/>
          <w:color w:val="000000"/>
          <w:sz w:val="24"/>
        </w:rPr>
        <w:t>as</w:t>
      </w:r>
      <w:r w:rsidRPr="00012C17">
        <w:rPr>
          <w:bCs/>
          <w:color w:val="000000"/>
          <w:sz w:val="24"/>
        </w:rPr>
        <w:t xml:space="preserve"> </w:t>
      </w:r>
      <w:r w:rsidR="00D37662" w:rsidRPr="00012C17">
        <w:rPr>
          <w:bCs/>
          <w:color w:val="000000"/>
          <w:sz w:val="24"/>
        </w:rPr>
        <w:t>before</w:t>
      </w:r>
      <w:r w:rsidRPr="00012C17">
        <w:rPr>
          <w:bCs/>
          <w:color w:val="000000"/>
          <w:sz w:val="24"/>
        </w:rPr>
        <w:t xml:space="preserve"> the regular court</w:t>
      </w:r>
      <w:r w:rsidR="00D37662" w:rsidRPr="00012C17">
        <w:rPr>
          <w:bCs/>
          <w:color w:val="000000"/>
          <w:sz w:val="24"/>
        </w:rPr>
        <w:t>s</w:t>
      </w:r>
      <w:r w:rsidRPr="00012C17">
        <w:rPr>
          <w:bCs/>
          <w:color w:val="000000"/>
          <w:sz w:val="24"/>
        </w:rPr>
        <w:t xml:space="preserve"> the Applicants </w:t>
      </w:r>
      <w:r w:rsidR="00D37662" w:rsidRPr="00012C17">
        <w:rPr>
          <w:bCs/>
          <w:color w:val="000000"/>
          <w:sz w:val="24"/>
        </w:rPr>
        <w:t>did not request</w:t>
      </w:r>
      <w:r w:rsidRPr="00012C17">
        <w:rPr>
          <w:bCs/>
          <w:color w:val="000000"/>
          <w:sz w:val="24"/>
        </w:rPr>
        <w:t xml:space="preserve"> the repetition of the </w:t>
      </w:r>
      <w:r w:rsidR="00D37662" w:rsidRPr="00012C17">
        <w:rPr>
          <w:bCs/>
          <w:color w:val="000000"/>
          <w:sz w:val="24"/>
        </w:rPr>
        <w:t>second round of elections</w:t>
      </w:r>
      <w:r w:rsidRPr="00012C17">
        <w:rPr>
          <w:bCs/>
          <w:color w:val="000000"/>
          <w:sz w:val="24"/>
        </w:rPr>
        <w:t xml:space="preserve">, which is </w:t>
      </w:r>
      <w:r w:rsidR="00FD4107" w:rsidRPr="00012C17">
        <w:rPr>
          <w:bCs/>
          <w:color w:val="000000"/>
          <w:sz w:val="24"/>
        </w:rPr>
        <w:t>the request</w:t>
      </w:r>
      <w:r w:rsidRPr="00012C17">
        <w:rPr>
          <w:bCs/>
          <w:color w:val="000000"/>
          <w:sz w:val="24"/>
        </w:rPr>
        <w:t xml:space="preserve"> </w:t>
      </w:r>
      <w:r w:rsidR="00FD4107" w:rsidRPr="00012C17">
        <w:rPr>
          <w:bCs/>
          <w:color w:val="000000"/>
          <w:sz w:val="24"/>
        </w:rPr>
        <w:t>before</w:t>
      </w:r>
      <w:r w:rsidRPr="00012C17">
        <w:rPr>
          <w:bCs/>
          <w:color w:val="000000"/>
          <w:sz w:val="24"/>
        </w:rPr>
        <w:t xml:space="preserve"> the Cour</w:t>
      </w:r>
      <w:r w:rsidR="00D37662" w:rsidRPr="00012C17">
        <w:rPr>
          <w:bCs/>
          <w:color w:val="000000"/>
          <w:sz w:val="24"/>
        </w:rPr>
        <w:t>t, but only a recount of ballot papers</w:t>
      </w:r>
      <w:r w:rsidR="001A4E93" w:rsidRPr="00012C17">
        <w:rPr>
          <w:bCs/>
          <w:color w:val="000000"/>
          <w:sz w:val="24"/>
        </w:rPr>
        <w:t xml:space="preserve">. </w:t>
      </w:r>
    </w:p>
    <w:p w:rsidR="00AF396C" w:rsidRPr="00012C17" w:rsidRDefault="00AF396C" w:rsidP="001B11C5">
      <w:pPr>
        <w:pStyle w:val="ListParagraph"/>
        <w:spacing w:after="0" w:line="240" w:lineRule="auto"/>
        <w:rPr>
          <w:rFonts w:ascii="Georgia" w:hAnsi="Georgia"/>
          <w:bCs/>
          <w:color w:val="000000"/>
          <w:sz w:val="24"/>
          <w:szCs w:val="24"/>
          <w:lang w:val="en-US"/>
        </w:rPr>
      </w:pPr>
    </w:p>
    <w:p w:rsidR="00AF396C" w:rsidRPr="00012C17" w:rsidRDefault="00A10FD0" w:rsidP="001B11C5">
      <w:pPr>
        <w:numPr>
          <w:ilvl w:val="0"/>
          <w:numId w:val="1"/>
        </w:numPr>
        <w:spacing w:line="240" w:lineRule="auto"/>
        <w:ind w:left="630" w:hanging="630"/>
        <w:rPr>
          <w:bCs/>
          <w:color w:val="000000"/>
          <w:sz w:val="24"/>
        </w:rPr>
      </w:pPr>
      <w:r w:rsidRPr="00012C17">
        <w:rPr>
          <w:bCs/>
          <w:color w:val="000000"/>
          <w:sz w:val="24"/>
        </w:rPr>
        <w:t xml:space="preserve">With regard to the </w:t>
      </w:r>
      <w:r w:rsidR="00D37662" w:rsidRPr="00012C17">
        <w:rPr>
          <w:bCs/>
          <w:color w:val="000000"/>
          <w:sz w:val="24"/>
        </w:rPr>
        <w:t>comments</w:t>
      </w:r>
      <w:r w:rsidRPr="00012C17">
        <w:rPr>
          <w:bCs/>
          <w:color w:val="000000"/>
          <w:sz w:val="24"/>
        </w:rPr>
        <w:t xml:space="preserve"> relating to the jurisdiction of the Court, the Applicants consider that </w:t>
      </w:r>
      <w:r w:rsidR="00D37662" w:rsidRPr="00012C17">
        <w:rPr>
          <w:bCs/>
          <w:color w:val="000000"/>
          <w:sz w:val="24"/>
        </w:rPr>
        <w:t xml:space="preserve">the comments of </w:t>
      </w:r>
      <w:r w:rsidRPr="00012C17">
        <w:rPr>
          <w:bCs/>
          <w:color w:val="000000"/>
          <w:sz w:val="24"/>
        </w:rPr>
        <w:t xml:space="preserve">Mr. Shpend Ahmeti offer irrelevant justification and are </w:t>
      </w:r>
      <w:r w:rsidR="00FD4107" w:rsidRPr="00012C17">
        <w:rPr>
          <w:bCs/>
          <w:color w:val="000000"/>
          <w:sz w:val="24"/>
        </w:rPr>
        <w:t>not connected</w:t>
      </w:r>
      <w:r w:rsidRPr="00012C17">
        <w:rPr>
          <w:bCs/>
          <w:color w:val="000000"/>
          <w:sz w:val="24"/>
        </w:rPr>
        <w:t xml:space="preserve"> to the allegations raised by the Applicants. The allegations of the Municipality of Pris</w:t>
      </w:r>
      <w:r w:rsidR="00D37662" w:rsidRPr="00012C17">
        <w:rPr>
          <w:bCs/>
          <w:color w:val="000000"/>
          <w:sz w:val="24"/>
        </w:rPr>
        <w:t>h</w:t>
      </w:r>
      <w:r w:rsidR="00FD4107" w:rsidRPr="00012C17">
        <w:rPr>
          <w:bCs/>
          <w:color w:val="000000"/>
          <w:sz w:val="24"/>
        </w:rPr>
        <w:t>tina/</w:t>
      </w:r>
      <w:r w:rsidRPr="00012C17">
        <w:rPr>
          <w:bCs/>
          <w:color w:val="000000"/>
          <w:sz w:val="24"/>
        </w:rPr>
        <w:t>Mr. Shpend</w:t>
      </w:r>
      <w:r w:rsidR="00E2136F" w:rsidRPr="00012C17">
        <w:rPr>
          <w:bCs/>
          <w:color w:val="000000"/>
          <w:sz w:val="24"/>
        </w:rPr>
        <w:t xml:space="preserve"> </w:t>
      </w:r>
      <w:r w:rsidRPr="00012C17">
        <w:rPr>
          <w:bCs/>
          <w:color w:val="000000"/>
          <w:sz w:val="24"/>
        </w:rPr>
        <w:t>Ahmeti that the Court has no jurisdiction to assess the constitutionality of the individual act</w:t>
      </w:r>
      <w:r w:rsidR="00D37662" w:rsidRPr="00012C17">
        <w:rPr>
          <w:bCs/>
          <w:color w:val="000000"/>
          <w:sz w:val="24"/>
        </w:rPr>
        <w:t>,</w:t>
      </w:r>
      <w:r w:rsidRPr="00012C17">
        <w:rPr>
          <w:bCs/>
          <w:color w:val="000000"/>
          <w:sz w:val="24"/>
        </w:rPr>
        <w:t xml:space="preserve"> but only the constitutionality of the law</w:t>
      </w:r>
      <w:r w:rsidR="00FD4107" w:rsidRPr="00012C17">
        <w:rPr>
          <w:bCs/>
          <w:color w:val="000000"/>
          <w:sz w:val="24"/>
        </w:rPr>
        <w:t>,</w:t>
      </w:r>
      <w:r w:rsidRPr="00012C17">
        <w:rPr>
          <w:bCs/>
          <w:color w:val="000000"/>
          <w:sz w:val="24"/>
        </w:rPr>
        <w:t xml:space="preserve"> does not stand as Article 113.8 of the Constitution deals with the incidental control procedure that differs from the individual complaints procedure. According to them, </w:t>
      </w:r>
      <w:r w:rsidR="00D37662" w:rsidRPr="00012C17">
        <w:rPr>
          <w:bCs/>
          <w:color w:val="000000"/>
          <w:sz w:val="24"/>
        </w:rPr>
        <w:t xml:space="preserve">Mr. </w:t>
      </w:r>
      <w:r w:rsidRPr="00012C17">
        <w:rPr>
          <w:bCs/>
          <w:color w:val="000000"/>
          <w:sz w:val="24"/>
        </w:rPr>
        <w:t xml:space="preserve">Shpend Ahmeti failed to understand </w:t>
      </w:r>
      <w:r w:rsidR="00D37662" w:rsidRPr="00012C17">
        <w:rPr>
          <w:bCs/>
          <w:color w:val="000000"/>
          <w:sz w:val="24"/>
        </w:rPr>
        <w:t>“</w:t>
      </w:r>
      <w:r w:rsidR="00FD4107" w:rsidRPr="00012C17">
        <w:rPr>
          <w:bCs/>
          <w:i/>
          <w:iCs/>
          <w:color w:val="000000"/>
          <w:sz w:val="24"/>
        </w:rPr>
        <w:t>the</w:t>
      </w:r>
      <w:r w:rsidR="00FD4107" w:rsidRPr="00012C17">
        <w:rPr>
          <w:bCs/>
          <w:color w:val="000000"/>
          <w:sz w:val="24"/>
        </w:rPr>
        <w:t xml:space="preserve"> </w:t>
      </w:r>
      <w:r w:rsidRPr="00012C17">
        <w:rPr>
          <w:bCs/>
          <w:i/>
          <w:iCs/>
          <w:color w:val="000000"/>
          <w:sz w:val="24"/>
        </w:rPr>
        <w:t>individual complaint or elect</w:t>
      </w:r>
      <w:r w:rsidR="00D37662" w:rsidRPr="00012C17">
        <w:rPr>
          <w:bCs/>
          <w:i/>
          <w:iCs/>
          <w:color w:val="000000"/>
          <w:sz w:val="24"/>
        </w:rPr>
        <w:t>ion</w:t>
      </w:r>
      <w:r w:rsidRPr="00012C17">
        <w:rPr>
          <w:bCs/>
          <w:i/>
          <w:iCs/>
          <w:color w:val="000000"/>
          <w:sz w:val="24"/>
        </w:rPr>
        <w:t xml:space="preserve"> complaints and as a result</w:t>
      </w:r>
      <w:r w:rsidR="00D37662" w:rsidRPr="00012C17">
        <w:rPr>
          <w:bCs/>
          <w:i/>
          <w:iCs/>
          <w:color w:val="000000"/>
          <w:sz w:val="24"/>
        </w:rPr>
        <w:t>,</w:t>
      </w:r>
      <w:r w:rsidRPr="00012C17">
        <w:rPr>
          <w:bCs/>
          <w:i/>
          <w:iCs/>
          <w:color w:val="000000"/>
          <w:sz w:val="24"/>
        </w:rPr>
        <w:t xml:space="preserve"> their argumentation is irrelevant to the issue at hand</w:t>
      </w:r>
      <w:r w:rsidR="00316956" w:rsidRPr="00012C17">
        <w:rPr>
          <w:bCs/>
          <w:color w:val="000000"/>
          <w:sz w:val="24"/>
        </w:rPr>
        <w:t>”</w:t>
      </w:r>
      <w:r w:rsidR="00456802" w:rsidRPr="00012C17">
        <w:rPr>
          <w:bCs/>
          <w:color w:val="000000"/>
          <w:sz w:val="24"/>
        </w:rPr>
        <w:t xml:space="preserve">. </w:t>
      </w:r>
    </w:p>
    <w:p w:rsidR="00AF396C" w:rsidRPr="00012C17" w:rsidRDefault="00AF396C" w:rsidP="001B11C5">
      <w:pPr>
        <w:pStyle w:val="ListParagraph"/>
        <w:spacing w:after="0" w:line="240" w:lineRule="auto"/>
        <w:rPr>
          <w:rFonts w:ascii="Georgia" w:hAnsi="Georgia"/>
          <w:bCs/>
          <w:color w:val="000000"/>
          <w:sz w:val="24"/>
          <w:szCs w:val="24"/>
          <w:lang w:val="en-US"/>
        </w:rPr>
      </w:pPr>
    </w:p>
    <w:p w:rsidR="00104641" w:rsidRPr="00012C17" w:rsidRDefault="00D37662" w:rsidP="001B11C5">
      <w:pPr>
        <w:numPr>
          <w:ilvl w:val="0"/>
          <w:numId w:val="1"/>
        </w:numPr>
        <w:spacing w:line="240" w:lineRule="auto"/>
        <w:ind w:left="630" w:hanging="630"/>
        <w:rPr>
          <w:bCs/>
          <w:color w:val="000000"/>
          <w:sz w:val="24"/>
        </w:rPr>
      </w:pPr>
      <w:r w:rsidRPr="00012C17">
        <w:rPr>
          <w:bCs/>
          <w:color w:val="000000"/>
          <w:sz w:val="24"/>
        </w:rPr>
        <w:t>Finally</w:t>
      </w:r>
      <w:r w:rsidR="00A10FD0" w:rsidRPr="00012C17">
        <w:rPr>
          <w:bCs/>
          <w:color w:val="000000"/>
          <w:sz w:val="24"/>
        </w:rPr>
        <w:t xml:space="preserve">, the Applicants </w:t>
      </w:r>
      <w:r w:rsidRPr="00012C17">
        <w:rPr>
          <w:bCs/>
          <w:color w:val="000000"/>
          <w:sz w:val="24"/>
        </w:rPr>
        <w:t>challenge</w:t>
      </w:r>
      <w:r w:rsidR="00A10FD0" w:rsidRPr="00012C17">
        <w:rPr>
          <w:bCs/>
          <w:color w:val="000000"/>
          <w:sz w:val="24"/>
        </w:rPr>
        <w:t xml:space="preserve"> the arguments of Mr. Shpend Ahmeti, </w:t>
      </w:r>
      <w:r w:rsidRPr="00012C17">
        <w:rPr>
          <w:bCs/>
          <w:color w:val="000000"/>
          <w:sz w:val="24"/>
        </w:rPr>
        <w:t>who</w:t>
      </w:r>
      <w:r w:rsidR="00A10FD0" w:rsidRPr="00012C17">
        <w:rPr>
          <w:bCs/>
          <w:color w:val="000000"/>
          <w:sz w:val="24"/>
        </w:rPr>
        <w:t xml:space="preserve"> claim</w:t>
      </w:r>
      <w:r w:rsidRPr="00012C17">
        <w:rPr>
          <w:bCs/>
          <w:color w:val="000000"/>
          <w:sz w:val="24"/>
        </w:rPr>
        <w:t>s</w:t>
      </w:r>
      <w:r w:rsidR="00A10FD0" w:rsidRPr="00012C17">
        <w:rPr>
          <w:bCs/>
          <w:color w:val="000000"/>
          <w:sz w:val="24"/>
        </w:rPr>
        <w:t xml:space="preserve"> that they have not </w:t>
      </w:r>
      <w:r w:rsidRPr="00012C17">
        <w:rPr>
          <w:bCs/>
          <w:color w:val="000000"/>
          <w:sz w:val="24"/>
        </w:rPr>
        <w:t>substantiated</w:t>
      </w:r>
      <w:r w:rsidR="00A10FD0" w:rsidRPr="00012C17">
        <w:rPr>
          <w:bCs/>
          <w:color w:val="000000"/>
          <w:sz w:val="24"/>
        </w:rPr>
        <w:t xml:space="preserve"> violations of </w:t>
      </w:r>
      <w:r w:rsidRPr="00012C17">
        <w:rPr>
          <w:bCs/>
          <w:color w:val="000000"/>
          <w:sz w:val="24"/>
        </w:rPr>
        <w:t>A</w:t>
      </w:r>
      <w:r w:rsidR="00A10FD0" w:rsidRPr="00012C17">
        <w:rPr>
          <w:bCs/>
          <w:color w:val="000000"/>
          <w:sz w:val="24"/>
        </w:rPr>
        <w:t xml:space="preserve">rticles 45 and 54 of the Constitution; whereas, as regards the referenced case of the Constitutional Court of Austria, the Applicants consider that Mr. Shpend Ahmeti has misunderstood the </w:t>
      </w:r>
      <w:r w:rsidR="00FD4107" w:rsidRPr="00012C17">
        <w:rPr>
          <w:bCs/>
          <w:color w:val="000000"/>
          <w:sz w:val="24"/>
        </w:rPr>
        <w:t>context</w:t>
      </w:r>
      <w:r w:rsidR="00A10FD0" w:rsidRPr="00012C17">
        <w:rPr>
          <w:bCs/>
          <w:color w:val="000000"/>
          <w:sz w:val="24"/>
        </w:rPr>
        <w:t xml:space="preserve"> in which this argument was </w:t>
      </w:r>
      <w:r w:rsidRPr="00012C17">
        <w:rPr>
          <w:bCs/>
          <w:color w:val="000000"/>
          <w:sz w:val="24"/>
        </w:rPr>
        <w:t>presented</w:t>
      </w:r>
      <w:r w:rsidR="001A4E93" w:rsidRPr="00012C17">
        <w:rPr>
          <w:bCs/>
          <w:color w:val="000000"/>
          <w:sz w:val="24"/>
        </w:rPr>
        <w:t xml:space="preserve">. </w:t>
      </w:r>
    </w:p>
    <w:p w:rsidR="001777F9" w:rsidRPr="00012C17" w:rsidRDefault="001777F9" w:rsidP="001B11C5">
      <w:pPr>
        <w:spacing w:line="240" w:lineRule="auto"/>
        <w:jc w:val="center"/>
        <w:rPr>
          <w:rFonts w:cs="Arial"/>
          <w:b/>
          <w:iCs/>
          <w:color w:val="000000"/>
          <w:sz w:val="24"/>
        </w:rPr>
      </w:pPr>
    </w:p>
    <w:p w:rsidR="00D20736" w:rsidRPr="00012C17" w:rsidRDefault="00A10FD0" w:rsidP="001B11C5">
      <w:pPr>
        <w:spacing w:line="240" w:lineRule="auto"/>
        <w:jc w:val="left"/>
        <w:rPr>
          <w:rFonts w:cs="Arial"/>
          <w:b/>
          <w:iCs/>
          <w:color w:val="000000"/>
          <w:sz w:val="24"/>
        </w:rPr>
      </w:pPr>
      <w:r w:rsidRPr="00012C17">
        <w:rPr>
          <w:rFonts w:cs="Arial"/>
          <w:b/>
          <w:iCs/>
          <w:color w:val="000000"/>
          <w:sz w:val="24"/>
        </w:rPr>
        <w:t xml:space="preserve">Relevant </w:t>
      </w:r>
      <w:r w:rsidR="00FD4107" w:rsidRPr="00012C17">
        <w:rPr>
          <w:rFonts w:cs="Arial"/>
          <w:b/>
          <w:iCs/>
          <w:color w:val="000000"/>
          <w:sz w:val="24"/>
        </w:rPr>
        <w:t>constitutional and legal provisions</w:t>
      </w:r>
    </w:p>
    <w:p w:rsidR="00D37662" w:rsidRPr="00012C17" w:rsidRDefault="00D37662" w:rsidP="001B11C5">
      <w:pPr>
        <w:spacing w:line="240" w:lineRule="auto"/>
        <w:jc w:val="center"/>
        <w:rPr>
          <w:rFonts w:cs="Arial"/>
          <w:b/>
          <w:color w:val="000000"/>
          <w:sz w:val="24"/>
        </w:rPr>
      </w:pPr>
    </w:p>
    <w:p w:rsidR="002C714E" w:rsidRPr="00012C17" w:rsidRDefault="00A10FD0" w:rsidP="001B11C5">
      <w:pPr>
        <w:spacing w:line="240" w:lineRule="auto"/>
        <w:jc w:val="center"/>
        <w:rPr>
          <w:rFonts w:cs="Arial"/>
          <w:b/>
          <w:color w:val="000000"/>
          <w:sz w:val="24"/>
        </w:rPr>
      </w:pPr>
      <w:r w:rsidRPr="00012C17">
        <w:rPr>
          <w:rFonts w:cs="Arial"/>
          <w:b/>
          <w:color w:val="000000"/>
          <w:sz w:val="24"/>
        </w:rPr>
        <w:t>CONSTITUTION OF THE REPUBLIC OF KOSOVO</w:t>
      </w:r>
    </w:p>
    <w:p w:rsidR="00267677" w:rsidRPr="00012C17" w:rsidRDefault="00267677" w:rsidP="001B11C5">
      <w:pPr>
        <w:spacing w:line="240" w:lineRule="auto"/>
        <w:jc w:val="center"/>
        <w:rPr>
          <w:rFonts w:cs="Arial"/>
          <w:b/>
          <w:color w:val="000000"/>
          <w:sz w:val="24"/>
        </w:rPr>
      </w:pPr>
    </w:p>
    <w:p w:rsidR="00267677" w:rsidRPr="00012C17" w:rsidRDefault="00D37662" w:rsidP="001B11C5">
      <w:pPr>
        <w:spacing w:line="240" w:lineRule="auto"/>
        <w:ind w:left="720"/>
        <w:jc w:val="center"/>
        <w:rPr>
          <w:rFonts w:cs="Arial"/>
          <w:color w:val="000000"/>
          <w:sz w:val="24"/>
        </w:rPr>
      </w:pPr>
      <w:r w:rsidRPr="00012C17">
        <w:rPr>
          <w:rFonts w:cs="Arial"/>
          <w:color w:val="000000"/>
          <w:sz w:val="24"/>
        </w:rPr>
        <w:t>Article</w:t>
      </w:r>
      <w:r w:rsidR="00267677" w:rsidRPr="00012C17">
        <w:rPr>
          <w:rFonts w:cs="Arial"/>
          <w:color w:val="000000"/>
          <w:sz w:val="24"/>
        </w:rPr>
        <w:t xml:space="preserve"> 45</w:t>
      </w:r>
    </w:p>
    <w:p w:rsidR="00267677" w:rsidRPr="00012C17" w:rsidRDefault="00267677" w:rsidP="001B11C5">
      <w:pPr>
        <w:spacing w:line="240" w:lineRule="auto"/>
        <w:ind w:left="720"/>
        <w:jc w:val="center"/>
        <w:rPr>
          <w:rFonts w:cs="Arial"/>
          <w:color w:val="000000"/>
          <w:sz w:val="24"/>
        </w:rPr>
      </w:pPr>
      <w:r w:rsidRPr="00012C17">
        <w:rPr>
          <w:rFonts w:cs="Arial"/>
          <w:color w:val="000000"/>
          <w:sz w:val="24"/>
        </w:rPr>
        <w:t>[</w:t>
      </w:r>
      <w:r w:rsidR="00D37662" w:rsidRPr="00012C17">
        <w:rPr>
          <w:color w:val="000000"/>
          <w:sz w:val="24"/>
        </w:rPr>
        <w:t>Freedom of Election and Participation</w:t>
      </w:r>
      <w:r w:rsidRPr="00012C17">
        <w:rPr>
          <w:rFonts w:cs="Arial"/>
          <w:color w:val="000000"/>
          <w:sz w:val="24"/>
        </w:rPr>
        <w:t>]</w:t>
      </w:r>
    </w:p>
    <w:p w:rsidR="00267677" w:rsidRPr="00012C17" w:rsidRDefault="00267677" w:rsidP="001B11C5">
      <w:pPr>
        <w:spacing w:line="240" w:lineRule="auto"/>
        <w:ind w:left="720"/>
        <w:jc w:val="center"/>
        <w:rPr>
          <w:rFonts w:cs="Arial"/>
          <w:color w:val="000000"/>
          <w:sz w:val="24"/>
        </w:rPr>
      </w:pPr>
    </w:p>
    <w:p w:rsidR="00267677" w:rsidRPr="00012C17" w:rsidRDefault="00267677" w:rsidP="001B11C5">
      <w:pPr>
        <w:spacing w:line="240" w:lineRule="auto"/>
        <w:ind w:left="720"/>
        <w:rPr>
          <w:rFonts w:cs="Arial"/>
          <w:color w:val="000000"/>
          <w:sz w:val="24"/>
        </w:rPr>
      </w:pPr>
      <w:r w:rsidRPr="00012C17">
        <w:rPr>
          <w:rFonts w:cs="Arial"/>
          <w:color w:val="000000"/>
          <w:sz w:val="24"/>
        </w:rPr>
        <w:t>1.</w:t>
      </w:r>
      <w:r w:rsidR="00D37662" w:rsidRPr="00012C17">
        <w:rPr>
          <w:color w:val="000000"/>
          <w:sz w:val="24"/>
        </w:rPr>
        <w:t xml:space="preserve"> Every citizen of the Republic of Kosovo who has reached the age of eighteen, even if on the day of elections, has the right to elect and be elected, unless this right is limited by a court decision</w:t>
      </w:r>
      <w:r w:rsidRPr="00012C17">
        <w:rPr>
          <w:rFonts w:cs="Arial"/>
          <w:color w:val="000000"/>
          <w:sz w:val="24"/>
        </w:rPr>
        <w:t>.</w:t>
      </w:r>
      <w:r w:rsidR="006E52F9" w:rsidRPr="00012C17">
        <w:rPr>
          <w:rFonts w:cs="Arial"/>
          <w:color w:val="000000"/>
          <w:sz w:val="24"/>
        </w:rPr>
        <w:t xml:space="preserve"> </w:t>
      </w:r>
    </w:p>
    <w:p w:rsidR="009805AB" w:rsidRPr="00012C17" w:rsidRDefault="00267677" w:rsidP="001B11C5">
      <w:pPr>
        <w:tabs>
          <w:tab w:val="left" w:pos="1080"/>
        </w:tabs>
        <w:spacing w:line="240" w:lineRule="auto"/>
        <w:ind w:left="720"/>
        <w:rPr>
          <w:rFonts w:cs="Arial"/>
          <w:color w:val="000000"/>
          <w:sz w:val="24"/>
        </w:rPr>
      </w:pPr>
      <w:r w:rsidRPr="00012C17">
        <w:rPr>
          <w:rFonts w:cs="Arial"/>
          <w:color w:val="000000"/>
          <w:sz w:val="24"/>
        </w:rPr>
        <w:t>2.</w:t>
      </w:r>
      <w:r w:rsidR="00D37662" w:rsidRPr="00012C17">
        <w:rPr>
          <w:color w:val="000000"/>
          <w:sz w:val="24"/>
        </w:rPr>
        <w:t xml:space="preserve"> The vote is personal, equal, free and secret</w:t>
      </w:r>
      <w:r w:rsidRPr="00012C17">
        <w:rPr>
          <w:rFonts w:cs="Arial"/>
          <w:color w:val="000000"/>
          <w:sz w:val="24"/>
        </w:rPr>
        <w:t xml:space="preserve">. </w:t>
      </w:r>
    </w:p>
    <w:p w:rsidR="00267677" w:rsidRPr="00012C17" w:rsidRDefault="00267677" w:rsidP="001B11C5">
      <w:pPr>
        <w:spacing w:line="240" w:lineRule="auto"/>
        <w:ind w:left="720"/>
        <w:rPr>
          <w:rFonts w:cs="Arial"/>
          <w:color w:val="000000"/>
          <w:sz w:val="24"/>
        </w:rPr>
      </w:pPr>
      <w:r w:rsidRPr="00012C17">
        <w:rPr>
          <w:rFonts w:cs="Arial"/>
          <w:color w:val="000000"/>
          <w:sz w:val="24"/>
        </w:rPr>
        <w:t>3.</w:t>
      </w:r>
      <w:r w:rsidR="00D37662" w:rsidRPr="00012C17">
        <w:rPr>
          <w:color w:val="000000"/>
          <w:sz w:val="24"/>
        </w:rPr>
        <w:t xml:space="preserve"> State institutions support the possibility of every person to participate in public activities and everyone’s right to democratically influence decisions of public bodies</w:t>
      </w:r>
      <w:r w:rsidRPr="00012C17">
        <w:rPr>
          <w:rFonts w:cs="Arial"/>
          <w:color w:val="000000"/>
          <w:sz w:val="24"/>
        </w:rPr>
        <w:t>.</w:t>
      </w:r>
    </w:p>
    <w:p w:rsidR="00267677" w:rsidRPr="00012C17" w:rsidRDefault="00267677" w:rsidP="001B11C5">
      <w:pPr>
        <w:spacing w:line="240" w:lineRule="auto"/>
        <w:ind w:left="720"/>
        <w:rPr>
          <w:rFonts w:cs="Arial"/>
          <w:i/>
          <w:color w:val="000000"/>
          <w:sz w:val="24"/>
        </w:rPr>
      </w:pPr>
    </w:p>
    <w:p w:rsidR="00267677" w:rsidRPr="00012C17" w:rsidRDefault="00267677" w:rsidP="001B11C5">
      <w:pPr>
        <w:spacing w:line="240" w:lineRule="auto"/>
        <w:ind w:left="720"/>
        <w:rPr>
          <w:rFonts w:cs="Arial"/>
          <w:i/>
          <w:color w:val="000000"/>
          <w:sz w:val="24"/>
        </w:rPr>
      </w:pPr>
      <w:r w:rsidRPr="00012C17">
        <w:rPr>
          <w:rFonts w:cs="Arial"/>
          <w:color w:val="000000"/>
          <w:sz w:val="24"/>
        </w:rPr>
        <w:t>[...]</w:t>
      </w:r>
    </w:p>
    <w:p w:rsidR="00267677" w:rsidRPr="00012C17" w:rsidRDefault="00D37662" w:rsidP="001B11C5">
      <w:pPr>
        <w:spacing w:line="240" w:lineRule="auto"/>
        <w:ind w:left="720"/>
        <w:jc w:val="center"/>
        <w:rPr>
          <w:rFonts w:cs="Arial"/>
          <w:color w:val="000000"/>
          <w:sz w:val="24"/>
        </w:rPr>
      </w:pPr>
      <w:r w:rsidRPr="00012C17">
        <w:rPr>
          <w:rFonts w:cs="Arial"/>
          <w:color w:val="000000"/>
          <w:sz w:val="24"/>
        </w:rPr>
        <w:t xml:space="preserve">Article </w:t>
      </w:r>
      <w:r w:rsidR="00267677" w:rsidRPr="00012C17">
        <w:rPr>
          <w:rFonts w:cs="Arial"/>
          <w:color w:val="000000"/>
          <w:sz w:val="24"/>
        </w:rPr>
        <w:t>54</w:t>
      </w:r>
    </w:p>
    <w:p w:rsidR="00267677" w:rsidRPr="00012C17" w:rsidRDefault="00267677" w:rsidP="001B11C5">
      <w:pPr>
        <w:spacing w:line="240" w:lineRule="auto"/>
        <w:ind w:left="720"/>
        <w:jc w:val="center"/>
        <w:rPr>
          <w:rFonts w:cs="Arial"/>
          <w:color w:val="000000"/>
          <w:sz w:val="24"/>
        </w:rPr>
      </w:pPr>
      <w:r w:rsidRPr="00012C17">
        <w:rPr>
          <w:rFonts w:cs="Arial"/>
          <w:color w:val="000000"/>
          <w:sz w:val="24"/>
        </w:rPr>
        <w:t>[</w:t>
      </w:r>
      <w:r w:rsidR="00D37662" w:rsidRPr="00012C17">
        <w:rPr>
          <w:color w:val="000000"/>
          <w:sz w:val="24"/>
        </w:rPr>
        <w:t>Judicial Protection of Rights</w:t>
      </w:r>
      <w:r w:rsidRPr="00012C17">
        <w:rPr>
          <w:rFonts w:cs="Arial"/>
          <w:color w:val="000000"/>
          <w:sz w:val="24"/>
        </w:rPr>
        <w:t>]</w:t>
      </w:r>
    </w:p>
    <w:p w:rsidR="00887087" w:rsidRPr="00012C17" w:rsidRDefault="00887087" w:rsidP="001B11C5">
      <w:pPr>
        <w:spacing w:line="240" w:lineRule="auto"/>
        <w:ind w:left="720"/>
        <w:jc w:val="center"/>
        <w:rPr>
          <w:rFonts w:cs="Arial"/>
          <w:color w:val="000000"/>
          <w:sz w:val="24"/>
        </w:rPr>
      </w:pPr>
    </w:p>
    <w:p w:rsidR="00267677" w:rsidRPr="00012C17" w:rsidRDefault="00D37662" w:rsidP="001B11C5">
      <w:pPr>
        <w:spacing w:line="240" w:lineRule="auto"/>
        <w:ind w:left="720"/>
        <w:rPr>
          <w:rFonts w:cs="Arial"/>
          <w:color w:val="000000"/>
          <w:sz w:val="24"/>
        </w:rPr>
      </w:pPr>
      <w:r w:rsidRPr="00012C17">
        <w:rPr>
          <w:color w:val="000000"/>
          <w:sz w:val="24"/>
        </w:rPr>
        <w:t>Everyone enjoys the right of judicial protection if any right guaranteed by this Constitution or by law has been violated or denied and has the right to an effective legal remedy if found that such right has been violated</w:t>
      </w:r>
      <w:r w:rsidR="00267677" w:rsidRPr="00012C17">
        <w:rPr>
          <w:rFonts w:cs="Arial"/>
          <w:color w:val="000000"/>
          <w:sz w:val="24"/>
        </w:rPr>
        <w:t>.</w:t>
      </w:r>
      <w:r w:rsidR="006E52F9" w:rsidRPr="00012C17">
        <w:rPr>
          <w:rFonts w:cs="Arial"/>
          <w:color w:val="000000"/>
          <w:sz w:val="24"/>
        </w:rPr>
        <w:t xml:space="preserve"> </w:t>
      </w:r>
    </w:p>
    <w:p w:rsidR="00887087" w:rsidRPr="00012C17" w:rsidRDefault="00887087" w:rsidP="001B11C5">
      <w:pPr>
        <w:spacing w:line="240" w:lineRule="auto"/>
        <w:ind w:left="720"/>
        <w:jc w:val="center"/>
        <w:rPr>
          <w:rFonts w:cs="Arial"/>
          <w:color w:val="000000"/>
          <w:sz w:val="24"/>
        </w:rPr>
      </w:pPr>
    </w:p>
    <w:p w:rsidR="00887087" w:rsidRPr="00012C17" w:rsidRDefault="00D37662" w:rsidP="001B11C5">
      <w:pPr>
        <w:spacing w:line="240" w:lineRule="auto"/>
        <w:ind w:left="720"/>
        <w:jc w:val="center"/>
        <w:rPr>
          <w:rFonts w:cs="Arial"/>
          <w:color w:val="000000"/>
          <w:sz w:val="24"/>
        </w:rPr>
      </w:pPr>
      <w:r w:rsidRPr="00012C17">
        <w:rPr>
          <w:rFonts w:cs="Arial"/>
          <w:color w:val="000000"/>
          <w:sz w:val="24"/>
        </w:rPr>
        <w:t xml:space="preserve">Article </w:t>
      </w:r>
      <w:r w:rsidR="00887087" w:rsidRPr="00012C17">
        <w:rPr>
          <w:rFonts w:cs="Arial"/>
          <w:color w:val="000000"/>
          <w:sz w:val="24"/>
        </w:rPr>
        <w:t>123</w:t>
      </w:r>
    </w:p>
    <w:p w:rsidR="00887087" w:rsidRPr="00012C17" w:rsidRDefault="00887087" w:rsidP="001B11C5">
      <w:pPr>
        <w:spacing w:line="240" w:lineRule="auto"/>
        <w:ind w:left="720"/>
        <w:jc w:val="center"/>
        <w:rPr>
          <w:rFonts w:cs="Arial"/>
          <w:color w:val="000000"/>
          <w:sz w:val="24"/>
        </w:rPr>
      </w:pPr>
      <w:r w:rsidRPr="00012C17">
        <w:rPr>
          <w:rFonts w:cs="Arial"/>
          <w:color w:val="000000"/>
          <w:sz w:val="24"/>
        </w:rPr>
        <w:t>[</w:t>
      </w:r>
      <w:r w:rsidR="00D37662" w:rsidRPr="00012C17">
        <w:rPr>
          <w:color w:val="000000"/>
          <w:sz w:val="24"/>
        </w:rPr>
        <w:t>General Principles</w:t>
      </w:r>
      <w:r w:rsidRPr="00012C17">
        <w:rPr>
          <w:rFonts w:cs="Arial"/>
          <w:color w:val="000000"/>
          <w:sz w:val="24"/>
        </w:rPr>
        <w:t>]</w:t>
      </w:r>
    </w:p>
    <w:p w:rsidR="00887087" w:rsidRPr="00012C17" w:rsidRDefault="00887087" w:rsidP="001B11C5">
      <w:pPr>
        <w:spacing w:line="240" w:lineRule="auto"/>
        <w:ind w:left="720"/>
        <w:rPr>
          <w:rFonts w:cs="Arial"/>
          <w:color w:val="000000"/>
          <w:sz w:val="24"/>
        </w:rPr>
      </w:pPr>
      <w:r w:rsidRPr="00012C17">
        <w:rPr>
          <w:rFonts w:cs="Arial"/>
          <w:color w:val="000000"/>
          <w:sz w:val="24"/>
        </w:rPr>
        <w:t>[...]</w:t>
      </w:r>
    </w:p>
    <w:p w:rsidR="00887087" w:rsidRPr="00012C17" w:rsidRDefault="00D37662" w:rsidP="001B11C5">
      <w:pPr>
        <w:tabs>
          <w:tab w:val="left" w:pos="4290"/>
        </w:tabs>
        <w:spacing w:line="240" w:lineRule="auto"/>
        <w:ind w:left="720"/>
        <w:rPr>
          <w:rFonts w:cs="Arial"/>
          <w:color w:val="000000"/>
          <w:sz w:val="24"/>
        </w:rPr>
      </w:pPr>
      <w:r w:rsidRPr="00012C17">
        <w:rPr>
          <w:rFonts w:cs="Arial"/>
          <w:color w:val="000000"/>
          <w:sz w:val="24"/>
        </w:rPr>
        <w:tab/>
      </w:r>
    </w:p>
    <w:p w:rsidR="00887087" w:rsidRPr="00012C17" w:rsidRDefault="00887087" w:rsidP="001B11C5">
      <w:pPr>
        <w:spacing w:line="240" w:lineRule="auto"/>
        <w:ind w:left="720"/>
        <w:rPr>
          <w:rFonts w:cs="Arial"/>
          <w:color w:val="000000"/>
          <w:sz w:val="24"/>
        </w:rPr>
      </w:pPr>
      <w:r w:rsidRPr="00012C17">
        <w:rPr>
          <w:rFonts w:cs="Arial"/>
          <w:color w:val="000000"/>
          <w:sz w:val="24"/>
        </w:rPr>
        <w:t xml:space="preserve">2. </w:t>
      </w:r>
      <w:r w:rsidR="00D37662" w:rsidRPr="00012C17">
        <w:rPr>
          <w:color w:val="000000"/>
          <w:sz w:val="24"/>
        </w:rPr>
        <w:t>Local self-government is exercised by representative bodies elected through general, equal, free, direct, and secret ballot elections</w:t>
      </w:r>
      <w:r w:rsidRPr="00012C17">
        <w:rPr>
          <w:rFonts w:cs="Arial"/>
          <w:color w:val="000000"/>
          <w:sz w:val="24"/>
        </w:rPr>
        <w:t>.</w:t>
      </w:r>
    </w:p>
    <w:p w:rsidR="00887087" w:rsidRPr="00012C17" w:rsidRDefault="00887087" w:rsidP="001B11C5">
      <w:pPr>
        <w:spacing w:line="240" w:lineRule="auto"/>
        <w:ind w:left="720"/>
        <w:rPr>
          <w:rFonts w:cs="Arial"/>
          <w:color w:val="000000"/>
          <w:sz w:val="24"/>
        </w:rPr>
      </w:pPr>
    </w:p>
    <w:p w:rsidR="00887087" w:rsidRPr="00012C17" w:rsidRDefault="00887087" w:rsidP="001B11C5">
      <w:pPr>
        <w:spacing w:line="240" w:lineRule="auto"/>
        <w:ind w:left="720"/>
        <w:rPr>
          <w:rFonts w:cs="Arial"/>
          <w:color w:val="000000"/>
          <w:sz w:val="24"/>
        </w:rPr>
      </w:pPr>
      <w:r w:rsidRPr="00012C17">
        <w:rPr>
          <w:rFonts w:cs="Arial"/>
          <w:color w:val="000000"/>
          <w:sz w:val="24"/>
        </w:rPr>
        <w:t>[...]</w:t>
      </w:r>
    </w:p>
    <w:p w:rsidR="00887087" w:rsidRPr="00012C17" w:rsidRDefault="001B11C5" w:rsidP="001B11C5">
      <w:pPr>
        <w:spacing w:line="240" w:lineRule="auto"/>
        <w:ind w:left="720"/>
        <w:jc w:val="center"/>
        <w:rPr>
          <w:rFonts w:cs="Arial"/>
          <w:color w:val="000000"/>
          <w:sz w:val="24"/>
        </w:rPr>
      </w:pPr>
      <w:r w:rsidRPr="00012C17">
        <w:rPr>
          <w:rFonts w:cs="Arial"/>
          <w:color w:val="000000"/>
          <w:sz w:val="24"/>
        </w:rPr>
        <w:br w:type="page"/>
      </w:r>
      <w:r w:rsidR="00D37662" w:rsidRPr="00012C17">
        <w:rPr>
          <w:rFonts w:cs="Arial"/>
          <w:color w:val="000000"/>
          <w:sz w:val="24"/>
        </w:rPr>
        <w:lastRenderedPageBreak/>
        <w:t xml:space="preserve">Article </w:t>
      </w:r>
      <w:r w:rsidR="00887087" w:rsidRPr="00012C17">
        <w:rPr>
          <w:rFonts w:cs="Arial"/>
          <w:color w:val="000000"/>
          <w:sz w:val="24"/>
        </w:rPr>
        <w:t>139</w:t>
      </w:r>
    </w:p>
    <w:p w:rsidR="00887087" w:rsidRPr="00012C17" w:rsidRDefault="00887087" w:rsidP="001B11C5">
      <w:pPr>
        <w:spacing w:line="240" w:lineRule="auto"/>
        <w:ind w:left="720"/>
        <w:jc w:val="center"/>
        <w:rPr>
          <w:rFonts w:cs="Arial"/>
          <w:color w:val="000000"/>
          <w:sz w:val="24"/>
        </w:rPr>
      </w:pPr>
      <w:r w:rsidRPr="00012C17">
        <w:rPr>
          <w:rFonts w:cs="Arial"/>
          <w:color w:val="000000"/>
          <w:sz w:val="24"/>
        </w:rPr>
        <w:t>[</w:t>
      </w:r>
      <w:r w:rsidR="00D37662" w:rsidRPr="00012C17">
        <w:rPr>
          <w:color w:val="000000"/>
          <w:sz w:val="24"/>
        </w:rPr>
        <w:t>Central Election Commission</w:t>
      </w:r>
      <w:r w:rsidRPr="00012C17">
        <w:rPr>
          <w:rFonts w:cs="Arial"/>
          <w:color w:val="000000"/>
          <w:sz w:val="24"/>
        </w:rPr>
        <w:t>]</w:t>
      </w:r>
    </w:p>
    <w:p w:rsidR="00887087" w:rsidRPr="00012C17" w:rsidRDefault="00887087" w:rsidP="001B11C5">
      <w:pPr>
        <w:spacing w:line="240" w:lineRule="auto"/>
        <w:ind w:left="720"/>
        <w:jc w:val="center"/>
        <w:rPr>
          <w:rFonts w:cs="Arial"/>
          <w:color w:val="000000"/>
          <w:sz w:val="24"/>
        </w:rPr>
      </w:pPr>
    </w:p>
    <w:p w:rsidR="00887087" w:rsidRPr="00012C17" w:rsidRDefault="00D37662" w:rsidP="001B11C5">
      <w:pPr>
        <w:pStyle w:val="ListParagraph"/>
        <w:numPr>
          <w:ilvl w:val="0"/>
          <w:numId w:val="12"/>
        </w:numPr>
        <w:spacing w:after="0" w:line="240" w:lineRule="auto"/>
        <w:jc w:val="both"/>
        <w:rPr>
          <w:rFonts w:ascii="Georgia" w:hAnsi="Georgia" w:cs="Arial"/>
          <w:color w:val="000000"/>
          <w:sz w:val="24"/>
          <w:szCs w:val="24"/>
          <w:lang w:val="en-US"/>
        </w:rPr>
      </w:pPr>
      <w:r w:rsidRPr="00012C17">
        <w:rPr>
          <w:rFonts w:ascii="Georgia" w:hAnsi="Georgia"/>
          <w:color w:val="000000"/>
          <w:sz w:val="24"/>
          <w:szCs w:val="24"/>
          <w:lang w:val="en-US"/>
        </w:rPr>
        <w:t>The Central Election Commission is a permanent body, which prepares, supervises, directs, and verifies all activities related to the process of elections and referenda and announces their results</w:t>
      </w:r>
      <w:r w:rsidR="00887087" w:rsidRPr="00012C17">
        <w:rPr>
          <w:rFonts w:ascii="Georgia" w:hAnsi="Georgia" w:cs="Arial"/>
          <w:color w:val="000000"/>
          <w:sz w:val="24"/>
          <w:szCs w:val="24"/>
          <w:lang w:val="en-US"/>
        </w:rPr>
        <w:t>.</w:t>
      </w:r>
    </w:p>
    <w:p w:rsidR="00887087" w:rsidRPr="00012C17" w:rsidRDefault="00887087" w:rsidP="001B11C5">
      <w:pPr>
        <w:spacing w:line="240" w:lineRule="auto"/>
        <w:ind w:left="720"/>
        <w:rPr>
          <w:rFonts w:cs="Arial"/>
          <w:color w:val="000000"/>
          <w:sz w:val="24"/>
        </w:rPr>
      </w:pPr>
      <w:r w:rsidRPr="00012C17">
        <w:rPr>
          <w:rFonts w:cs="Arial"/>
          <w:color w:val="000000"/>
          <w:sz w:val="24"/>
        </w:rPr>
        <w:t>[...]</w:t>
      </w:r>
    </w:p>
    <w:p w:rsidR="001777F9" w:rsidRPr="00012C17" w:rsidRDefault="001777F9" w:rsidP="001B11C5">
      <w:pPr>
        <w:spacing w:line="240" w:lineRule="auto"/>
        <w:jc w:val="center"/>
        <w:rPr>
          <w:rFonts w:cs="Arial"/>
          <w:b/>
          <w:bCs/>
          <w:color w:val="000000"/>
          <w:sz w:val="24"/>
        </w:rPr>
      </w:pPr>
    </w:p>
    <w:p w:rsidR="00887087" w:rsidRPr="00012C17" w:rsidRDefault="006C10AC" w:rsidP="001B11C5">
      <w:pPr>
        <w:spacing w:line="240" w:lineRule="auto"/>
        <w:jc w:val="center"/>
        <w:rPr>
          <w:rFonts w:cs="Arial"/>
          <w:b/>
          <w:bCs/>
          <w:color w:val="000000"/>
          <w:sz w:val="24"/>
        </w:rPr>
      </w:pPr>
      <w:r w:rsidRPr="00012C17">
        <w:rPr>
          <w:rFonts w:cs="Arial"/>
          <w:b/>
          <w:bCs/>
          <w:color w:val="000000"/>
          <w:sz w:val="24"/>
        </w:rPr>
        <w:t>EUROPEAN CONVENTION ON HUMAN RIGHTS</w:t>
      </w:r>
    </w:p>
    <w:p w:rsidR="00FD4107" w:rsidRPr="00012C17" w:rsidRDefault="00FD4107" w:rsidP="001B11C5">
      <w:pPr>
        <w:spacing w:line="240" w:lineRule="auto"/>
        <w:jc w:val="center"/>
        <w:rPr>
          <w:rFonts w:cs="Arial"/>
          <w:color w:val="000000"/>
          <w:sz w:val="24"/>
        </w:rPr>
      </w:pPr>
    </w:p>
    <w:p w:rsidR="00FD4107" w:rsidRPr="00012C17" w:rsidRDefault="00FD4107" w:rsidP="001B11C5">
      <w:pPr>
        <w:pStyle w:val="Pa94"/>
        <w:spacing w:line="240" w:lineRule="auto"/>
        <w:ind w:left="720"/>
        <w:jc w:val="center"/>
        <w:rPr>
          <w:rFonts w:ascii="Georgia" w:hAnsi="Georgia" w:cs="Futura Std"/>
          <w:color w:val="000000"/>
        </w:rPr>
      </w:pPr>
      <w:r w:rsidRPr="00012C17">
        <w:rPr>
          <w:rFonts w:ascii="Georgia" w:hAnsi="Georgia" w:cs="Futura Std"/>
          <w:color w:val="000000"/>
        </w:rPr>
        <w:t>Article 3 of Protocol</w:t>
      </w:r>
      <w:r w:rsidR="006C4DED" w:rsidRPr="00012C17">
        <w:rPr>
          <w:rFonts w:ascii="Georgia" w:hAnsi="Georgia" w:cs="Futura Std"/>
          <w:color w:val="000000"/>
        </w:rPr>
        <w:t xml:space="preserve"> no.</w:t>
      </w:r>
      <w:r w:rsidRPr="00012C17">
        <w:rPr>
          <w:rFonts w:ascii="Georgia" w:hAnsi="Georgia" w:cs="Futura Std"/>
          <w:color w:val="000000"/>
        </w:rPr>
        <w:t xml:space="preserve"> 1 </w:t>
      </w:r>
      <w:r w:rsidR="006C10AC" w:rsidRPr="00012C17">
        <w:rPr>
          <w:rFonts w:ascii="Georgia" w:hAnsi="Georgia" w:cs="Futura Std"/>
          <w:color w:val="000000"/>
        </w:rPr>
        <w:t xml:space="preserve">to the </w:t>
      </w:r>
      <w:r w:rsidRPr="00012C17">
        <w:rPr>
          <w:rFonts w:ascii="Georgia" w:hAnsi="Georgia" w:cs="Futura Std"/>
          <w:color w:val="000000"/>
        </w:rPr>
        <w:t>ECHR</w:t>
      </w:r>
    </w:p>
    <w:p w:rsidR="00FD4107" w:rsidRPr="00012C17" w:rsidRDefault="00FD4107" w:rsidP="001B11C5">
      <w:pPr>
        <w:pStyle w:val="Pa94"/>
        <w:spacing w:line="240" w:lineRule="auto"/>
        <w:ind w:left="720"/>
        <w:jc w:val="center"/>
        <w:rPr>
          <w:rFonts w:ascii="Georgia" w:hAnsi="Georgia" w:cs="Futura Std"/>
          <w:color w:val="000000"/>
        </w:rPr>
      </w:pPr>
      <w:r w:rsidRPr="00012C17">
        <w:rPr>
          <w:rFonts w:ascii="Georgia" w:hAnsi="Georgia" w:cs="Futura Std"/>
          <w:color w:val="000000"/>
        </w:rPr>
        <w:t xml:space="preserve">(Right to free elections) </w:t>
      </w:r>
    </w:p>
    <w:p w:rsidR="00FD4107" w:rsidRPr="00012C17" w:rsidRDefault="00FD4107" w:rsidP="001B11C5">
      <w:pPr>
        <w:pStyle w:val="Default"/>
        <w:ind w:left="720"/>
      </w:pPr>
    </w:p>
    <w:p w:rsidR="00FD4107" w:rsidRPr="00012C17" w:rsidRDefault="00FD4107" w:rsidP="001B11C5">
      <w:pPr>
        <w:spacing w:line="240" w:lineRule="auto"/>
        <w:ind w:left="720"/>
        <w:rPr>
          <w:rFonts w:cs="Futura Std"/>
          <w:color w:val="000000"/>
          <w:sz w:val="24"/>
        </w:rPr>
      </w:pPr>
      <w:r w:rsidRPr="00012C17">
        <w:rPr>
          <w:rFonts w:cs="Futura Std"/>
          <w:color w:val="000000"/>
          <w:sz w:val="24"/>
        </w:rPr>
        <w:t>The High Contracting Parties undertake to hold free elections at reasonable intervals by secret ballot, under conditions which will ensure the free expression of the opinion of the people in the choice of the legislature.</w:t>
      </w:r>
    </w:p>
    <w:p w:rsidR="00AF5EF3" w:rsidRPr="00012C17" w:rsidRDefault="00AF5EF3" w:rsidP="001B11C5">
      <w:pPr>
        <w:spacing w:line="240" w:lineRule="auto"/>
        <w:ind w:left="720"/>
        <w:rPr>
          <w:rFonts w:cs="Futura Std"/>
          <w:color w:val="000000"/>
          <w:sz w:val="24"/>
        </w:rPr>
      </w:pPr>
    </w:p>
    <w:p w:rsidR="00AF5EF3" w:rsidRPr="00012C17" w:rsidRDefault="00AF5EF3" w:rsidP="001B11C5">
      <w:pPr>
        <w:spacing w:line="240" w:lineRule="auto"/>
        <w:ind w:left="720"/>
        <w:jc w:val="center"/>
        <w:rPr>
          <w:rFonts w:cs="Futura Std"/>
          <w:color w:val="000000"/>
          <w:sz w:val="24"/>
        </w:rPr>
      </w:pPr>
      <w:r w:rsidRPr="00012C17">
        <w:rPr>
          <w:rFonts w:cs="Futura Std"/>
          <w:color w:val="000000"/>
          <w:sz w:val="24"/>
        </w:rPr>
        <w:t xml:space="preserve">Article </w:t>
      </w:r>
      <w:r w:rsidR="001F685F" w:rsidRPr="00012C17">
        <w:rPr>
          <w:rFonts w:cs="Futura Std"/>
          <w:color w:val="000000"/>
          <w:sz w:val="24"/>
        </w:rPr>
        <w:t>1</w:t>
      </w:r>
      <w:r w:rsidRPr="00012C17">
        <w:rPr>
          <w:rFonts w:cs="Futura Std"/>
          <w:color w:val="000000"/>
          <w:sz w:val="24"/>
        </w:rPr>
        <w:t>3</w:t>
      </w:r>
    </w:p>
    <w:p w:rsidR="00AF5EF3" w:rsidRPr="00012C17" w:rsidRDefault="00AF5EF3" w:rsidP="001B11C5">
      <w:pPr>
        <w:spacing w:line="240" w:lineRule="auto"/>
        <w:ind w:left="720"/>
        <w:jc w:val="center"/>
        <w:rPr>
          <w:rFonts w:cs="Futura Std"/>
          <w:color w:val="000000"/>
          <w:sz w:val="24"/>
        </w:rPr>
      </w:pPr>
      <w:r w:rsidRPr="00012C17">
        <w:rPr>
          <w:rFonts w:cs="Futura Std"/>
          <w:color w:val="000000"/>
          <w:sz w:val="24"/>
        </w:rPr>
        <w:t>(Right to an effective remedy)</w:t>
      </w:r>
    </w:p>
    <w:p w:rsidR="00AF5EF3" w:rsidRPr="00012C17" w:rsidRDefault="00AF5EF3" w:rsidP="001B11C5">
      <w:pPr>
        <w:spacing w:line="240" w:lineRule="auto"/>
        <w:ind w:left="720"/>
        <w:jc w:val="center"/>
        <w:rPr>
          <w:rFonts w:cs="Futura Std"/>
          <w:color w:val="000000"/>
          <w:sz w:val="24"/>
        </w:rPr>
      </w:pPr>
    </w:p>
    <w:p w:rsidR="00AF5EF3" w:rsidRPr="00012C17" w:rsidRDefault="00AF5EF3" w:rsidP="001B11C5">
      <w:pPr>
        <w:spacing w:line="240" w:lineRule="auto"/>
        <w:ind w:left="720"/>
        <w:rPr>
          <w:rFonts w:cs="Futura Std"/>
          <w:color w:val="000000"/>
          <w:sz w:val="24"/>
        </w:rPr>
      </w:pPr>
      <w:r w:rsidRPr="00012C17">
        <w:rPr>
          <w:rFonts w:cs="Futura Std"/>
          <w:color w:val="000000"/>
          <w:sz w:val="24"/>
        </w:rPr>
        <w:t>Everyone whose rights and freedoms as set forth in this Convention are violated shall have an effective remedy before a national authority notwithstanding that the violation has been committed by persons acting in an official capacity.</w:t>
      </w:r>
    </w:p>
    <w:p w:rsidR="00AF5EF3" w:rsidRPr="00012C17" w:rsidRDefault="00AF5EF3" w:rsidP="001B11C5">
      <w:pPr>
        <w:spacing w:line="240" w:lineRule="auto"/>
        <w:ind w:left="720"/>
        <w:rPr>
          <w:rFonts w:cs="Futura Std"/>
          <w:color w:val="000000"/>
          <w:sz w:val="16"/>
          <w:szCs w:val="16"/>
        </w:rPr>
      </w:pPr>
    </w:p>
    <w:p w:rsidR="00AF5EF3" w:rsidRPr="00012C17" w:rsidRDefault="00AF5EF3" w:rsidP="001B11C5">
      <w:pPr>
        <w:spacing w:line="240" w:lineRule="auto"/>
        <w:ind w:left="720"/>
        <w:rPr>
          <w:rFonts w:cs="Arial"/>
          <w:i/>
          <w:iCs/>
          <w:color w:val="000000"/>
          <w:sz w:val="24"/>
        </w:rPr>
      </w:pPr>
      <w:r w:rsidRPr="00012C17">
        <w:rPr>
          <w:rFonts w:cs="Futura Std"/>
          <w:color w:val="000000"/>
          <w:sz w:val="24"/>
        </w:rPr>
        <w:t>[...]</w:t>
      </w:r>
    </w:p>
    <w:p w:rsidR="00267677" w:rsidRPr="00012C17" w:rsidRDefault="00267677" w:rsidP="001B11C5">
      <w:pPr>
        <w:spacing w:line="240" w:lineRule="auto"/>
        <w:rPr>
          <w:rFonts w:cs="Arial"/>
          <w:color w:val="000000"/>
          <w:sz w:val="24"/>
        </w:rPr>
      </w:pPr>
    </w:p>
    <w:p w:rsidR="00A87160" w:rsidRPr="00012C17" w:rsidRDefault="00A87160" w:rsidP="001B11C5">
      <w:pPr>
        <w:spacing w:line="240" w:lineRule="auto"/>
        <w:ind w:left="720"/>
        <w:rPr>
          <w:b/>
          <w:color w:val="000000"/>
          <w:sz w:val="24"/>
        </w:rPr>
      </w:pPr>
      <w:r w:rsidRPr="00012C17">
        <w:rPr>
          <w:b/>
          <w:color w:val="000000"/>
          <w:sz w:val="24"/>
        </w:rPr>
        <w:t>LAW NO. 03/L-073 ON GENERAL ELECTIONS IN THE REPUBLIC OF KOSOVO AND LAW NO. 03/L-256 ON AMENDING AND SUPPLEMENTING THE LAW NO. 03/L-073 ON GENERAL ELECTIONS IN THE REPUBLIC OF KOSOVO</w:t>
      </w:r>
    </w:p>
    <w:p w:rsidR="00C6211A" w:rsidRPr="00012C17" w:rsidRDefault="00C6211A" w:rsidP="001B11C5">
      <w:pPr>
        <w:spacing w:line="240" w:lineRule="auto"/>
        <w:ind w:left="720"/>
        <w:rPr>
          <w:b/>
          <w:color w:val="000000"/>
          <w:sz w:val="24"/>
        </w:rPr>
      </w:pPr>
    </w:p>
    <w:p w:rsidR="00AA32B9" w:rsidRPr="00012C17" w:rsidRDefault="00A87160" w:rsidP="001B11C5">
      <w:pPr>
        <w:spacing w:line="240" w:lineRule="auto"/>
        <w:ind w:left="720"/>
        <w:jc w:val="center"/>
        <w:rPr>
          <w:rFonts w:eastAsia="Times New Roman" w:cs="Arial"/>
          <w:color w:val="000000"/>
          <w:sz w:val="24"/>
        </w:rPr>
      </w:pPr>
      <w:r w:rsidRPr="00012C17">
        <w:rPr>
          <w:color w:val="000000"/>
          <w:sz w:val="24"/>
        </w:rPr>
        <w:t>Article</w:t>
      </w:r>
      <w:r w:rsidRPr="00012C17">
        <w:rPr>
          <w:rFonts w:eastAsia="Times New Roman" w:cs="Arial"/>
          <w:color w:val="000000"/>
          <w:sz w:val="24"/>
        </w:rPr>
        <w:t xml:space="preserve"> </w:t>
      </w:r>
      <w:r w:rsidR="00AA32B9" w:rsidRPr="00012C17">
        <w:rPr>
          <w:rFonts w:eastAsia="Times New Roman" w:cs="Arial"/>
          <w:color w:val="000000"/>
          <w:sz w:val="24"/>
        </w:rPr>
        <w:t>103</w:t>
      </w:r>
    </w:p>
    <w:p w:rsidR="00AA32B9" w:rsidRPr="00012C17" w:rsidRDefault="005138C8" w:rsidP="001B11C5">
      <w:pPr>
        <w:spacing w:line="240" w:lineRule="auto"/>
        <w:ind w:left="720"/>
        <w:jc w:val="center"/>
        <w:rPr>
          <w:rFonts w:eastAsia="Times New Roman" w:cs="Arial"/>
          <w:color w:val="000000"/>
          <w:sz w:val="24"/>
        </w:rPr>
      </w:pPr>
      <w:r w:rsidRPr="00012C17">
        <w:rPr>
          <w:rFonts w:eastAsia="Times New Roman" w:cs="Arial"/>
          <w:color w:val="000000"/>
          <w:sz w:val="24"/>
        </w:rPr>
        <w:t>[</w:t>
      </w:r>
      <w:r w:rsidR="00A87160" w:rsidRPr="00012C17">
        <w:rPr>
          <w:color w:val="000000"/>
          <w:sz w:val="24"/>
        </w:rPr>
        <w:t>Storage of Ballots and Transportation of Election Material</w:t>
      </w:r>
      <w:r w:rsidRPr="00012C17">
        <w:rPr>
          <w:rFonts w:eastAsia="Times New Roman" w:cs="Arial"/>
          <w:color w:val="000000"/>
          <w:sz w:val="24"/>
        </w:rPr>
        <w:t>]</w:t>
      </w:r>
    </w:p>
    <w:p w:rsidR="00AA32B9" w:rsidRPr="00012C17" w:rsidRDefault="00AA32B9" w:rsidP="001B11C5">
      <w:pPr>
        <w:spacing w:line="240" w:lineRule="auto"/>
        <w:ind w:left="720"/>
        <w:jc w:val="center"/>
        <w:rPr>
          <w:rFonts w:eastAsia="Times New Roman" w:cs="Arial"/>
          <w:color w:val="000000"/>
          <w:sz w:val="24"/>
        </w:rPr>
      </w:pPr>
    </w:p>
    <w:p w:rsidR="00AA32B9" w:rsidRPr="00012C17" w:rsidRDefault="00AA32B9" w:rsidP="001B11C5">
      <w:pPr>
        <w:spacing w:line="240" w:lineRule="auto"/>
        <w:ind w:left="720"/>
        <w:rPr>
          <w:rFonts w:eastAsia="Times New Roman" w:cs="Arial"/>
          <w:color w:val="000000"/>
          <w:sz w:val="24"/>
        </w:rPr>
      </w:pPr>
      <w:r w:rsidRPr="00012C17">
        <w:rPr>
          <w:rFonts w:eastAsia="Times New Roman" w:cs="Arial"/>
          <w:color w:val="000000"/>
          <w:sz w:val="24"/>
        </w:rPr>
        <w:t xml:space="preserve">103.4 </w:t>
      </w:r>
      <w:r w:rsidR="00A87160" w:rsidRPr="00012C17">
        <w:rPr>
          <w:color w:val="000000"/>
          <w:sz w:val="24"/>
        </w:rPr>
        <w:t>The CEC shall, by decision after the official certification of the results of the election, destroy specified election materials at an appropriate time within 60 days, except as directed by ECAC</w:t>
      </w:r>
      <w:r w:rsidRPr="00012C17">
        <w:rPr>
          <w:rFonts w:eastAsia="Times New Roman" w:cs="Arial"/>
          <w:color w:val="000000"/>
          <w:sz w:val="24"/>
        </w:rPr>
        <w:t>.</w:t>
      </w:r>
      <w:r w:rsidR="00A87160" w:rsidRPr="00012C17">
        <w:rPr>
          <w:rFonts w:eastAsia="Times New Roman" w:cs="Arial"/>
          <w:color w:val="000000"/>
          <w:sz w:val="24"/>
        </w:rPr>
        <w:t xml:space="preserve"> </w:t>
      </w:r>
      <w:r w:rsidRPr="00012C17">
        <w:rPr>
          <w:rFonts w:eastAsia="Times New Roman" w:cs="Arial"/>
          <w:color w:val="000000"/>
          <w:sz w:val="24"/>
        </w:rPr>
        <w:t>[...]</w:t>
      </w:r>
    </w:p>
    <w:p w:rsidR="00AA32B9" w:rsidRPr="00012C17" w:rsidRDefault="00AA32B9" w:rsidP="001B11C5">
      <w:pPr>
        <w:spacing w:line="240" w:lineRule="auto"/>
        <w:ind w:left="720"/>
        <w:rPr>
          <w:rFonts w:eastAsia="Times New Roman" w:cs="Arial"/>
          <w:color w:val="000000"/>
          <w:sz w:val="24"/>
        </w:rPr>
      </w:pPr>
    </w:p>
    <w:p w:rsidR="00AA32B9" w:rsidRPr="00012C17" w:rsidRDefault="00A87160" w:rsidP="001B11C5">
      <w:pPr>
        <w:spacing w:line="240" w:lineRule="auto"/>
        <w:ind w:left="720"/>
        <w:jc w:val="center"/>
        <w:rPr>
          <w:color w:val="000000"/>
          <w:sz w:val="24"/>
        </w:rPr>
      </w:pPr>
      <w:r w:rsidRPr="00012C17">
        <w:rPr>
          <w:color w:val="000000"/>
          <w:sz w:val="24"/>
        </w:rPr>
        <w:t>Article</w:t>
      </w:r>
      <w:r w:rsidRPr="00012C17">
        <w:rPr>
          <w:rFonts w:eastAsia="Times New Roman" w:cs="Arial"/>
          <w:color w:val="000000"/>
          <w:sz w:val="24"/>
        </w:rPr>
        <w:t xml:space="preserve"> </w:t>
      </w:r>
      <w:r w:rsidR="00AA32B9" w:rsidRPr="00012C17">
        <w:rPr>
          <w:color w:val="000000"/>
          <w:sz w:val="24"/>
        </w:rPr>
        <w:t>105</w:t>
      </w:r>
    </w:p>
    <w:p w:rsidR="00AA32B9" w:rsidRPr="00012C17" w:rsidRDefault="005138C8" w:rsidP="001B11C5">
      <w:pPr>
        <w:spacing w:line="240" w:lineRule="auto"/>
        <w:ind w:left="720"/>
        <w:jc w:val="center"/>
        <w:rPr>
          <w:color w:val="000000"/>
          <w:sz w:val="24"/>
        </w:rPr>
      </w:pPr>
      <w:r w:rsidRPr="00012C17">
        <w:rPr>
          <w:color w:val="000000"/>
          <w:sz w:val="24"/>
        </w:rPr>
        <w:t>[</w:t>
      </w:r>
      <w:r w:rsidR="008259D8" w:rsidRPr="00012C17">
        <w:rPr>
          <w:color w:val="000000"/>
          <w:sz w:val="24"/>
        </w:rPr>
        <w:t>Complaints Concerning the C&amp;RC Process</w:t>
      </w:r>
      <w:r w:rsidRPr="00012C17">
        <w:rPr>
          <w:color w:val="000000"/>
          <w:sz w:val="24"/>
        </w:rPr>
        <w:t>]</w:t>
      </w:r>
    </w:p>
    <w:p w:rsidR="00AA32B9" w:rsidRPr="00012C17" w:rsidRDefault="00AA32B9" w:rsidP="001B11C5">
      <w:pPr>
        <w:spacing w:line="240" w:lineRule="auto"/>
        <w:ind w:left="720"/>
        <w:jc w:val="center"/>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105.1 </w:t>
      </w:r>
      <w:r w:rsidR="008259D8" w:rsidRPr="00012C17">
        <w:rPr>
          <w:rFonts w:ascii="Georgia" w:hAnsi="Georgia"/>
          <w:color w:val="000000"/>
          <w:sz w:val="24"/>
          <w:szCs w:val="24"/>
          <w:lang w:val="en-US"/>
        </w:rPr>
        <w:t>Complaints concerning the conduct of the count at the C&amp;RC shall be submitted in writing to the ECAP within twenty four (24) hours of the occurrence of the alleged violation</w:t>
      </w:r>
      <w:r w:rsidRPr="00012C17">
        <w:rPr>
          <w:rFonts w:ascii="Georgia" w:hAnsi="Georgia"/>
          <w:color w:val="000000"/>
          <w:sz w:val="24"/>
          <w:lang w:val="en-US"/>
        </w:rPr>
        <w:t>. (</w:t>
      </w:r>
      <w:r w:rsidR="008259D8" w:rsidRPr="00012C17">
        <w:rPr>
          <w:rFonts w:ascii="Georgia" w:hAnsi="Georgia"/>
          <w:color w:val="000000"/>
          <w:sz w:val="24"/>
          <w:lang w:val="en-US"/>
        </w:rPr>
        <w:t>As amended by</w:t>
      </w:r>
      <w:r w:rsidRPr="00012C17">
        <w:rPr>
          <w:rFonts w:ascii="Georgia" w:hAnsi="Georgia"/>
          <w:color w:val="000000"/>
          <w:sz w:val="24"/>
          <w:lang w:val="en-US"/>
        </w:rPr>
        <w:t xml:space="preserve"> </w:t>
      </w:r>
      <w:r w:rsidR="008259D8" w:rsidRPr="00012C17">
        <w:rPr>
          <w:rFonts w:ascii="Georgia" w:hAnsi="Georgia"/>
          <w:color w:val="000000"/>
          <w:sz w:val="24"/>
          <w:lang w:val="en-US"/>
        </w:rPr>
        <w:t>Law No</w:t>
      </w:r>
      <w:r w:rsidRPr="00012C17">
        <w:rPr>
          <w:rFonts w:ascii="Georgia" w:hAnsi="Georgia"/>
          <w:color w:val="000000"/>
          <w:sz w:val="24"/>
          <w:lang w:val="en-US"/>
        </w:rPr>
        <w:t>.03/L-</w:t>
      </w:r>
      <w:r w:rsidR="006C4DED" w:rsidRPr="00012C17">
        <w:rPr>
          <w:rFonts w:ascii="Georgia" w:hAnsi="Georgia"/>
          <w:color w:val="000000"/>
          <w:sz w:val="24"/>
          <w:lang w:val="en-US"/>
        </w:rPr>
        <w:t>256</w:t>
      </w:r>
      <w:r w:rsidRPr="00012C17">
        <w:rPr>
          <w:rFonts w:ascii="Georgia" w:hAnsi="Georgia"/>
          <w:color w:val="000000"/>
          <w:sz w:val="24"/>
          <w:lang w:val="en-US"/>
        </w:rPr>
        <w:t xml:space="preserve">, </w:t>
      </w:r>
      <w:r w:rsidR="008259D8" w:rsidRPr="00012C17">
        <w:rPr>
          <w:rFonts w:ascii="Georgia" w:hAnsi="Georgia"/>
          <w:color w:val="000000"/>
          <w:sz w:val="24"/>
          <w:lang w:val="en-US"/>
        </w:rPr>
        <w:t>Article</w:t>
      </w:r>
      <w:r w:rsidRPr="00012C17">
        <w:rPr>
          <w:rFonts w:ascii="Georgia" w:hAnsi="Georgia"/>
          <w:color w:val="000000"/>
          <w:sz w:val="24"/>
          <w:lang w:val="en-US"/>
        </w:rPr>
        <w:t xml:space="preserve"> 4)</w:t>
      </w:r>
      <w:r w:rsidR="001777F9" w:rsidRPr="00012C17">
        <w:rPr>
          <w:rFonts w:ascii="Georgia" w:hAnsi="Georgia"/>
          <w:color w:val="000000"/>
          <w:sz w:val="24"/>
          <w:lang w:val="en-US"/>
        </w:rPr>
        <w:t>.</w:t>
      </w:r>
    </w:p>
    <w:p w:rsidR="00AA32B9" w:rsidRPr="00012C17" w:rsidRDefault="00AA32B9" w:rsidP="001B11C5">
      <w:pPr>
        <w:spacing w:line="240" w:lineRule="auto"/>
        <w:ind w:left="720"/>
        <w:rPr>
          <w:color w:val="000000"/>
          <w:sz w:val="24"/>
        </w:rPr>
      </w:pPr>
    </w:p>
    <w:p w:rsidR="00AA32B9" w:rsidRPr="00012C17" w:rsidRDefault="00AA32B9" w:rsidP="001B11C5">
      <w:pPr>
        <w:spacing w:line="240" w:lineRule="auto"/>
        <w:ind w:left="720"/>
        <w:rPr>
          <w:color w:val="000000"/>
          <w:sz w:val="24"/>
        </w:rPr>
      </w:pPr>
      <w:r w:rsidRPr="00012C17">
        <w:rPr>
          <w:color w:val="000000"/>
          <w:sz w:val="24"/>
        </w:rPr>
        <w:t xml:space="preserve">105.2 </w:t>
      </w:r>
      <w:r w:rsidR="008259D8" w:rsidRPr="00012C17">
        <w:rPr>
          <w:color w:val="000000"/>
          <w:sz w:val="24"/>
        </w:rPr>
        <w:t>The submission of a complaint shall not interrupt or suspend the counting process</w:t>
      </w:r>
      <w:r w:rsidRPr="00012C17">
        <w:rPr>
          <w:color w:val="000000"/>
          <w:sz w:val="24"/>
        </w:rPr>
        <w:t>.</w:t>
      </w:r>
    </w:p>
    <w:p w:rsidR="00AA32B9" w:rsidRPr="00012C17" w:rsidRDefault="00AA32B9" w:rsidP="001B11C5">
      <w:pPr>
        <w:spacing w:line="240" w:lineRule="auto"/>
        <w:ind w:left="720"/>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lastRenderedPageBreak/>
        <w:t xml:space="preserve">105.3 </w:t>
      </w:r>
      <w:r w:rsidR="008259D8" w:rsidRPr="00012C17">
        <w:rPr>
          <w:rFonts w:ascii="Georgia" w:hAnsi="Georgia"/>
          <w:color w:val="000000"/>
          <w:sz w:val="24"/>
          <w:szCs w:val="24"/>
          <w:lang w:val="en-US"/>
        </w:rPr>
        <w:t>All complaints to the ECAP shall be decided no later than seventy two (72) hours from receipt of</w:t>
      </w:r>
      <w:r w:rsidR="006E52F9" w:rsidRPr="00012C17">
        <w:rPr>
          <w:rFonts w:ascii="Georgia" w:hAnsi="Georgia"/>
          <w:color w:val="000000"/>
          <w:sz w:val="24"/>
          <w:szCs w:val="24"/>
          <w:lang w:val="en-US"/>
        </w:rPr>
        <w:t xml:space="preserve"> </w:t>
      </w:r>
      <w:r w:rsidR="008259D8" w:rsidRPr="00012C17">
        <w:rPr>
          <w:rFonts w:ascii="Georgia" w:hAnsi="Georgia"/>
          <w:color w:val="000000"/>
          <w:sz w:val="24"/>
          <w:szCs w:val="24"/>
          <w:lang w:val="en-US"/>
        </w:rPr>
        <w:t>the complaint in the ECAP central offices</w:t>
      </w:r>
      <w:r w:rsidRPr="00012C17">
        <w:rPr>
          <w:rFonts w:ascii="Georgia" w:hAnsi="Georgia"/>
          <w:color w:val="000000"/>
          <w:sz w:val="24"/>
          <w:szCs w:val="24"/>
          <w:lang w:val="en-US"/>
        </w:rPr>
        <w:t>.(</w:t>
      </w:r>
      <w:r w:rsidR="008259D8" w:rsidRPr="00012C17">
        <w:rPr>
          <w:rFonts w:ascii="Georgia" w:hAnsi="Georgia"/>
          <w:color w:val="000000"/>
          <w:sz w:val="24"/>
          <w:szCs w:val="24"/>
          <w:lang w:val="en-US"/>
        </w:rPr>
        <w:t xml:space="preserve"> As amended by Law No.03/L-</w:t>
      </w:r>
      <w:r w:rsidR="006C4DED" w:rsidRPr="00012C17">
        <w:rPr>
          <w:rFonts w:ascii="Georgia" w:hAnsi="Georgia"/>
          <w:color w:val="000000"/>
          <w:sz w:val="24"/>
          <w:szCs w:val="24"/>
          <w:lang w:val="en-US"/>
        </w:rPr>
        <w:t>256</w:t>
      </w:r>
      <w:r w:rsidR="008259D8" w:rsidRPr="00012C17">
        <w:rPr>
          <w:rFonts w:ascii="Georgia" w:hAnsi="Georgia"/>
          <w:color w:val="000000"/>
          <w:sz w:val="24"/>
          <w:szCs w:val="24"/>
          <w:lang w:val="en-US"/>
        </w:rPr>
        <w:t xml:space="preserve">, Article </w:t>
      </w:r>
      <w:r w:rsidRPr="00012C17">
        <w:rPr>
          <w:rFonts w:ascii="Georgia" w:hAnsi="Georgia"/>
          <w:color w:val="000000"/>
          <w:sz w:val="24"/>
          <w:szCs w:val="24"/>
          <w:lang w:val="en-US"/>
        </w:rPr>
        <w:t>5)</w:t>
      </w:r>
    </w:p>
    <w:p w:rsidR="00AA32B9" w:rsidRPr="00012C17" w:rsidRDefault="00AA32B9" w:rsidP="001B11C5">
      <w:pPr>
        <w:spacing w:line="240" w:lineRule="auto"/>
        <w:ind w:left="720"/>
        <w:rPr>
          <w:color w:val="000000"/>
          <w:sz w:val="24"/>
        </w:rPr>
      </w:pPr>
    </w:p>
    <w:p w:rsidR="00AA32B9" w:rsidRPr="00012C17" w:rsidRDefault="008259D8" w:rsidP="001B11C5">
      <w:pPr>
        <w:spacing w:line="240" w:lineRule="auto"/>
        <w:ind w:left="720"/>
        <w:jc w:val="center"/>
        <w:rPr>
          <w:color w:val="000000"/>
          <w:sz w:val="24"/>
        </w:rPr>
      </w:pPr>
      <w:r w:rsidRPr="00012C17">
        <w:rPr>
          <w:color w:val="000000"/>
          <w:sz w:val="24"/>
        </w:rPr>
        <w:t>Article</w:t>
      </w:r>
      <w:r w:rsidR="00AA32B9" w:rsidRPr="00012C17">
        <w:rPr>
          <w:color w:val="000000"/>
          <w:sz w:val="24"/>
        </w:rPr>
        <w:t xml:space="preserve"> 106</w:t>
      </w:r>
    </w:p>
    <w:p w:rsidR="00AA32B9" w:rsidRPr="00012C17" w:rsidRDefault="005138C8" w:rsidP="001B11C5">
      <w:pPr>
        <w:spacing w:line="240" w:lineRule="auto"/>
        <w:ind w:left="720"/>
        <w:jc w:val="center"/>
        <w:rPr>
          <w:color w:val="000000"/>
          <w:sz w:val="24"/>
        </w:rPr>
      </w:pPr>
      <w:r w:rsidRPr="00012C17">
        <w:rPr>
          <w:color w:val="000000"/>
          <w:sz w:val="24"/>
        </w:rPr>
        <w:t>[</w:t>
      </w:r>
      <w:r w:rsidR="008259D8" w:rsidRPr="00012C17">
        <w:rPr>
          <w:color w:val="000000"/>
          <w:sz w:val="24"/>
        </w:rPr>
        <w:t>Election Results</w:t>
      </w:r>
      <w:r w:rsidRPr="00012C17">
        <w:rPr>
          <w:color w:val="000000"/>
          <w:sz w:val="24"/>
        </w:rPr>
        <w:t>]</w:t>
      </w:r>
    </w:p>
    <w:p w:rsidR="00AA32B9" w:rsidRPr="00012C17" w:rsidRDefault="00AA32B9" w:rsidP="001B11C5">
      <w:pPr>
        <w:spacing w:line="240" w:lineRule="auto"/>
        <w:ind w:left="720"/>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106.1 </w:t>
      </w:r>
      <w:r w:rsidR="008259D8" w:rsidRPr="00012C17">
        <w:rPr>
          <w:rFonts w:ascii="Georgia" w:hAnsi="Georgia"/>
          <w:color w:val="000000"/>
          <w:sz w:val="24"/>
          <w:szCs w:val="24"/>
          <w:lang w:val="en-US"/>
        </w:rPr>
        <w:t>The CEC shall certify the final election results after the completion of all polling station and counting centre procedures and when all outstanding complaints related to voting and counting have been adjudicated by the ECAP and any appeals of ECAP’s decisions on them have been determined by the Supreme Court of Kosovo</w:t>
      </w:r>
      <w:r w:rsidRPr="00012C17">
        <w:rPr>
          <w:rFonts w:ascii="Georgia" w:hAnsi="Georgia"/>
          <w:color w:val="000000"/>
          <w:sz w:val="24"/>
          <w:szCs w:val="24"/>
          <w:lang w:val="en-US"/>
        </w:rPr>
        <w:t>.</w:t>
      </w:r>
      <w:r w:rsidR="008034FF" w:rsidRPr="00012C17">
        <w:rPr>
          <w:rFonts w:ascii="Georgia" w:hAnsi="Georgia"/>
          <w:color w:val="000000"/>
          <w:sz w:val="24"/>
          <w:szCs w:val="24"/>
          <w:lang w:val="en-US"/>
        </w:rPr>
        <w:t xml:space="preserve"> </w:t>
      </w:r>
      <w:r w:rsidRPr="00012C17">
        <w:rPr>
          <w:rFonts w:ascii="Georgia" w:hAnsi="Georgia"/>
          <w:color w:val="000000"/>
          <w:sz w:val="24"/>
          <w:szCs w:val="24"/>
          <w:lang w:val="en-US"/>
        </w:rPr>
        <w:t>(</w:t>
      </w:r>
      <w:r w:rsidR="008259D8" w:rsidRPr="00012C17">
        <w:rPr>
          <w:rFonts w:ascii="Georgia" w:hAnsi="Georgia"/>
          <w:color w:val="000000"/>
          <w:sz w:val="24"/>
          <w:szCs w:val="24"/>
          <w:lang w:val="en-US"/>
        </w:rPr>
        <w:t xml:space="preserve"> As amended by Law No.03/L-</w:t>
      </w:r>
      <w:r w:rsidR="006C4DED" w:rsidRPr="00012C17">
        <w:rPr>
          <w:rFonts w:ascii="Georgia" w:hAnsi="Georgia"/>
          <w:color w:val="000000"/>
          <w:sz w:val="24"/>
          <w:szCs w:val="24"/>
          <w:lang w:val="en-US"/>
        </w:rPr>
        <w:t>256</w:t>
      </w:r>
      <w:r w:rsidR="008259D8" w:rsidRPr="00012C17">
        <w:rPr>
          <w:rFonts w:ascii="Georgia" w:hAnsi="Georgia"/>
          <w:color w:val="000000"/>
          <w:sz w:val="24"/>
          <w:szCs w:val="24"/>
          <w:lang w:val="en-US"/>
        </w:rPr>
        <w:t xml:space="preserve">, Article </w:t>
      </w:r>
      <w:r w:rsidRPr="00012C17">
        <w:rPr>
          <w:rFonts w:ascii="Georgia" w:hAnsi="Georgia"/>
          <w:color w:val="000000"/>
          <w:sz w:val="24"/>
          <w:szCs w:val="24"/>
          <w:lang w:val="en-US"/>
        </w:rPr>
        <w:t>6)</w:t>
      </w:r>
    </w:p>
    <w:p w:rsidR="00AA32B9" w:rsidRPr="00012C17" w:rsidRDefault="00AA32B9" w:rsidP="001B11C5">
      <w:pPr>
        <w:spacing w:line="240" w:lineRule="auto"/>
        <w:ind w:left="720"/>
        <w:rPr>
          <w:color w:val="000000"/>
          <w:sz w:val="24"/>
        </w:rPr>
      </w:pPr>
    </w:p>
    <w:p w:rsidR="00AA32B9" w:rsidRPr="00012C17" w:rsidRDefault="00AA32B9" w:rsidP="001B11C5">
      <w:pPr>
        <w:spacing w:line="240" w:lineRule="auto"/>
        <w:ind w:left="720"/>
        <w:rPr>
          <w:color w:val="000000"/>
          <w:sz w:val="24"/>
        </w:rPr>
      </w:pPr>
      <w:r w:rsidRPr="00012C17">
        <w:rPr>
          <w:color w:val="000000"/>
          <w:sz w:val="24"/>
        </w:rPr>
        <w:t xml:space="preserve">106.2 </w:t>
      </w:r>
      <w:r w:rsidR="008259D8" w:rsidRPr="00012C17">
        <w:rPr>
          <w:color w:val="000000"/>
          <w:sz w:val="24"/>
        </w:rPr>
        <w:t>Prior to certification of the election results, the CEC may order a recount of ballots in any polling station, or counting centre, or a repeat of the voting in a polling centre or municipality</w:t>
      </w:r>
      <w:r w:rsidRPr="00012C17">
        <w:rPr>
          <w:color w:val="000000"/>
          <w:sz w:val="24"/>
        </w:rPr>
        <w:t xml:space="preserve">. </w:t>
      </w:r>
    </w:p>
    <w:p w:rsidR="00AA32B9" w:rsidRPr="00012C17" w:rsidRDefault="00AA32B9" w:rsidP="001B11C5">
      <w:pPr>
        <w:spacing w:line="240" w:lineRule="auto"/>
        <w:ind w:left="720"/>
        <w:rPr>
          <w:color w:val="000000"/>
          <w:sz w:val="24"/>
        </w:rPr>
      </w:pPr>
    </w:p>
    <w:p w:rsidR="00AA32B9" w:rsidRPr="00012C17" w:rsidRDefault="00AA32B9" w:rsidP="001B11C5">
      <w:pPr>
        <w:spacing w:line="240" w:lineRule="auto"/>
        <w:ind w:left="720"/>
        <w:rPr>
          <w:color w:val="000000"/>
          <w:sz w:val="24"/>
        </w:rPr>
      </w:pPr>
      <w:r w:rsidRPr="00012C17">
        <w:rPr>
          <w:color w:val="000000"/>
          <w:sz w:val="24"/>
        </w:rPr>
        <w:t xml:space="preserve">106.3 </w:t>
      </w:r>
      <w:r w:rsidR="008259D8" w:rsidRPr="00012C17">
        <w:rPr>
          <w:color w:val="000000"/>
          <w:sz w:val="24"/>
        </w:rPr>
        <w:t>The results of an election are final and binding once they have been certified by the CEC</w:t>
      </w:r>
      <w:r w:rsidRPr="00012C17">
        <w:rPr>
          <w:color w:val="000000"/>
          <w:sz w:val="24"/>
        </w:rPr>
        <w:t>. [...]</w:t>
      </w:r>
    </w:p>
    <w:p w:rsidR="00AA32B9" w:rsidRPr="00012C17" w:rsidRDefault="00AA32B9" w:rsidP="001B11C5">
      <w:pPr>
        <w:spacing w:line="240" w:lineRule="auto"/>
        <w:ind w:left="720"/>
        <w:rPr>
          <w:color w:val="000000"/>
          <w:sz w:val="24"/>
        </w:rPr>
      </w:pPr>
    </w:p>
    <w:p w:rsidR="00AA32B9" w:rsidRPr="00012C17" w:rsidRDefault="008259D8" w:rsidP="001B11C5">
      <w:pPr>
        <w:spacing w:line="240" w:lineRule="auto"/>
        <w:ind w:left="720"/>
        <w:jc w:val="center"/>
        <w:rPr>
          <w:color w:val="000000"/>
          <w:sz w:val="24"/>
        </w:rPr>
      </w:pPr>
      <w:r w:rsidRPr="00012C17">
        <w:rPr>
          <w:color w:val="000000"/>
          <w:sz w:val="24"/>
        </w:rPr>
        <w:t xml:space="preserve">Article </w:t>
      </w:r>
      <w:r w:rsidR="00AA32B9" w:rsidRPr="00012C17">
        <w:rPr>
          <w:color w:val="000000"/>
          <w:sz w:val="24"/>
        </w:rPr>
        <w:t>117</w:t>
      </w:r>
    </w:p>
    <w:p w:rsidR="00AA32B9" w:rsidRPr="00012C17" w:rsidRDefault="00FB08EC" w:rsidP="001B11C5">
      <w:pPr>
        <w:spacing w:line="240" w:lineRule="auto"/>
        <w:ind w:left="720"/>
        <w:jc w:val="center"/>
        <w:rPr>
          <w:color w:val="000000"/>
          <w:sz w:val="24"/>
        </w:rPr>
      </w:pPr>
      <w:r w:rsidRPr="00012C17">
        <w:rPr>
          <w:color w:val="000000"/>
          <w:sz w:val="24"/>
        </w:rPr>
        <w:t>[</w:t>
      </w:r>
      <w:r w:rsidR="008259D8" w:rsidRPr="00012C17">
        <w:rPr>
          <w:color w:val="000000"/>
          <w:sz w:val="24"/>
        </w:rPr>
        <w:t>Procedures of ECAC</w:t>
      </w:r>
      <w:r w:rsidRPr="00012C17">
        <w:rPr>
          <w:color w:val="000000"/>
          <w:sz w:val="24"/>
        </w:rPr>
        <w:t>]</w:t>
      </w:r>
    </w:p>
    <w:p w:rsidR="00AA32B9" w:rsidRPr="00012C17" w:rsidRDefault="00AA32B9" w:rsidP="001B11C5">
      <w:pPr>
        <w:spacing w:line="240" w:lineRule="auto"/>
        <w:ind w:left="720"/>
        <w:jc w:val="center"/>
        <w:rPr>
          <w:color w:val="000000"/>
          <w:sz w:val="24"/>
        </w:rPr>
      </w:pPr>
    </w:p>
    <w:p w:rsidR="008259D8" w:rsidRPr="00012C17" w:rsidRDefault="008259D8" w:rsidP="001B11C5">
      <w:pPr>
        <w:spacing w:line="240" w:lineRule="auto"/>
        <w:ind w:left="720"/>
        <w:rPr>
          <w:color w:val="000000"/>
          <w:sz w:val="24"/>
        </w:rPr>
      </w:pPr>
      <w:r w:rsidRPr="00012C17">
        <w:rPr>
          <w:color w:val="000000"/>
          <w:sz w:val="24"/>
        </w:rPr>
        <w:t xml:space="preserve">117.1 The ECAC shall establish its own rules of procedure. </w:t>
      </w:r>
    </w:p>
    <w:p w:rsidR="008259D8" w:rsidRPr="00012C17" w:rsidRDefault="008259D8" w:rsidP="001B11C5">
      <w:pPr>
        <w:spacing w:line="240" w:lineRule="auto"/>
        <w:ind w:left="720"/>
        <w:rPr>
          <w:color w:val="000000"/>
          <w:sz w:val="24"/>
        </w:rPr>
      </w:pPr>
    </w:p>
    <w:p w:rsidR="008259D8" w:rsidRPr="00012C17" w:rsidRDefault="008259D8" w:rsidP="001B11C5">
      <w:pPr>
        <w:spacing w:line="240" w:lineRule="auto"/>
        <w:ind w:left="720"/>
        <w:rPr>
          <w:color w:val="000000"/>
          <w:sz w:val="24"/>
        </w:rPr>
      </w:pPr>
      <w:r w:rsidRPr="00012C17">
        <w:rPr>
          <w:color w:val="000000"/>
          <w:sz w:val="24"/>
        </w:rPr>
        <w:t xml:space="preserve">117.2 The ECAC shall, in adjudicating a complaint or appeal examine and investigate all relevant evidence, and grant a hearing if it deems it necessary. </w:t>
      </w:r>
    </w:p>
    <w:p w:rsidR="008259D8" w:rsidRPr="00012C17" w:rsidRDefault="008259D8" w:rsidP="001B11C5">
      <w:pPr>
        <w:spacing w:line="240" w:lineRule="auto"/>
        <w:ind w:left="720"/>
        <w:rPr>
          <w:color w:val="000000"/>
          <w:sz w:val="24"/>
        </w:rPr>
      </w:pPr>
    </w:p>
    <w:p w:rsidR="008034FF" w:rsidRPr="00012C17" w:rsidRDefault="008259D8" w:rsidP="001B11C5">
      <w:pPr>
        <w:spacing w:line="240" w:lineRule="auto"/>
        <w:ind w:left="720"/>
        <w:rPr>
          <w:color w:val="000000"/>
          <w:sz w:val="24"/>
        </w:rPr>
      </w:pPr>
      <w:r w:rsidRPr="00012C17">
        <w:rPr>
          <w:color w:val="000000"/>
          <w:sz w:val="24"/>
        </w:rPr>
        <w:t xml:space="preserve">117.3 Adjudication on appeals and complains by ECAC shall be based on clear and convincing evidence. </w:t>
      </w:r>
    </w:p>
    <w:p w:rsidR="008034FF" w:rsidRPr="00012C17" w:rsidRDefault="008034FF" w:rsidP="001B11C5">
      <w:pPr>
        <w:spacing w:line="240" w:lineRule="auto"/>
        <w:ind w:left="720"/>
        <w:rPr>
          <w:color w:val="000000"/>
          <w:sz w:val="24"/>
        </w:rPr>
      </w:pPr>
    </w:p>
    <w:p w:rsidR="00AA32B9" w:rsidRPr="00012C17" w:rsidRDefault="008259D8" w:rsidP="001B11C5">
      <w:pPr>
        <w:spacing w:line="240" w:lineRule="auto"/>
        <w:ind w:left="720"/>
        <w:rPr>
          <w:color w:val="000000"/>
          <w:sz w:val="24"/>
        </w:rPr>
      </w:pPr>
      <w:r w:rsidRPr="00012C17">
        <w:rPr>
          <w:color w:val="000000"/>
          <w:sz w:val="24"/>
        </w:rPr>
        <w:t>117.4 The ECAC may order a recount of the ballots in a polling station or polling centre and an examination of the balloting material as part of its investigation into a complaint or appeal</w:t>
      </w:r>
      <w:r w:rsidR="00AA32B9" w:rsidRPr="00012C17">
        <w:rPr>
          <w:color w:val="000000"/>
          <w:sz w:val="24"/>
        </w:rPr>
        <w:t>.</w:t>
      </w:r>
    </w:p>
    <w:p w:rsidR="00FB08EC" w:rsidRPr="00012C17" w:rsidRDefault="00FB08EC" w:rsidP="001B11C5">
      <w:pPr>
        <w:spacing w:line="240" w:lineRule="auto"/>
        <w:ind w:left="720"/>
        <w:rPr>
          <w:color w:val="000000"/>
          <w:sz w:val="24"/>
        </w:rPr>
      </w:pPr>
    </w:p>
    <w:p w:rsidR="00AA32B9" w:rsidRPr="00012C17" w:rsidRDefault="008034FF" w:rsidP="001B11C5">
      <w:pPr>
        <w:spacing w:line="240" w:lineRule="auto"/>
        <w:ind w:left="720"/>
        <w:jc w:val="center"/>
        <w:rPr>
          <w:color w:val="000000"/>
          <w:sz w:val="24"/>
        </w:rPr>
      </w:pPr>
      <w:r w:rsidRPr="00012C17">
        <w:rPr>
          <w:color w:val="000000"/>
          <w:sz w:val="24"/>
        </w:rPr>
        <w:t xml:space="preserve">Article </w:t>
      </w:r>
      <w:r w:rsidR="00AA32B9" w:rsidRPr="00012C17">
        <w:rPr>
          <w:color w:val="000000"/>
          <w:sz w:val="24"/>
        </w:rPr>
        <w:t>118</w:t>
      </w:r>
    </w:p>
    <w:p w:rsidR="00AA32B9" w:rsidRPr="00012C17" w:rsidRDefault="00FB08EC" w:rsidP="001B11C5">
      <w:pPr>
        <w:spacing w:line="240" w:lineRule="auto"/>
        <w:ind w:left="720"/>
        <w:jc w:val="center"/>
        <w:rPr>
          <w:color w:val="000000"/>
          <w:sz w:val="24"/>
        </w:rPr>
      </w:pPr>
      <w:r w:rsidRPr="00012C17">
        <w:rPr>
          <w:color w:val="000000"/>
          <w:sz w:val="24"/>
        </w:rPr>
        <w:t>[</w:t>
      </w:r>
      <w:r w:rsidR="008034FF" w:rsidRPr="00012C17">
        <w:rPr>
          <w:color w:val="000000"/>
          <w:sz w:val="24"/>
        </w:rPr>
        <w:t>Decisions</w:t>
      </w:r>
      <w:r w:rsidRPr="00012C17">
        <w:rPr>
          <w:color w:val="000000"/>
          <w:sz w:val="24"/>
        </w:rPr>
        <w:t>]</w:t>
      </w:r>
    </w:p>
    <w:p w:rsidR="00AA32B9" w:rsidRPr="00012C17" w:rsidRDefault="00AA32B9" w:rsidP="001B11C5">
      <w:pPr>
        <w:spacing w:line="240" w:lineRule="auto"/>
        <w:ind w:left="720"/>
        <w:jc w:val="center"/>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118.2 </w:t>
      </w:r>
      <w:r w:rsidR="008034FF" w:rsidRPr="00012C17">
        <w:rPr>
          <w:rFonts w:ascii="Georgia" w:hAnsi="Georgia"/>
          <w:color w:val="000000"/>
          <w:sz w:val="24"/>
          <w:szCs w:val="24"/>
          <w:lang w:val="en-US"/>
        </w:rPr>
        <w:t>The ECAP shall provide the legal and factual basis for its decision in writing. The ECAP shall</w:t>
      </w:r>
      <w:r w:rsidR="006E52F9" w:rsidRPr="00012C17">
        <w:rPr>
          <w:rFonts w:ascii="Georgia" w:hAnsi="Georgia"/>
          <w:color w:val="000000"/>
          <w:sz w:val="24"/>
          <w:szCs w:val="24"/>
          <w:lang w:val="en-US"/>
        </w:rPr>
        <w:t xml:space="preserve"> </w:t>
      </w:r>
      <w:r w:rsidR="008034FF" w:rsidRPr="00012C17">
        <w:rPr>
          <w:rFonts w:ascii="Georgia" w:hAnsi="Georgia"/>
          <w:color w:val="000000"/>
          <w:sz w:val="24"/>
          <w:szCs w:val="24"/>
          <w:lang w:val="en-US"/>
        </w:rPr>
        <w:t>provide copies of its written decisions to the parties involved in the matter within seventy two (72) hours of</w:t>
      </w:r>
      <w:r w:rsidR="006E52F9" w:rsidRPr="00012C17">
        <w:rPr>
          <w:rFonts w:ascii="Georgia" w:hAnsi="Georgia"/>
          <w:color w:val="000000"/>
          <w:sz w:val="24"/>
          <w:szCs w:val="24"/>
          <w:lang w:val="en-US"/>
        </w:rPr>
        <w:t xml:space="preserve"> </w:t>
      </w:r>
      <w:r w:rsidR="008034FF" w:rsidRPr="00012C17">
        <w:rPr>
          <w:rFonts w:ascii="Georgia" w:hAnsi="Georgia"/>
          <w:color w:val="000000"/>
          <w:sz w:val="24"/>
          <w:szCs w:val="24"/>
          <w:lang w:val="en-US"/>
        </w:rPr>
        <w:t>the issuance of the decision if it affects the certification of the election results. For other decisions the ECAP shall provide copies of its written decisions to the parties involved in the matter within five (5) calendar days</w:t>
      </w:r>
      <w:r w:rsidRPr="00012C17">
        <w:rPr>
          <w:rFonts w:ascii="Georgia" w:hAnsi="Georgia"/>
          <w:color w:val="000000"/>
          <w:sz w:val="24"/>
          <w:szCs w:val="24"/>
          <w:lang w:val="en-US"/>
        </w:rPr>
        <w:t>. (</w:t>
      </w:r>
      <w:r w:rsidR="008034FF" w:rsidRPr="00012C17">
        <w:rPr>
          <w:rFonts w:ascii="Georgia" w:hAnsi="Georgia"/>
          <w:color w:val="000000"/>
          <w:sz w:val="24"/>
          <w:szCs w:val="24"/>
          <w:lang w:val="en-US"/>
        </w:rPr>
        <w:t>As amended by Law No.03/L-</w:t>
      </w:r>
      <w:r w:rsidR="006C4DED" w:rsidRPr="00012C17">
        <w:rPr>
          <w:rFonts w:ascii="Georgia" w:hAnsi="Georgia"/>
          <w:color w:val="000000"/>
          <w:sz w:val="24"/>
          <w:szCs w:val="24"/>
          <w:lang w:val="en-US"/>
        </w:rPr>
        <w:t>256</w:t>
      </w:r>
      <w:r w:rsidR="008034FF" w:rsidRPr="00012C17">
        <w:rPr>
          <w:rFonts w:ascii="Georgia" w:hAnsi="Georgia"/>
          <w:color w:val="000000"/>
          <w:sz w:val="24"/>
          <w:szCs w:val="24"/>
          <w:lang w:val="en-US"/>
        </w:rPr>
        <w:t>, Article</w:t>
      </w:r>
      <w:r w:rsidRPr="00012C17">
        <w:rPr>
          <w:rFonts w:ascii="Georgia" w:hAnsi="Georgia"/>
          <w:color w:val="000000"/>
          <w:sz w:val="24"/>
          <w:szCs w:val="24"/>
          <w:lang w:val="en-US"/>
        </w:rPr>
        <w:t xml:space="preserve"> 12 </w:t>
      </w:r>
      <w:r w:rsidR="008034FF" w:rsidRPr="00012C17">
        <w:rPr>
          <w:rFonts w:ascii="Georgia" w:hAnsi="Georgia"/>
          <w:color w:val="000000"/>
          <w:sz w:val="24"/>
          <w:szCs w:val="24"/>
          <w:lang w:val="en-US"/>
        </w:rPr>
        <w:t>paragraph</w:t>
      </w:r>
      <w:r w:rsidRPr="00012C17">
        <w:rPr>
          <w:rFonts w:ascii="Georgia" w:hAnsi="Georgia"/>
          <w:color w:val="000000"/>
          <w:sz w:val="24"/>
          <w:szCs w:val="24"/>
          <w:lang w:val="en-US"/>
        </w:rPr>
        <w:t xml:space="preserve"> 1).</w:t>
      </w:r>
    </w:p>
    <w:p w:rsidR="00AA32B9" w:rsidRPr="00012C17" w:rsidRDefault="00AA32B9" w:rsidP="001B11C5">
      <w:pPr>
        <w:spacing w:line="240" w:lineRule="auto"/>
        <w:ind w:left="720"/>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118.4 </w:t>
      </w:r>
      <w:r w:rsidR="008034FF" w:rsidRPr="00012C17">
        <w:rPr>
          <w:rFonts w:ascii="Georgia" w:hAnsi="Georgia"/>
          <w:color w:val="000000"/>
          <w:sz w:val="24"/>
          <w:szCs w:val="24"/>
          <w:lang w:val="en-US"/>
        </w:rPr>
        <w:t xml:space="preserve">An appeal may be made from a decision of the ECAP, as ECAP may reconsider any of its decisions upon the presentation by an interested party. An appeal to the Supreme Court of Kosovo may be made within twenty four (24) hours of the decision by ECAP, if the fine involved is higher than five thousand </w:t>
      </w:r>
      <w:r w:rsidR="008034FF" w:rsidRPr="00012C17">
        <w:rPr>
          <w:rFonts w:ascii="Georgia" w:hAnsi="Georgia"/>
          <w:color w:val="000000"/>
          <w:sz w:val="24"/>
          <w:szCs w:val="24"/>
          <w:lang w:val="en-US"/>
        </w:rPr>
        <w:lastRenderedPageBreak/>
        <w:t>Euro (€5,000) or if the matter affects a fundamental right. The Supreme Court shall decide within seventy two (72) hours after the appeal is filed</w:t>
      </w:r>
      <w:r w:rsidR="009805AB" w:rsidRPr="00012C17">
        <w:rPr>
          <w:rFonts w:ascii="Georgia" w:hAnsi="Georgia"/>
          <w:color w:val="000000"/>
          <w:sz w:val="24"/>
          <w:szCs w:val="24"/>
          <w:lang w:val="en-US"/>
        </w:rPr>
        <w:t xml:space="preserve">. </w:t>
      </w:r>
      <w:r w:rsidRPr="00012C17">
        <w:rPr>
          <w:rFonts w:ascii="Georgia" w:hAnsi="Georgia"/>
          <w:color w:val="000000"/>
          <w:sz w:val="24"/>
          <w:szCs w:val="24"/>
          <w:lang w:val="en-US"/>
        </w:rPr>
        <w:t>(</w:t>
      </w:r>
      <w:r w:rsidR="008034FF" w:rsidRPr="00012C17">
        <w:rPr>
          <w:rFonts w:ascii="Georgia" w:hAnsi="Georgia"/>
          <w:color w:val="000000"/>
          <w:sz w:val="24"/>
          <w:szCs w:val="24"/>
          <w:lang w:val="en-US"/>
        </w:rPr>
        <w:t>As amended by Law No.03/L-</w:t>
      </w:r>
      <w:r w:rsidR="006C4DED" w:rsidRPr="00012C17">
        <w:rPr>
          <w:rFonts w:ascii="Georgia" w:hAnsi="Georgia"/>
          <w:color w:val="000000"/>
          <w:sz w:val="24"/>
          <w:szCs w:val="24"/>
          <w:lang w:val="en-US"/>
        </w:rPr>
        <w:t>256</w:t>
      </w:r>
      <w:r w:rsidR="008034FF" w:rsidRPr="00012C17">
        <w:rPr>
          <w:rFonts w:ascii="Georgia" w:hAnsi="Georgia"/>
          <w:color w:val="000000"/>
          <w:sz w:val="24"/>
          <w:szCs w:val="24"/>
          <w:lang w:val="en-US"/>
        </w:rPr>
        <w:t xml:space="preserve">, Article </w:t>
      </w:r>
      <w:r w:rsidRPr="00012C17">
        <w:rPr>
          <w:rFonts w:ascii="Georgia" w:hAnsi="Georgia"/>
          <w:color w:val="000000"/>
          <w:sz w:val="24"/>
          <w:szCs w:val="24"/>
          <w:lang w:val="en-US"/>
        </w:rPr>
        <w:t xml:space="preserve">12 </w:t>
      </w:r>
      <w:r w:rsidR="008034FF" w:rsidRPr="00012C17">
        <w:rPr>
          <w:rFonts w:ascii="Georgia" w:hAnsi="Georgia"/>
          <w:color w:val="000000"/>
          <w:sz w:val="24"/>
          <w:szCs w:val="24"/>
          <w:lang w:val="en-US"/>
        </w:rPr>
        <w:t>paragraph</w:t>
      </w:r>
      <w:r w:rsidRPr="00012C17">
        <w:rPr>
          <w:rFonts w:ascii="Georgia" w:hAnsi="Georgia"/>
          <w:color w:val="000000"/>
          <w:sz w:val="24"/>
          <w:szCs w:val="24"/>
          <w:lang w:val="en-US"/>
        </w:rPr>
        <w:t xml:space="preserve"> 2)</w:t>
      </w:r>
      <w:r w:rsidR="00752325" w:rsidRPr="00012C17">
        <w:rPr>
          <w:rFonts w:ascii="Georgia" w:hAnsi="Georgia"/>
          <w:color w:val="000000"/>
          <w:sz w:val="24"/>
          <w:szCs w:val="24"/>
          <w:lang w:val="en-US"/>
        </w:rPr>
        <w:t>.</w:t>
      </w:r>
    </w:p>
    <w:p w:rsidR="00AA32B9" w:rsidRPr="00012C17" w:rsidRDefault="00AA32B9" w:rsidP="001B11C5">
      <w:pPr>
        <w:spacing w:line="240" w:lineRule="auto"/>
        <w:ind w:left="720"/>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s="Helvetica"/>
          <w:color w:val="000000"/>
          <w:sz w:val="24"/>
          <w:szCs w:val="24"/>
          <w:lang w:val="en-US"/>
        </w:rPr>
        <w:t xml:space="preserve">118.5 </w:t>
      </w:r>
      <w:r w:rsidR="008034FF" w:rsidRPr="00012C17">
        <w:rPr>
          <w:rFonts w:ascii="Georgia" w:hAnsi="Georgia"/>
          <w:color w:val="000000"/>
          <w:sz w:val="24"/>
          <w:szCs w:val="24"/>
          <w:lang w:val="en-US"/>
        </w:rPr>
        <w:t>The ECAP decision is binding upon the CEC to implement, unless an appeal allowed by this law is timely filed and the Supreme Court determines otherwise.</w:t>
      </w:r>
      <w:r w:rsidRPr="00012C17">
        <w:rPr>
          <w:color w:val="000000"/>
          <w:sz w:val="24"/>
          <w:lang w:val="en-US"/>
        </w:rPr>
        <w:t>(</w:t>
      </w:r>
      <w:r w:rsidR="008034FF" w:rsidRPr="00012C17">
        <w:rPr>
          <w:rFonts w:ascii="Georgia" w:hAnsi="Georgia"/>
          <w:color w:val="000000"/>
          <w:sz w:val="24"/>
          <w:szCs w:val="24"/>
          <w:lang w:val="en-US"/>
        </w:rPr>
        <w:t>As amended by Law No.03/L-</w:t>
      </w:r>
      <w:r w:rsidR="006C4DED" w:rsidRPr="00012C17">
        <w:rPr>
          <w:rFonts w:ascii="Georgia" w:hAnsi="Georgia"/>
          <w:color w:val="000000"/>
          <w:sz w:val="24"/>
          <w:szCs w:val="24"/>
          <w:lang w:val="en-US"/>
        </w:rPr>
        <w:t>256</w:t>
      </w:r>
      <w:r w:rsidR="008034FF" w:rsidRPr="00012C17">
        <w:rPr>
          <w:rFonts w:ascii="Georgia" w:hAnsi="Georgia"/>
          <w:color w:val="000000"/>
          <w:sz w:val="24"/>
          <w:szCs w:val="24"/>
          <w:lang w:val="en-US"/>
        </w:rPr>
        <w:t xml:space="preserve">, Article </w:t>
      </w:r>
      <w:r w:rsidRPr="00012C17">
        <w:rPr>
          <w:rFonts w:ascii="Georgia" w:hAnsi="Georgia"/>
          <w:color w:val="000000"/>
          <w:sz w:val="24"/>
          <w:szCs w:val="24"/>
          <w:lang w:val="en-US"/>
        </w:rPr>
        <w:t xml:space="preserve">12 </w:t>
      </w:r>
      <w:r w:rsidR="008034FF" w:rsidRPr="00012C17">
        <w:rPr>
          <w:rFonts w:ascii="Georgia" w:hAnsi="Georgia"/>
          <w:color w:val="000000"/>
          <w:sz w:val="24"/>
          <w:szCs w:val="24"/>
          <w:lang w:val="en-US"/>
        </w:rPr>
        <w:t>paragraph</w:t>
      </w:r>
      <w:r w:rsidRPr="00012C17">
        <w:rPr>
          <w:rFonts w:ascii="Georgia" w:hAnsi="Georgia"/>
          <w:color w:val="000000"/>
          <w:sz w:val="24"/>
          <w:szCs w:val="24"/>
          <w:lang w:val="en-US"/>
        </w:rPr>
        <w:t xml:space="preserve"> 3).</w:t>
      </w:r>
    </w:p>
    <w:p w:rsidR="009805AB" w:rsidRPr="00012C17" w:rsidRDefault="009805AB" w:rsidP="001B11C5">
      <w:pPr>
        <w:autoSpaceDE w:val="0"/>
        <w:autoSpaceDN w:val="0"/>
        <w:adjustRightInd w:val="0"/>
        <w:spacing w:line="240" w:lineRule="auto"/>
        <w:ind w:left="720"/>
        <w:rPr>
          <w:rFonts w:cs="Helvetica"/>
          <w:color w:val="000000"/>
          <w:sz w:val="24"/>
        </w:rPr>
      </w:pPr>
    </w:p>
    <w:p w:rsidR="00AA32B9" w:rsidRPr="00012C17" w:rsidRDefault="008034FF" w:rsidP="001B11C5">
      <w:pPr>
        <w:spacing w:line="240" w:lineRule="auto"/>
        <w:ind w:left="720"/>
        <w:jc w:val="center"/>
        <w:rPr>
          <w:color w:val="000000"/>
          <w:sz w:val="24"/>
        </w:rPr>
      </w:pPr>
      <w:r w:rsidRPr="00012C17">
        <w:rPr>
          <w:color w:val="000000"/>
          <w:sz w:val="24"/>
        </w:rPr>
        <w:t xml:space="preserve">Article </w:t>
      </w:r>
      <w:r w:rsidR="00AA32B9" w:rsidRPr="00012C17">
        <w:rPr>
          <w:color w:val="000000"/>
          <w:sz w:val="24"/>
        </w:rPr>
        <w:t>119</w:t>
      </w:r>
    </w:p>
    <w:p w:rsidR="00AA32B9" w:rsidRPr="00012C17" w:rsidRDefault="00FB08EC" w:rsidP="001B11C5">
      <w:pPr>
        <w:spacing w:line="240" w:lineRule="auto"/>
        <w:ind w:left="720"/>
        <w:jc w:val="center"/>
        <w:rPr>
          <w:color w:val="000000"/>
          <w:sz w:val="24"/>
        </w:rPr>
      </w:pPr>
      <w:r w:rsidRPr="00012C17">
        <w:rPr>
          <w:color w:val="000000"/>
          <w:sz w:val="24"/>
        </w:rPr>
        <w:t>[</w:t>
      </w:r>
      <w:r w:rsidR="008034FF" w:rsidRPr="00012C17">
        <w:rPr>
          <w:color w:val="000000"/>
          <w:sz w:val="24"/>
        </w:rPr>
        <w:t>Complaints</w:t>
      </w:r>
      <w:r w:rsidRPr="00012C17">
        <w:rPr>
          <w:color w:val="000000"/>
          <w:sz w:val="24"/>
        </w:rPr>
        <w:t>]</w:t>
      </w:r>
    </w:p>
    <w:p w:rsidR="00FB08EC" w:rsidRPr="00012C17" w:rsidRDefault="00FB08EC" w:rsidP="001B11C5">
      <w:pPr>
        <w:spacing w:line="240" w:lineRule="auto"/>
        <w:ind w:left="720"/>
        <w:jc w:val="center"/>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119.1 </w:t>
      </w:r>
      <w:r w:rsidR="008034FF" w:rsidRPr="00012C17">
        <w:rPr>
          <w:rFonts w:ascii="Georgia" w:hAnsi="Georgia"/>
          <w:color w:val="000000"/>
          <w:sz w:val="24"/>
          <w:szCs w:val="24"/>
          <w:lang w:val="en-US"/>
        </w:rPr>
        <w:t>A person who has a legal interest in a matter within the jurisdiction of ECAP, or whose rights</w:t>
      </w:r>
      <w:r w:rsidR="006E52F9" w:rsidRPr="00012C17">
        <w:rPr>
          <w:rFonts w:ascii="Georgia" w:hAnsi="Georgia"/>
          <w:color w:val="000000"/>
          <w:sz w:val="24"/>
          <w:szCs w:val="24"/>
          <w:lang w:val="en-US"/>
        </w:rPr>
        <w:t xml:space="preserve"> </w:t>
      </w:r>
      <w:r w:rsidR="008034FF" w:rsidRPr="00012C17">
        <w:rPr>
          <w:rFonts w:ascii="Georgia" w:hAnsi="Georgia"/>
          <w:color w:val="000000"/>
          <w:sz w:val="24"/>
          <w:szCs w:val="24"/>
          <w:lang w:val="en-US"/>
        </w:rPr>
        <w:t>concerning the electoral process as established by this law or electoral rule have been violated, may submit a complaint to the ECAP within twenty four (24) hours after the close of the polling stations and the ECAP shall decide the complaint within seventy two (72) hours after the complaint is received</w:t>
      </w:r>
      <w:r w:rsidRPr="00012C17">
        <w:rPr>
          <w:rFonts w:ascii="Georgia" w:hAnsi="Georgia"/>
          <w:color w:val="000000"/>
          <w:sz w:val="24"/>
          <w:szCs w:val="24"/>
          <w:lang w:val="en-US"/>
        </w:rPr>
        <w:t>. (</w:t>
      </w:r>
      <w:r w:rsidR="008034FF" w:rsidRPr="00012C17">
        <w:rPr>
          <w:rFonts w:ascii="Georgia" w:hAnsi="Georgia"/>
          <w:color w:val="000000"/>
          <w:sz w:val="24"/>
          <w:szCs w:val="24"/>
          <w:lang w:val="en-US"/>
        </w:rPr>
        <w:t>As amended by Law No.03/L-</w:t>
      </w:r>
      <w:r w:rsidR="006C4DED" w:rsidRPr="00012C17">
        <w:rPr>
          <w:rFonts w:ascii="Georgia" w:hAnsi="Georgia"/>
          <w:color w:val="000000"/>
          <w:sz w:val="24"/>
          <w:szCs w:val="24"/>
          <w:lang w:val="en-US"/>
        </w:rPr>
        <w:t>256</w:t>
      </w:r>
      <w:r w:rsidR="008034FF" w:rsidRPr="00012C17">
        <w:rPr>
          <w:rFonts w:ascii="Georgia" w:hAnsi="Georgia"/>
          <w:color w:val="000000"/>
          <w:sz w:val="24"/>
          <w:szCs w:val="24"/>
          <w:lang w:val="en-US"/>
        </w:rPr>
        <w:t xml:space="preserve">, Article </w:t>
      </w:r>
      <w:r w:rsidRPr="00012C17">
        <w:rPr>
          <w:rFonts w:ascii="Georgia" w:hAnsi="Georgia"/>
          <w:color w:val="000000"/>
          <w:sz w:val="24"/>
          <w:szCs w:val="24"/>
          <w:lang w:val="en-US"/>
        </w:rPr>
        <w:t>13).[...]</w:t>
      </w:r>
    </w:p>
    <w:p w:rsidR="00AA32B9" w:rsidRPr="00012C17" w:rsidRDefault="00AA32B9" w:rsidP="001B11C5">
      <w:pPr>
        <w:spacing w:line="240" w:lineRule="auto"/>
        <w:ind w:left="720"/>
        <w:rPr>
          <w:color w:val="000000"/>
          <w:sz w:val="24"/>
        </w:rPr>
      </w:pPr>
    </w:p>
    <w:p w:rsidR="003B379B" w:rsidRPr="00012C17" w:rsidRDefault="008034FF" w:rsidP="001B11C5">
      <w:pPr>
        <w:spacing w:line="240" w:lineRule="auto"/>
        <w:ind w:left="720"/>
        <w:rPr>
          <w:color w:val="000000"/>
          <w:sz w:val="24"/>
        </w:rPr>
      </w:pPr>
      <w:r w:rsidRPr="00012C17">
        <w:rPr>
          <w:color w:val="000000"/>
          <w:sz w:val="24"/>
        </w:rPr>
        <w:t xml:space="preserve">119.2 The Office may submit a complaint to the ECAC in respect of a Political Entity failing to comply with this law or CEC Rules affecting the electoral or the registration process. </w:t>
      </w:r>
    </w:p>
    <w:p w:rsidR="003B379B" w:rsidRPr="00012C17" w:rsidRDefault="003B379B" w:rsidP="001B11C5">
      <w:pPr>
        <w:spacing w:line="240" w:lineRule="auto"/>
        <w:ind w:left="720"/>
        <w:rPr>
          <w:color w:val="000000"/>
          <w:sz w:val="24"/>
        </w:rPr>
      </w:pPr>
    </w:p>
    <w:p w:rsidR="003B379B" w:rsidRPr="00012C17" w:rsidRDefault="008034FF" w:rsidP="001B11C5">
      <w:pPr>
        <w:spacing w:line="240" w:lineRule="auto"/>
        <w:ind w:left="720"/>
        <w:rPr>
          <w:color w:val="000000"/>
          <w:sz w:val="24"/>
        </w:rPr>
      </w:pPr>
      <w:r w:rsidRPr="00012C17">
        <w:rPr>
          <w:color w:val="000000"/>
          <w:sz w:val="24"/>
        </w:rPr>
        <w:t xml:space="preserve">119.3 The ECAC shall not consider a complaint concerning a decision of the CEC, but may consider an appeal from a decision of the CEC as specified under article 122 of this Law. </w:t>
      </w:r>
    </w:p>
    <w:p w:rsidR="003B379B" w:rsidRPr="00012C17" w:rsidRDefault="003B379B" w:rsidP="001B11C5">
      <w:pPr>
        <w:spacing w:line="240" w:lineRule="auto"/>
        <w:ind w:left="720"/>
        <w:rPr>
          <w:color w:val="000000"/>
          <w:sz w:val="24"/>
        </w:rPr>
      </w:pPr>
    </w:p>
    <w:p w:rsidR="003B379B" w:rsidRPr="00012C17" w:rsidRDefault="008034FF" w:rsidP="001B11C5">
      <w:pPr>
        <w:spacing w:line="240" w:lineRule="auto"/>
        <w:ind w:left="720"/>
        <w:rPr>
          <w:color w:val="000000"/>
          <w:sz w:val="24"/>
        </w:rPr>
      </w:pPr>
      <w:r w:rsidRPr="00012C17">
        <w:rPr>
          <w:color w:val="000000"/>
          <w:sz w:val="24"/>
        </w:rPr>
        <w:t xml:space="preserve">119.4 The ECAC may impose sanctions on a Political Entity for violation of this law or CEC rules committed by the members, supporters and candidates of the Entity. A Political Entity may submit evidence to the ECAC showing that it made reasonable efforts to prevent and discourage its members, supporters and candidates from violating this law or electoral rules. The ECAC shall consider such evidence in determining an appropriate sanction, if any, to be imposed on the Political Entity. </w:t>
      </w:r>
    </w:p>
    <w:p w:rsidR="003B379B" w:rsidRPr="00012C17" w:rsidRDefault="003B379B" w:rsidP="001B11C5">
      <w:pPr>
        <w:spacing w:line="240" w:lineRule="auto"/>
        <w:ind w:left="720"/>
        <w:rPr>
          <w:color w:val="000000"/>
          <w:sz w:val="24"/>
        </w:rPr>
      </w:pPr>
    </w:p>
    <w:p w:rsidR="00AF5EF3" w:rsidRPr="00012C17" w:rsidRDefault="008034FF" w:rsidP="001B11C5">
      <w:pPr>
        <w:spacing w:line="240" w:lineRule="auto"/>
        <w:ind w:left="720"/>
        <w:rPr>
          <w:color w:val="000000"/>
          <w:sz w:val="24"/>
        </w:rPr>
      </w:pPr>
      <w:r w:rsidRPr="00012C17">
        <w:rPr>
          <w:color w:val="000000"/>
          <w:sz w:val="24"/>
        </w:rPr>
        <w:t xml:space="preserve">119.5 The ECAC may upon its own discretion consider matters otherwise within its jurisdiction, when strictly necessary to prevent serious injustice. </w:t>
      </w:r>
    </w:p>
    <w:p w:rsidR="00AF5EF3" w:rsidRPr="00012C17" w:rsidRDefault="00AF5EF3" w:rsidP="001B11C5">
      <w:pPr>
        <w:spacing w:line="240" w:lineRule="auto"/>
        <w:ind w:left="720"/>
        <w:rPr>
          <w:color w:val="000000"/>
          <w:sz w:val="24"/>
        </w:rPr>
      </w:pPr>
    </w:p>
    <w:p w:rsidR="00AA32B9" w:rsidRPr="00012C17" w:rsidRDefault="008034FF" w:rsidP="001B11C5">
      <w:pPr>
        <w:spacing w:line="240" w:lineRule="auto"/>
        <w:ind w:left="720"/>
        <w:rPr>
          <w:color w:val="000000"/>
          <w:sz w:val="24"/>
        </w:rPr>
      </w:pPr>
      <w:r w:rsidRPr="00012C17">
        <w:rPr>
          <w:color w:val="000000"/>
          <w:sz w:val="24"/>
        </w:rPr>
        <w:t>119.6 The provision of false information to the ECAC shall be a violation of this law that the ECAC may sanction under article 121 of this Law</w:t>
      </w:r>
      <w:r w:rsidR="00AA32B9" w:rsidRPr="00012C17">
        <w:rPr>
          <w:color w:val="000000"/>
          <w:sz w:val="24"/>
        </w:rPr>
        <w:t>.</w:t>
      </w:r>
    </w:p>
    <w:p w:rsidR="00AA32B9" w:rsidRPr="00012C17" w:rsidRDefault="00AA32B9" w:rsidP="001B11C5">
      <w:pPr>
        <w:spacing w:line="240" w:lineRule="auto"/>
        <w:ind w:left="720"/>
        <w:rPr>
          <w:color w:val="000000"/>
          <w:sz w:val="24"/>
        </w:rPr>
      </w:pPr>
    </w:p>
    <w:p w:rsidR="00AA32B9" w:rsidRPr="00012C17" w:rsidRDefault="003B379B" w:rsidP="001B11C5">
      <w:pPr>
        <w:spacing w:line="240" w:lineRule="auto"/>
        <w:ind w:left="720"/>
        <w:jc w:val="center"/>
        <w:rPr>
          <w:color w:val="000000"/>
          <w:sz w:val="24"/>
        </w:rPr>
      </w:pPr>
      <w:r w:rsidRPr="00012C17">
        <w:rPr>
          <w:color w:val="000000"/>
          <w:sz w:val="24"/>
        </w:rPr>
        <w:t>Article</w:t>
      </w:r>
      <w:r w:rsidR="00AA32B9" w:rsidRPr="00012C17">
        <w:rPr>
          <w:color w:val="000000"/>
          <w:sz w:val="24"/>
        </w:rPr>
        <w:t xml:space="preserve"> 120</w:t>
      </w:r>
    </w:p>
    <w:p w:rsidR="00AA32B9" w:rsidRPr="00012C17" w:rsidRDefault="00FB08EC" w:rsidP="001B11C5">
      <w:pPr>
        <w:spacing w:line="240" w:lineRule="auto"/>
        <w:ind w:left="720"/>
        <w:jc w:val="center"/>
        <w:rPr>
          <w:color w:val="000000"/>
          <w:sz w:val="24"/>
        </w:rPr>
      </w:pPr>
      <w:r w:rsidRPr="00012C17">
        <w:rPr>
          <w:color w:val="000000"/>
          <w:sz w:val="24"/>
        </w:rPr>
        <w:t>[</w:t>
      </w:r>
      <w:r w:rsidR="003B379B" w:rsidRPr="00012C17">
        <w:rPr>
          <w:color w:val="000000"/>
          <w:sz w:val="24"/>
        </w:rPr>
        <w:t>Remedies and Sanctions for Violations</w:t>
      </w:r>
      <w:r w:rsidRPr="00012C17">
        <w:rPr>
          <w:color w:val="000000"/>
          <w:sz w:val="24"/>
        </w:rPr>
        <w:t>]</w:t>
      </w:r>
    </w:p>
    <w:p w:rsidR="00534081" w:rsidRPr="00012C17" w:rsidRDefault="00534081" w:rsidP="001B11C5">
      <w:pPr>
        <w:spacing w:line="240" w:lineRule="auto"/>
        <w:ind w:left="720"/>
        <w:jc w:val="center"/>
        <w:rPr>
          <w:color w:val="000000"/>
          <w:sz w:val="24"/>
        </w:rPr>
      </w:pPr>
    </w:p>
    <w:p w:rsidR="00AA32B9" w:rsidRPr="00012C17" w:rsidRDefault="00AA32B9" w:rsidP="001B11C5">
      <w:pPr>
        <w:spacing w:line="240" w:lineRule="auto"/>
        <w:ind w:left="720"/>
        <w:rPr>
          <w:color w:val="000000"/>
          <w:sz w:val="24"/>
        </w:rPr>
      </w:pPr>
      <w:r w:rsidRPr="00012C17">
        <w:rPr>
          <w:color w:val="000000"/>
          <w:sz w:val="24"/>
        </w:rPr>
        <w:t xml:space="preserve">120.1 </w:t>
      </w:r>
      <w:r w:rsidR="003B379B" w:rsidRPr="00012C17">
        <w:rPr>
          <w:color w:val="000000"/>
          <w:sz w:val="24"/>
        </w:rPr>
        <w:t>The ECAC may, if it determines that a violation of this law or CEC rules has occurred</w:t>
      </w:r>
      <w:r w:rsidRPr="00012C17">
        <w:rPr>
          <w:color w:val="000000"/>
          <w:sz w:val="24"/>
        </w:rPr>
        <w:t>:</w:t>
      </w:r>
    </w:p>
    <w:p w:rsidR="00AA32B9" w:rsidRPr="00012C17" w:rsidRDefault="00AA32B9" w:rsidP="001B11C5">
      <w:pPr>
        <w:spacing w:line="240" w:lineRule="auto"/>
        <w:ind w:left="720"/>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b) </w:t>
      </w:r>
      <w:r w:rsidR="003B379B" w:rsidRPr="00012C17">
        <w:rPr>
          <w:rFonts w:ascii="Georgia" w:hAnsi="Georgia"/>
          <w:color w:val="000000"/>
          <w:sz w:val="24"/>
          <w:szCs w:val="24"/>
          <w:lang w:val="en-US"/>
        </w:rPr>
        <w:t>prior to certification of the election results and, in the sole discretion of ECAP,</w:t>
      </w:r>
      <w:r w:rsidR="006E52F9" w:rsidRPr="00012C17">
        <w:rPr>
          <w:rFonts w:ascii="Georgia" w:hAnsi="Georgia"/>
          <w:color w:val="000000"/>
          <w:sz w:val="24"/>
          <w:szCs w:val="24"/>
          <w:lang w:val="en-US"/>
        </w:rPr>
        <w:t xml:space="preserve"> </w:t>
      </w:r>
      <w:r w:rsidR="003B379B" w:rsidRPr="00012C17">
        <w:rPr>
          <w:rFonts w:ascii="Georgia" w:hAnsi="Georgia"/>
          <w:color w:val="000000"/>
          <w:sz w:val="24"/>
          <w:szCs w:val="24"/>
          <w:lang w:val="en-US"/>
        </w:rPr>
        <w:t xml:space="preserve">under exceptional circumstances to nullify the results of a specific polling station or polling center, and to order the CEC to repeat the voting in a </w:t>
      </w:r>
      <w:r w:rsidR="003B379B" w:rsidRPr="00012C17">
        <w:rPr>
          <w:rFonts w:ascii="Georgia" w:hAnsi="Georgia"/>
          <w:color w:val="000000"/>
          <w:sz w:val="24"/>
          <w:szCs w:val="24"/>
          <w:lang w:val="en-US"/>
        </w:rPr>
        <w:lastRenderedPageBreak/>
        <w:t>polling centre or polling station; if it considers that the final election results could be affected</w:t>
      </w:r>
      <w:r w:rsidR="00460F9F" w:rsidRPr="00012C17">
        <w:rPr>
          <w:rFonts w:ascii="Georgia" w:hAnsi="Georgia"/>
          <w:color w:val="000000"/>
          <w:sz w:val="24"/>
          <w:szCs w:val="24"/>
          <w:lang w:val="en-US"/>
        </w:rPr>
        <w:t xml:space="preserve"> </w:t>
      </w:r>
      <w:r w:rsidRPr="00012C17">
        <w:rPr>
          <w:rFonts w:ascii="Georgia" w:hAnsi="Georgia"/>
          <w:color w:val="000000"/>
          <w:sz w:val="24"/>
          <w:szCs w:val="24"/>
          <w:lang w:val="en-US"/>
        </w:rPr>
        <w:t>(</w:t>
      </w:r>
      <w:r w:rsidR="003B379B" w:rsidRPr="00012C17">
        <w:rPr>
          <w:rFonts w:ascii="Georgia" w:hAnsi="Georgia"/>
          <w:color w:val="000000"/>
          <w:sz w:val="24"/>
          <w:szCs w:val="24"/>
          <w:lang w:val="en-US"/>
        </w:rPr>
        <w:t>As amended by Law No.03/L-</w:t>
      </w:r>
      <w:r w:rsidR="006C4DED" w:rsidRPr="00012C17">
        <w:rPr>
          <w:rFonts w:ascii="Georgia" w:hAnsi="Georgia"/>
          <w:color w:val="000000"/>
          <w:sz w:val="24"/>
          <w:szCs w:val="24"/>
          <w:lang w:val="en-US"/>
        </w:rPr>
        <w:t>256</w:t>
      </w:r>
      <w:r w:rsidR="003B379B" w:rsidRPr="00012C17">
        <w:rPr>
          <w:rFonts w:ascii="Georgia" w:hAnsi="Georgia"/>
          <w:color w:val="000000"/>
          <w:sz w:val="24"/>
          <w:szCs w:val="24"/>
          <w:lang w:val="en-US"/>
        </w:rPr>
        <w:t xml:space="preserve">, Article </w:t>
      </w:r>
      <w:r w:rsidR="00752325" w:rsidRPr="00012C17">
        <w:rPr>
          <w:rFonts w:ascii="Georgia" w:hAnsi="Georgia"/>
          <w:color w:val="000000"/>
          <w:sz w:val="24"/>
          <w:szCs w:val="24"/>
          <w:lang w:val="en-US"/>
        </w:rPr>
        <w:t>14</w:t>
      </w:r>
      <w:r w:rsidR="006C4DED" w:rsidRPr="00012C17">
        <w:rPr>
          <w:rFonts w:ascii="Georgia" w:hAnsi="Georgia"/>
          <w:color w:val="000000"/>
          <w:sz w:val="24"/>
          <w:szCs w:val="24"/>
          <w:lang w:val="en-US"/>
        </w:rPr>
        <w:t>)</w:t>
      </w:r>
      <w:r w:rsidR="00752325" w:rsidRPr="00012C17">
        <w:rPr>
          <w:color w:val="000000"/>
          <w:sz w:val="24"/>
          <w:lang w:val="en-US"/>
        </w:rPr>
        <w:t>.</w:t>
      </w:r>
    </w:p>
    <w:p w:rsidR="00AA32B9" w:rsidRPr="00012C17" w:rsidRDefault="00AA32B9" w:rsidP="001B11C5">
      <w:pPr>
        <w:spacing w:line="240" w:lineRule="auto"/>
        <w:ind w:left="720"/>
        <w:rPr>
          <w:color w:val="000000"/>
          <w:sz w:val="24"/>
        </w:rPr>
      </w:pPr>
    </w:p>
    <w:p w:rsidR="00AA32B9" w:rsidRPr="00012C17" w:rsidRDefault="003B379B" w:rsidP="001B11C5">
      <w:pPr>
        <w:tabs>
          <w:tab w:val="left" w:pos="4230"/>
        </w:tabs>
        <w:spacing w:line="240" w:lineRule="auto"/>
        <w:jc w:val="center"/>
        <w:rPr>
          <w:color w:val="000000"/>
          <w:sz w:val="24"/>
        </w:rPr>
      </w:pPr>
      <w:r w:rsidRPr="00012C17">
        <w:rPr>
          <w:color w:val="000000"/>
          <w:sz w:val="24"/>
        </w:rPr>
        <w:t>Article</w:t>
      </w:r>
      <w:r w:rsidR="00AA32B9" w:rsidRPr="00012C17">
        <w:rPr>
          <w:color w:val="000000"/>
          <w:sz w:val="24"/>
        </w:rPr>
        <w:t xml:space="preserve"> 122</w:t>
      </w:r>
    </w:p>
    <w:p w:rsidR="00AA32B9" w:rsidRPr="00012C17" w:rsidRDefault="00FB08EC" w:rsidP="001B11C5">
      <w:pPr>
        <w:tabs>
          <w:tab w:val="left" w:pos="4230"/>
        </w:tabs>
        <w:spacing w:line="240" w:lineRule="auto"/>
        <w:jc w:val="center"/>
        <w:rPr>
          <w:color w:val="000000"/>
          <w:sz w:val="24"/>
        </w:rPr>
      </w:pPr>
      <w:r w:rsidRPr="00012C17">
        <w:rPr>
          <w:color w:val="000000"/>
          <w:sz w:val="24"/>
        </w:rPr>
        <w:t>[</w:t>
      </w:r>
      <w:r w:rsidR="003B379B" w:rsidRPr="00012C17">
        <w:rPr>
          <w:color w:val="000000"/>
          <w:sz w:val="24"/>
        </w:rPr>
        <w:t>Electoral Appeals</w:t>
      </w:r>
      <w:r w:rsidRPr="00012C17">
        <w:rPr>
          <w:color w:val="000000"/>
          <w:sz w:val="24"/>
        </w:rPr>
        <w:t>]</w:t>
      </w:r>
    </w:p>
    <w:p w:rsidR="00AA32B9" w:rsidRPr="00012C17" w:rsidRDefault="00AA32B9" w:rsidP="001B11C5">
      <w:pPr>
        <w:spacing w:line="240" w:lineRule="auto"/>
        <w:jc w:val="center"/>
        <w:rPr>
          <w:color w:val="000000"/>
          <w:sz w:val="24"/>
        </w:rPr>
      </w:pPr>
    </w:p>
    <w:p w:rsidR="00AA32B9" w:rsidRPr="00012C17" w:rsidRDefault="00AA32B9"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122.1 </w:t>
      </w:r>
      <w:r w:rsidR="003B379B" w:rsidRPr="00012C17">
        <w:rPr>
          <w:rFonts w:ascii="Georgia" w:hAnsi="Georgia"/>
          <w:color w:val="000000"/>
          <w:sz w:val="24"/>
          <w:szCs w:val="24"/>
          <w:lang w:val="en-US"/>
        </w:rPr>
        <w:t>1 A natural or legal person whose legal rights have been affected by any of the following decisions of the CEC may appeal that decision to the ECAP within twenty four (24) hours after the decision being appealed is announced by CEC and the appeal must be decided by ECAP within seventy two (72) hours after the appeal is made</w:t>
      </w:r>
      <w:r w:rsidR="003B379B" w:rsidRPr="00012C17">
        <w:rPr>
          <w:rFonts w:ascii="Georgia" w:hAnsi="Georgia"/>
          <w:color w:val="000000"/>
          <w:sz w:val="24"/>
          <w:lang w:val="en-US"/>
        </w:rPr>
        <w:t>.</w:t>
      </w:r>
      <w:r w:rsidR="004261D1" w:rsidRPr="00012C17">
        <w:rPr>
          <w:rFonts w:ascii="Georgia" w:hAnsi="Georgia"/>
          <w:color w:val="000000"/>
          <w:sz w:val="24"/>
          <w:lang w:val="en-US"/>
        </w:rPr>
        <w:t xml:space="preserve"> </w:t>
      </w:r>
      <w:r w:rsidRPr="00012C17">
        <w:rPr>
          <w:rFonts w:ascii="Georgia" w:hAnsi="Georgia"/>
          <w:color w:val="000000"/>
          <w:sz w:val="24"/>
          <w:lang w:val="en-US"/>
        </w:rPr>
        <w:t>(</w:t>
      </w:r>
      <w:r w:rsidR="004261D1" w:rsidRPr="00012C17">
        <w:rPr>
          <w:rFonts w:ascii="Georgia" w:hAnsi="Georgia"/>
          <w:color w:val="000000"/>
          <w:sz w:val="24"/>
          <w:szCs w:val="24"/>
          <w:lang w:val="en-US"/>
        </w:rPr>
        <w:t>As amended by Law No.03/L-</w:t>
      </w:r>
      <w:r w:rsidR="006C4DED" w:rsidRPr="00012C17">
        <w:rPr>
          <w:rFonts w:ascii="Georgia" w:hAnsi="Georgia"/>
          <w:color w:val="000000"/>
          <w:sz w:val="24"/>
          <w:szCs w:val="24"/>
          <w:lang w:val="en-US"/>
        </w:rPr>
        <w:t>256</w:t>
      </w:r>
      <w:r w:rsidR="004261D1" w:rsidRPr="00012C17">
        <w:rPr>
          <w:rFonts w:ascii="Georgia" w:hAnsi="Georgia"/>
          <w:color w:val="000000"/>
          <w:sz w:val="24"/>
          <w:szCs w:val="24"/>
          <w:lang w:val="en-US"/>
        </w:rPr>
        <w:t xml:space="preserve">, Article </w:t>
      </w:r>
      <w:r w:rsidRPr="00012C17">
        <w:rPr>
          <w:rFonts w:ascii="Georgia" w:hAnsi="Georgia"/>
          <w:color w:val="000000"/>
          <w:sz w:val="24"/>
          <w:lang w:val="en-US"/>
        </w:rPr>
        <w:t>15).</w:t>
      </w:r>
    </w:p>
    <w:p w:rsidR="00AA32B9" w:rsidRPr="00012C17" w:rsidRDefault="00AA32B9" w:rsidP="001B11C5">
      <w:pPr>
        <w:spacing w:line="240" w:lineRule="auto"/>
        <w:ind w:left="720"/>
        <w:rPr>
          <w:color w:val="000000"/>
          <w:sz w:val="24"/>
        </w:rPr>
      </w:pPr>
    </w:p>
    <w:p w:rsidR="004261D1" w:rsidRPr="00012C17" w:rsidRDefault="00AA32B9" w:rsidP="001B11C5">
      <w:pPr>
        <w:tabs>
          <w:tab w:val="left" w:pos="1440"/>
        </w:tabs>
        <w:spacing w:line="240" w:lineRule="auto"/>
        <w:ind w:left="1260"/>
        <w:rPr>
          <w:color w:val="000000"/>
          <w:sz w:val="24"/>
        </w:rPr>
      </w:pPr>
      <w:r w:rsidRPr="00012C17">
        <w:rPr>
          <w:color w:val="000000"/>
          <w:sz w:val="24"/>
        </w:rPr>
        <w:t xml:space="preserve">a) </w:t>
      </w:r>
      <w:r w:rsidR="004261D1" w:rsidRPr="00012C17">
        <w:rPr>
          <w:color w:val="000000"/>
          <w:sz w:val="24"/>
        </w:rPr>
        <w:t xml:space="preserve">the inclusion or exclusion of a person from participation in an out-of-Kosovo voting programme; </w:t>
      </w:r>
    </w:p>
    <w:p w:rsidR="004261D1" w:rsidRPr="00012C17" w:rsidRDefault="004261D1" w:rsidP="001B11C5">
      <w:pPr>
        <w:tabs>
          <w:tab w:val="left" w:pos="1440"/>
        </w:tabs>
        <w:spacing w:line="240" w:lineRule="auto"/>
        <w:ind w:left="1260"/>
        <w:rPr>
          <w:color w:val="000000"/>
          <w:sz w:val="24"/>
        </w:rPr>
      </w:pPr>
      <w:r w:rsidRPr="00012C17">
        <w:rPr>
          <w:color w:val="000000"/>
          <w:sz w:val="24"/>
        </w:rPr>
        <w:t xml:space="preserve">b) the certification or refusal to certify a Political Entity or candidate to participate in an election; </w:t>
      </w:r>
    </w:p>
    <w:p w:rsidR="004261D1" w:rsidRPr="00012C17" w:rsidRDefault="004261D1" w:rsidP="001B11C5">
      <w:pPr>
        <w:tabs>
          <w:tab w:val="left" w:pos="1440"/>
        </w:tabs>
        <w:spacing w:line="240" w:lineRule="auto"/>
        <w:ind w:left="1260"/>
        <w:rPr>
          <w:color w:val="000000"/>
          <w:sz w:val="24"/>
        </w:rPr>
      </w:pPr>
      <w:r w:rsidRPr="00012C17">
        <w:rPr>
          <w:color w:val="000000"/>
          <w:sz w:val="24"/>
        </w:rPr>
        <w:t xml:space="preserve">c) a candidate who after certification does not want to participate in an election; d) the accreditation or refusal to accredit an electoral observer; </w:t>
      </w:r>
    </w:p>
    <w:p w:rsidR="004261D1" w:rsidRPr="00012C17" w:rsidRDefault="004261D1" w:rsidP="001B11C5">
      <w:pPr>
        <w:tabs>
          <w:tab w:val="left" w:pos="1440"/>
        </w:tabs>
        <w:spacing w:line="240" w:lineRule="auto"/>
        <w:ind w:left="1260"/>
        <w:rPr>
          <w:color w:val="000000"/>
          <w:sz w:val="24"/>
        </w:rPr>
      </w:pPr>
      <w:r w:rsidRPr="00012C17">
        <w:rPr>
          <w:color w:val="000000"/>
          <w:sz w:val="24"/>
        </w:rPr>
        <w:t>e) the imposition or an administrative fee on a Political Entity under article 42 of this law; and</w:t>
      </w:r>
    </w:p>
    <w:p w:rsidR="00AA32B9" w:rsidRPr="00012C17" w:rsidRDefault="004261D1" w:rsidP="001B11C5">
      <w:pPr>
        <w:tabs>
          <w:tab w:val="left" w:pos="1440"/>
        </w:tabs>
        <w:spacing w:line="240" w:lineRule="auto"/>
        <w:ind w:left="1260"/>
        <w:rPr>
          <w:color w:val="000000"/>
          <w:sz w:val="24"/>
        </w:rPr>
      </w:pPr>
      <w:r w:rsidRPr="00012C17">
        <w:rPr>
          <w:color w:val="000000"/>
          <w:sz w:val="24"/>
        </w:rPr>
        <w:t xml:space="preserve"> f) the refusal to register a Political Party within the Office</w:t>
      </w:r>
      <w:r w:rsidR="00AA32B9" w:rsidRPr="00012C17">
        <w:rPr>
          <w:color w:val="000000"/>
          <w:sz w:val="24"/>
        </w:rPr>
        <w:t>.</w:t>
      </w:r>
    </w:p>
    <w:p w:rsidR="00AA32B9" w:rsidRPr="00012C17" w:rsidRDefault="00AA32B9" w:rsidP="001B11C5">
      <w:pPr>
        <w:tabs>
          <w:tab w:val="left" w:pos="1440"/>
        </w:tabs>
        <w:spacing w:line="240" w:lineRule="auto"/>
        <w:ind w:left="1260"/>
        <w:rPr>
          <w:color w:val="000000"/>
          <w:sz w:val="24"/>
        </w:rPr>
      </w:pPr>
    </w:p>
    <w:p w:rsidR="00AA32B9" w:rsidRPr="00012C17" w:rsidRDefault="00AA32B9" w:rsidP="001B11C5">
      <w:pPr>
        <w:spacing w:line="240" w:lineRule="auto"/>
        <w:ind w:left="720"/>
        <w:rPr>
          <w:color w:val="000000"/>
          <w:sz w:val="24"/>
        </w:rPr>
      </w:pPr>
      <w:r w:rsidRPr="00012C17">
        <w:rPr>
          <w:color w:val="000000"/>
          <w:sz w:val="24"/>
        </w:rPr>
        <w:t xml:space="preserve">122.2 </w:t>
      </w:r>
      <w:r w:rsidR="004261D1" w:rsidRPr="00012C17">
        <w:rPr>
          <w:color w:val="000000"/>
          <w:sz w:val="24"/>
        </w:rPr>
        <w:t>The ECAC shall uphold an appeal from a decision of the CEC if it determines that the CEC decision was unreasonable having regard to all the circumstances</w:t>
      </w:r>
      <w:r w:rsidRPr="00012C17">
        <w:rPr>
          <w:color w:val="000000"/>
          <w:sz w:val="24"/>
        </w:rPr>
        <w:t>.</w:t>
      </w:r>
    </w:p>
    <w:p w:rsidR="00AA32B9" w:rsidRPr="00012C17" w:rsidRDefault="00AA32B9" w:rsidP="001B11C5">
      <w:pPr>
        <w:spacing w:line="240" w:lineRule="auto"/>
        <w:ind w:left="720"/>
        <w:rPr>
          <w:color w:val="000000"/>
          <w:sz w:val="24"/>
        </w:rPr>
      </w:pPr>
    </w:p>
    <w:p w:rsidR="00AA32B9" w:rsidRPr="00012C17" w:rsidRDefault="00AA32B9" w:rsidP="001B11C5">
      <w:pPr>
        <w:spacing w:line="240" w:lineRule="auto"/>
        <w:ind w:left="720"/>
        <w:rPr>
          <w:color w:val="000000"/>
          <w:sz w:val="24"/>
        </w:rPr>
      </w:pPr>
      <w:r w:rsidRPr="00012C17">
        <w:rPr>
          <w:color w:val="000000"/>
          <w:sz w:val="24"/>
        </w:rPr>
        <w:t xml:space="preserve">122.3 </w:t>
      </w:r>
      <w:r w:rsidR="004261D1" w:rsidRPr="00012C17">
        <w:rPr>
          <w:color w:val="000000"/>
          <w:sz w:val="24"/>
        </w:rPr>
        <w:t>The ECAC may, if it upholds an appeal from a decision of the CEC</w:t>
      </w: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 xml:space="preserve">a) </w:t>
      </w:r>
      <w:r w:rsidR="004261D1" w:rsidRPr="00012C17">
        <w:rPr>
          <w:color w:val="000000"/>
          <w:sz w:val="24"/>
        </w:rPr>
        <w:t>direct the CEC to reconsider its decision; and</w:t>
      </w:r>
    </w:p>
    <w:p w:rsidR="00AA32B9" w:rsidRPr="00012C17" w:rsidRDefault="00AA32B9" w:rsidP="001B11C5">
      <w:pPr>
        <w:spacing w:line="240" w:lineRule="auto"/>
        <w:ind w:left="720"/>
        <w:rPr>
          <w:color w:val="000000"/>
          <w:sz w:val="24"/>
        </w:rPr>
      </w:pPr>
      <w:r w:rsidRPr="00012C17">
        <w:rPr>
          <w:color w:val="000000"/>
          <w:sz w:val="24"/>
        </w:rPr>
        <w:t xml:space="preserve">b) </w:t>
      </w:r>
      <w:r w:rsidR="004261D1" w:rsidRPr="00012C17">
        <w:rPr>
          <w:color w:val="000000"/>
          <w:sz w:val="24"/>
        </w:rPr>
        <w:t>direct the CEC to take remedial action</w:t>
      </w:r>
      <w:r w:rsidRPr="00012C17">
        <w:rPr>
          <w:color w:val="000000"/>
          <w:sz w:val="24"/>
        </w:rPr>
        <w:t>.</w:t>
      </w:r>
    </w:p>
    <w:p w:rsidR="00AA32B9" w:rsidRPr="00012C17" w:rsidRDefault="00AA32B9" w:rsidP="001B11C5">
      <w:pPr>
        <w:spacing w:line="240" w:lineRule="auto"/>
        <w:rPr>
          <w:color w:val="000000"/>
          <w:sz w:val="24"/>
        </w:rPr>
      </w:pPr>
    </w:p>
    <w:p w:rsidR="00AA32B9" w:rsidRPr="00012C17" w:rsidRDefault="00AA32B9" w:rsidP="001B11C5">
      <w:pPr>
        <w:spacing w:line="240" w:lineRule="auto"/>
        <w:ind w:left="720"/>
        <w:rPr>
          <w:color w:val="000000"/>
          <w:sz w:val="24"/>
        </w:rPr>
      </w:pPr>
    </w:p>
    <w:p w:rsidR="00AA32B9" w:rsidRPr="00012C17" w:rsidRDefault="004261D1" w:rsidP="001B11C5">
      <w:pPr>
        <w:spacing w:line="240" w:lineRule="auto"/>
        <w:ind w:left="720"/>
        <w:rPr>
          <w:b/>
          <w:color w:val="000000"/>
          <w:sz w:val="24"/>
        </w:rPr>
      </w:pPr>
      <w:r w:rsidRPr="00012C17">
        <w:rPr>
          <w:b/>
          <w:color w:val="000000"/>
          <w:sz w:val="24"/>
        </w:rPr>
        <w:t>RULES AND PROCEDURES No. 02/2015 of ECAP, of 4 December 2015</w:t>
      </w:r>
    </w:p>
    <w:p w:rsidR="001777F9" w:rsidRPr="00012C17" w:rsidRDefault="001777F9" w:rsidP="001B11C5">
      <w:pPr>
        <w:spacing w:line="240" w:lineRule="auto"/>
        <w:ind w:left="720"/>
        <w:jc w:val="center"/>
        <w:rPr>
          <w:color w:val="000000"/>
          <w:sz w:val="24"/>
        </w:rPr>
      </w:pPr>
    </w:p>
    <w:p w:rsidR="00AA32B9" w:rsidRPr="00012C17" w:rsidRDefault="002E3AEC" w:rsidP="001B11C5">
      <w:pPr>
        <w:spacing w:line="240" w:lineRule="auto"/>
        <w:ind w:left="720"/>
        <w:jc w:val="center"/>
        <w:rPr>
          <w:color w:val="000000"/>
          <w:sz w:val="24"/>
        </w:rPr>
      </w:pPr>
      <w:r w:rsidRPr="00012C17">
        <w:rPr>
          <w:color w:val="000000"/>
          <w:sz w:val="24"/>
        </w:rPr>
        <w:t>Article</w:t>
      </w:r>
      <w:r w:rsidR="00AA32B9" w:rsidRPr="00012C17">
        <w:rPr>
          <w:color w:val="000000"/>
          <w:sz w:val="24"/>
        </w:rPr>
        <w:t xml:space="preserve"> 2</w:t>
      </w:r>
    </w:p>
    <w:p w:rsidR="00AA32B9" w:rsidRPr="00012C17" w:rsidRDefault="00FB08EC" w:rsidP="001B11C5">
      <w:pPr>
        <w:spacing w:line="240" w:lineRule="auto"/>
        <w:ind w:left="720"/>
        <w:jc w:val="center"/>
        <w:rPr>
          <w:color w:val="000000"/>
          <w:sz w:val="24"/>
        </w:rPr>
      </w:pPr>
      <w:r w:rsidRPr="00012C17">
        <w:rPr>
          <w:color w:val="000000"/>
          <w:sz w:val="24"/>
        </w:rPr>
        <w:t>[</w:t>
      </w:r>
      <w:r w:rsidR="002E3AEC" w:rsidRPr="00012C17">
        <w:rPr>
          <w:color w:val="000000"/>
          <w:sz w:val="24"/>
        </w:rPr>
        <w:t>Definitions</w:t>
      </w:r>
      <w:r w:rsidRPr="00012C17">
        <w:rPr>
          <w:color w:val="000000"/>
          <w:sz w:val="24"/>
        </w:rPr>
        <w:t>]</w:t>
      </w:r>
    </w:p>
    <w:p w:rsidR="00AA32B9" w:rsidRPr="00012C17" w:rsidRDefault="00AA32B9" w:rsidP="001B11C5">
      <w:pPr>
        <w:spacing w:line="240" w:lineRule="auto"/>
        <w:ind w:left="720"/>
        <w:jc w:val="center"/>
        <w:rPr>
          <w:color w:val="000000"/>
          <w:sz w:val="24"/>
        </w:rPr>
      </w:pPr>
    </w:p>
    <w:p w:rsidR="00AA32B9" w:rsidRPr="00012C17" w:rsidRDefault="002E3AEC" w:rsidP="001B11C5">
      <w:pPr>
        <w:spacing w:line="240" w:lineRule="auto"/>
        <w:ind w:left="720"/>
        <w:jc w:val="left"/>
        <w:rPr>
          <w:color w:val="000000"/>
          <w:sz w:val="24"/>
        </w:rPr>
      </w:pPr>
      <w:r w:rsidRPr="00012C17">
        <w:rPr>
          <w:color w:val="000000"/>
          <w:sz w:val="24"/>
        </w:rPr>
        <w:t>The terms used in this rule have this meaning</w:t>
      </w:r>
      <w:r w:rsidR="00AA32B9" w:rsidRPr="00012C17">
        <w:rPr>
          <w:color w:val="000000"/>
          <w:sz w:val="24"/>
        </w:rPr>
        <w:t>:</w:t>
      </w:r>
    </w:p>
    <w:p w:rsidR="00AA32B9" w:rsidRPr="00012C17" w:rsidRDefault="00AA32B9" w:rsidP="001B11C5">
      <w:pPr>
        <w:spacing w:line="240" w:lineRule="auto"/>
        <w:ind w:left="720"/>
        <w:jc w:val="left"/>
        <w:rPr>
          <w:color w:val="000000"/>
          <w:sz w:val="24"/>
        </w:rPr>
      </w:pP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2.1 “</w:t>
      </w:r>
      <w:r w:rsidR="002E3AEC" w:rsidRPr="00012C17">
        <w:rPr>
          <w:color w:val="000000"/>
          <w:sz w:val="24"/>
        </w:rPr>
        <w:t>Complaint</w:t>
      </w:r>
      <w:r w:rsidRPr="00012C17">
        <w:rPr>
          <w:color w:val="000000"/>
          <w:sz w:val="24"/>
        </w:rPr>
        <w:t>” –</w:t>
      </w:r>
      <w:r w:rsidR="002E3AEC" w:rsidRPr="00012C17">
        <w:rPr>
          <w:color w:val="000000"/>
          <w:sz w:val="24"/>
        </w:rPr>
        <w:t xml:space="preserve"> means a regular legal remedy submitted in writing by a person who has a legal interest or whose rights have been violated during the election process</w:t>
      </w: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2.2</w:t>
      </w:r>
      <w:r w:rsidR="006E52F9" w:rsidRPr="00012C17">
        <w:rPr>
          <w:color w:val="000000"/>
          <w:sz w:val="24"/>
        </w:rPr>
        <w:t xml:space="preserve"> </w:t>
      </w:r>
      <w:r w:rsidRPr="00012C17">
        <w:rPr>
          <w:color w:val="000000"/>
          <w:sz w:val="24"/>
        </w:rPr>
        <w:t>“Ap</w:t>
      </w:r>
      <w:r w:rsidR="00AF5EF3" w:rsidRPr="00012C17">
        <w:rPr>
          <w:color w:val="000000"/>
          <w:sz w:val="24"/>
        </w:rPr>
        <w:t>p</w:t>
      </w:r>
      <w:r w:rsidRPr="00012C17">
        <w:rPr>
          <w:color w:val="000000"/>
          <w:sz w:val="24"/>
        </w:rPr>
        <w:t>e</w:t>
      </w:r>
      <w:r w:rsidR="002E3AEC" w:rsidRPr="00012C17">
        <w:rPr>
          <w:color w:val="000000"/>
          <w:sz w:val="24"/>
        </w:rPr>
        <w:t>a</w:t>
      </w:r>
      <w:r w:rsidRPr="00012C17">
        <w:rPr>
          <w:color w:val="000000"/>
          <w:sz w:val="24"/>
        </w:rPr>
        <w:t xml:space="preserve">l” </w:t>
      </w:r>
      <w:r w:rsidR="002E3AEC" w:rsidRPr="00012C17">
        <w:rPr>
          <w:color w:val="000000"/>
          <w:sz w:val="24"/>
        </w:rPr>
        <w:t>means a regular legal remedy against first instance decisions</w:t>
      </w:r>
      <w:r w:rsidRPr="00012C17">
        <w:rPr>
          <w:color w:val="000000"/>
          <w:sz w:val="24"/>
        </w:rPr>
        <w:t>.</w:t>
      </w:r>
    </w:p>
    <w:p w:rsidR="00D72BE7" w:rsidRPr="00012C17" w:rsidRDefault="00D72BE7" w:rsidP="001B11C5">
      <w:pPr>
        <w:spacing w:line="240" w:lineRule="auto"/>
        <w:ind w:left="720"/>
        <w:rPr>
          <w:color w:val="000000"/>
          <w:sz w:val="24"/>
        </w:rPr>
      </w:pPr>
    </w:p>
    <w:p w:rsidR="00AA32B9" w:rsidRPr="00012C17" w:rsidRDefault="00AA32B9" w:rsidP="001B11C5">
      <w:pPr>
        <w:spacing w:line="240" w:lineRule="auto"/>
        <w:ind w:left="720"/>
        <w:rPr>
          <w:color w:val="000000"/>
          <w:sz w:val="24"/>
        </w:rPr>
      </w:pPr>
      <w:r w:rsidRPr="00012C17">
        <w:rPr>
          <w:color w:val="000000"/>
          <w:sz w:val="24"/>
        </w:rPr>
        <w:t>[...]</w:t>
      </w:r>
    </w:p>
    <w:p w:rsidR="00FE2E2D" w:rsidRPr="00012C17" w:rsidRDefault="001F685F" w:rsidP="001B11C5">
      <w:pPr>
        <w:spacing w:line="240" w:lineRule="auto"/>
        <w:ind w:left="720"/>
        <w:jc w:val="center"/>
        <w:rPr>
          <w:color w:val="000000"/>
          <w:sz w:val="24"/>
        </w:rPr>
      </w:pPr>
      <w:r w:rsidRPr="00012C17">
        <w:rPr>
          <w:color w:val="000000"/>
          <w:sz w:val="24"/>
        </w:rPr>
        <w:t>COMPLAINTS</w:t>
      </w:r>
    </w:p>
    <w:p w:rsidR="00AA32B9" w:rsidRPr="00012C17" w:rsidRDefault="002E3AEC" w:rsidP="001B11C5">
      <w:pPr>
        <w:spacing w:line="240" w:lineRule="auto"/>
        <w:ind w:left="720"/>
        <w:jc w:val="center"/>
        <w:rPr>
          <w:color w:val="000000"/>
          <w:sz w:val="24"/>
        </w:rPr>
      </w:pPr>
      <w:r w:rsidRPr="00012C17">
        <w:rPr>
          <w:color w:val="000000"/>
          <w:sz w:val="24"/>
        </w:rPr>
        <w:t>Article</w:t>
      </w:r>
      <w:r w:rsidR="00FB08EC" w:rsidRPr="00012C17">
        <w:rPr>
          <w:color w:val="000000"/>
          <w:sz w:val="24"/>
        </w:rPr>
        <w:t xml:space="preserve"> 5</w:t>
      </w:r>
    </w:p>
    <w:p w:rsidR="00AA32B9" w:rsidRPr="00012C17" w:rsidRDefault="00FB08EC" w:rsidP="001B11C5">
      <w:pPr>
        <w:spacing w:line="240" w:lineRule="auto"/>
        <w:ind w:left="720"/>
        <w:jc w:val="center"/>
        <w:rPr>
          <w:color w:val="000000"/>
          <w:sz w:val="24"/>
        </w:rPr>
      </w:pPr>
      <w:r w:rsidRPr="00012C17">
        <w:rPr>
          <w:color w:val="000000"/>
          <w:sz w:val="24"/>
        </w:rPr>
        <w:t>[</w:t>
      </w:r>
      <w:r w:rsidR="00FE2E2D" w:rsidRPr="00012C17">
        <w:rPr>
          <w:color w:val="000000"/>
          <w:sz w:val="24"/>
        </w:rPr>
        <w:t>Conditions for F</w:t>
      </w:r>
      <w:r w:rsidR="00F8171D" w:rsidRPr="00012C17">
        <w:rPr>
          <w:color w:val="000000"/>
          <w:sz w:val="24"/>
        </w:rPr>
        <w:t>iling C</w:t>
      </w:r>
      <w:r w:rsidR="00FE2E2D" w:rsidRPr="00012C17">
        <w:rPr>
          <w:color w:val="000000"/>
          <w:sz w:val="24"/>
        </w:rPr>
        <w:t>omplaints</w:t>
      </w:r>
      <w:r w:rsidRPr="00012C17">
        <w:rPr>
          <w:color w:val="000000"/>
          <w:sz w:val="24"/>
        </w:rPr>
        <w:t>]</w:t>
      </w:r>
    </w:p>
    <w:p w:rsidR="00FB08EC" w:rsidRPr="00012C17" w:rsidRDefault="00FB08EC" w:rsidP="001B11C5">
      <w:pPr>
        <w:spacing w:line="240" w:lineRule="auto"/>
        <w:ind w:firstLine="630"/>
        <w:rPr>
          <w:color w:val="000000"/>
          <w:sz w:val="24"/>
        </w:rPr>
      </w:pPr>
    </w:p>
    <w:p w:rsidR="00AA32B9" w:rsidRPr="00012C17" w:rsidRDefault="00AA32B9" w:rsidP="001B11C5">
      <w:pPr>
        <w:spacing w:line="240" w:lineRule="auto"/>
        <w:ind w:firstLine="630"/>
        <w:rPr>
          <w:color w:val="000000"/>
          <w:sz w:val="24"/>
        </w:rPr>
      </w:pP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lastRenderedPageBreak/>
        <w:t xml:space="preserve">5.3 </w:t>
      </w:r>
      <w:r w:rsidRPr="00012C17">
        <w:rPr>
          <w:color w:val="000000"/>
          <w:sz w:val="24"/>
        </w:rPr>
        <w:tab/>
      </w:r>
      <w:r w:rsidR="002E3AEC" w:rsidRPr="00012C17">
        <w:rPr>
          <w:color w:val="000000"/>
          <w:sz w:val="24"/>
        </w:rPr>
        <w:t>Complaints regarding the electoral process for the polling day are submitted to the ECAP within twenty-four (24) hours from the moment of the closure of the voting center (Article 11</w:t>
      </w:r>
      <w:r w:rsidR="00FE2E2D" w:rsidRPr="00012C17">
        <w:rPr>
          <w:color w:val="000000"/>
          <w:sz w:val="24"/>
        </w:rPr>
        <w:t>9</w:t>
      </w:r>
      <w:r w:rsidR="002E3AEC" w:rsidRPr="00012C17">
        <w:rPr>
          <w:color w:val="000000"/>
          <w:sz w:val="24"/>
        </w:rPr>
        <w:t>.1 of LGE</w:t>
      </w: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5.4</w:t>
      </w:r>
      <w:r w:rsidRPr="00012C17">
        <w:rPr>
          <w:color w:val="000000"/>
          <w:sz w:val="24"/>
        </w:rPr>
        <w:tab/>
      </w:r>
      <w:r w:rsidR="002E3AEC" w:rsidRPr="00012C17">
        <w:rPr>
          <w:color w:val="000000"/>
          <w:sz w:val="24"/>
        </w:rPr>
        <w:t xml:space="preserve">Complaints concerning the conduct of the count at the C&amp;RC shall be submitted in writing to the ECAP within twenty four (24) hours of the </w:t>
      </w:r>
      <w:r w:rsidR="007E027B" w:rsidRPr="00012C17">
        <w:rPr>
          <w:color w:val="000000"/>
          <w:sz w:val="24"/>
        </w:rPr>
        <w:t>moment</w:t>
      </w:r>
      <w:r w:rsidRPr="00012C17">
        <w:rPr>
          <w:color w:val="000000"/>
          <w:sz w:val="24"/>
        </w:rPr>
        <w:t xml:space="preserve"> </w:t>
      </w:r>
      <w:r w:rsidR="007E027B" w:rsidRPr="00012C17">
        <w:rPr>
          <w:color w:val="000000"/>
          <w:sz w:val="24"/>
        </w:rPr>
        <w:t>of finding out from the complainant</w:t>
      </w:r>
      <w:r w:rsidR="006E52F9" w:rsidRPr="00012C17">
        <w:rPr>
          <w:color w:val="000000"/>
          <w:sz w:val="24"/>
        </w:rPr>
        <w:t xml:space="preserve"> </w:t>
      </w:r>
      <w:r w:rsidR="007E027B" w:rsidRPr="00012C17">
        <w:rPr>
          <w:color w:val="000000"/>
          <w:sz w:val="24"/>
        </w:rPr>
        <w:t>of the alleged violation</w:t>
      </w:r>
      <w:r w:rsidRPr="00012C17">
        <w:rPr>
          <w:color w:val="000000"/>
          <w:sz w:val="24"/>
        </w:rPr>
        <w:t xml:space="preserve">, </w:t>
      </w:r>
      <w:r w:rsidR="007E027B" w:rsidRPr="00012C17">
        <w:rPr>
          <w:color w:val="000000"/>
          <w:sz w:val="24"/>
        </w:rPr>
        <w:t>based on Article</w:t>
      </w:r>
      <w:r w:rsidRPr="00012C17">
        <w:rPr>
          <w:color w:val="000000"/>
          <w:sz w:val="24"/>
        </w:rPr>
        <w:t xml:space="preserve"> 105.1 </w:t>
      </w:r>
      <w:r w:rsidR="007E027B" w:rsidRPr="00012C17">
        <w:rPr>
          <w:color w:val="000000"/>
          <w:sz w:val="24"/>
        </w:rPr>
        <w:t>of LGE</w:t>
      </w: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 xml:space="preserve">5.4 </w:t>
      </w:r>
      <w:r w:rsidRPr="00012C17">
        <w:rPr>
          <w:color w:val="000000"/>
          <w:sz w:val="24"/>
        </w:rPr>
        <w:tab/>
      </w:r>
      <w:r w:rsidR="007E027B" w:rsidRPr="00012C17">
        <w:rPr>
          <w:color w:val="000000"/>
          <w:sz w:val="24"/>
        </w:rPr>
        <w:t>For all issues that are not directly related to voting and re-counting, the complaint must be filed with the ECAP within 24 hours of the alleged violation</w:t>
      </w: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w:t>
      </w:r>
    </w:p>
    <w:p w:rsidR="00AA32B9" w:rsidRPr="00012C17" w:rsidRDefault="00AA32B9" w:rsidP="001B11C5">
      <w:pPr>
        <w:spacing w:line="240" w:lineRule="auto"/>
        <w:ind w:left="720"/>
        <w:rPr>
          <w:color w:val="000000"/>
          <w:sz w:val="24"/>
        </w:rPr>
      </w:pPr>
    </w:p>
    <w:p w:rsidR="00FB08EC" w:rsidRPr="00012C17" w:rsidRDefault="007E027B" w:rsidP="001B11C5">
      <w:pPr>
        <w:spacing w:line="240" w:lineRule="auto"/>
        <w:ind w:left="720"/>
        <w:jc w:val="center"/>
        <w:rPr>
          <w:color w:val="000000"/>
          <w:sz w:val="24"/>
        </w:rPr>
      </w:pPr>
      <w:r w:rsidRPr="00012C17">
        <w:rPr>
          <w:color w:val="000000"/>
          <w:sz w:val="24"/>
        </w:rPr>
        <w:t>APPEALS</w:t>
      </w:r>
    </w:p>
    <w:p w:rsidR="00AA32B9" w:rsidRPr="00012C17" w:rsidRDefault="007E027B" w:rsidP="001B11C5">
      <w:pPr>
        <w:spacing w:line="240" w:lineRule="auto"/>
        <w:ind w:left="720"/>
        <w:jc w:val="center"/>
        <w:rPr>
          <w:color w:val="000000"/>
          <w:sz w:val="24"/>
        </w:rPr>
      </w:pPr>
      <w:r w:rsidRPr="00012C17">
        <w:rPr>
          <w:color w:val="000000"/>
          <w:sz w:val="24"/>
        </w:rPr>
        <w:t>Article</w:t>
      </w:r>
      <w:r w:rsidR="00AA32B9" w:rsidRPr="00012C17">
        <w:rPr>
          <w:color w:val="000000"/>
          <w:sz w:val="24"/>
        </w:rPr>
        <w:t xml:space="preserve"> 10</w:t>
      </w:r>
    </w:p>
    <w:p w:rsidR="00AA32B9" w:rsidRPr="00012C17" w:rsidRDefault="00FB08EC" w:rsidP="001B11C5">
      <w:pPr>
        <w:spacing w:line="240" w:lineRule="auto"/>
        <w:ind w:left="720"/>
        <w:jc w:val="center"/>
        <w:rPr>
          <w:color w:val="000000"/>
          <w:sz w:val="24"/>
        </w:rPr>
      </w:pPr>
      <w:r w:rsidRPr="00012C17">
        <w:rPr>
          <w:color w:val="000000"/>
          <w:sz w:val="24"/>
        </w:rPr>
        <w:t>[</w:t>
      </w:r>
      <w:r w:rsidR="007E027B" w:rsidRPr="00012C17">
        <w:rPr>
          <w:color w:val="000000"/>
          <w:sz w:val="24"/>
        </w:rPr>
        <w:t>Criteria for appeal</w:t>
      </w:r>
      <w:r w:rsidRPr="00012C17">
        <w:rPr>
          <w:color w:val="000000"/>
          <w:sz w:val="24"/>
        </w:rPr>
        <w:t>]</w:t>
      </w:r>
    </w:p>
    <w:p w:rsidR="00AA32B9" w:rsidRPr="00012C17" w:rsidRDefault="00AA32B9" w:rsidP="001B11C5">
      <w:pPr>
        <w:spacing w:line="240" w:lineRule="auto"/>
        <w:ind w:left="720"/>
        <w:jc w:val="left"/>
        <w:rPr>
          <w:color w:val="000000"/>
          <w:sz w:val="24"/>
        </w:rPr>
      </w:pP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 xml:space="preserve">10.5 </w:t>
      </w:r>
      <w:r w:rsidR="007E027B" w:rsidRPr="00012C17">
        <w:rPr>
          <w:color w:val="000000"/>
          <w:sz w:val="24"/>
        </w:rPr>
        <w:t>With respect to the appeal of a CEC decision, the appeal must be filed within five (5) days after notification of the CEC decision. For all other appeals, unless otherwise specified, appeals must be filed within twenty four (24) hours from the receipt of the ECAP decision by the Applicant</w:t>
      </w:r>
      <w:r w:rsidRPr="00012C17">
        <w:rPr>
          <w:color w:val="000000"/>
          <w:sz w:val="24"/>
        </w:rPr>
        <w:t>.</w:t>
      </w:r>
    </w:p>
    <w:p w:rsidR="00AA32B9" w:rsidRPr="00012C17" w:rsidRDefault="00AA32B9" w:rsidP="001B11C5">
      <w:pPr>
        <w:spacing w:line="240" w:lineRule="auto"/>
        <w:ind w:left="720"/>
        <w:rPr>
          <w:color w:val="000000"/>
          <w:sz w:val="24"/>
        </w:rPr>
      </w:pPr>
      <w:r w:rsidRPr="00012C17">
        <w:rPr>
          <w:color w:val="000000"/>
          <w:sz w:val="24"/>
        </w:rPr>
        <w:t>[...]</w:t>
      </w:r>
    </w:p>
    <w:p w:rsidR="00AA32B9" w:rsidRPr="00012C17" w:rsidRDefault="00AA32B9" w:rsidP="001B11C5">
      <w:pPr>
        <w:spacing w:line="240" w:lineRule="auto"/>
        <w:rPr>
          <w:color w:val="000000"/>
          <w:sz w:val="24"/>
        </w:rPr>
      </w:pPr>
    </w:p>
    <w:p w:rsidR="00AA32B9" w:rsidRPr="00012C17" w:rsidRDefault="007E027B" w:rsidP="001B11C5">
      <w:pPr>
        <w:spacing w:line="240" w:lineRule="auto"/>
        <w:ind w:left="720"/>
        <w:jc w:val="center"/>
        <w:rPr>
          <w:color w:val="000000"/>
          <w:sz w:val="24"/>
        </w:rPr>
      </w:pPr>
      <w:r w:rsidRPr="00012C17">
        <w:rPr>
          <w:color w:val="000000"/>
          <w:sz w:val="24"/>
        </w:rPr>
        <w:t xml:space="preserve">Article </w:t>
      </w:r>
      <w:r w:rsidR="00AA32B9" w:rsidRPr="00012C17">
        <w:rPr>
          <w:color w:val="000000"/>
          <w:sz w:val="24"/>
        </w:rPr>
        <w:t>14</w:t>
      </w:r>
    </w:p>
    <w:p w:rsidR="00AA32B9" w:rsidRPr="00012C17" w:rsidRDefault="00FB08EC" w:rsidP="001B11C5">
      <w:pPr>
        <w:spacing w:line="240" w:lineRule="auto"/>
        <w:ind w:left="720"/>
        <w:jc w:val="center"/>
        <w:rPr>
          <w:color w:val="000000"/>
          <w:sz w:val="24"/>
        </w:rPr>
      </w:pPr>
      <w:r w:rsidRPr="00012C17">
        <w:rPr>
          <w:color w:val="000000"/>
          <w:sz w:val="24"/>
        </w:rPr>
        <w:t>[</w:t>
      </w:r>
      <w:r w:rsidR="007E027B" w:rsidRPr="00012C17">
        <w:rPr>
          <w:color w:val="000000"/>
          <w:sz w:val="24"/>
        </w:rPr>
        <w:t>Procedure for Administration of Investigation of Election Material</w:t>
      </w:r>
      <w:r w:rsidRPr="00012C17">
        <w:rPr>
          <w:color w:val="000000"/>
          <w:sz w:val="24"/>
        </w:rPr>
        <w:t>]</w:t>
      </w:r>
    </w:p>
    <w:p w:rsidR="00AA32B9" w:rsidRPr="00012C17" w:rsidRDefault="00AA32B9" w:rsidP="001B11C5">
      <w:pPr>
        <w:spacing w:line="240" w:lineRule="auto"/>
        <w:ind w:left="720"/>
        <w:jc w:val="center"/>
        <w:rPr>
          <w:color w:val="000000"/>
          <w:sz w:val="24"/>
        </w:rPr>
      </w:pPr>
    </w:p>
    <w:p w:rsidR="00AA32B9" w:rsidRPr="00012C17" w:rsidRDefault="00AA32B9" w:rsidP="001B11C5">
      <w:pPr>
        <w:spacing w:line="240" w:lineRule="auto"/>
        <w:ind w:left="720"/>
        <w:rPr>
          <w:color w:val="000000"/>
          <w:sz w:val="24"/>
        </w:rPr>
      </w:pPr>
      <w:r w:rsidRPr="00012C17">
        <w:rPr>
          <w:color w:val="000000"/>
          <w:sz w:val="24"/>
        </w:rPr>
        <w:t>1</w:t>
      </w:r>
      <w:r w:rsidR="00FE2E2D" w:rsidRPr="00012C17">
        <w:rPr>
          <w:color w:val="000000"/>
          <w:sz w:val="24"/>
        </w:rPr>
        <w:t>4</w:t>
      </w:r>
      <w:r w:rsidRPr="00012C17">
        <w:rPr>
          <w:color w:val="000000"/>
          <w:sz w:val="24"/>
        </w:rPr>
        <w:t xml:space="preserve">.1 </w:t>
      </w:r>
      <w:r w:rsidR="007E027B" w:rsidRPr="00012C17">
        <w:rPr>
          <w:color w:val="000000"/>
          <w:sz w:val="24"/>
        </w:rPr>
        <w:t xml:space="preserve">When ECAP accepts a complaint deemed to be regular and when such a complaint is suspected of fraudulent activity involving the election material, </w:t>
      </w:r>
      <w:r w:rsidR="00684AB3" w:rsidRPr="00012C17">
        <w:rPr>
          <w:color w:val="000000"/>
          <w:sz w:val="24"/>
        </w:rPr>
        <w:t>t</w:t>
      </w:r>
      <w:r w:rsidR="00F8171D" w:rsidRPr="00012C17">
        <w:rPr>
          <w:color w:val="000000"/>
          <w:sz w:val="24"/>
        </w:rPr>
        <w:t>he decision-making panel will authorize a member of the panel as the main investigator and the legal officer in charge of the concrete case to conduct the investigations.</w:t>
      </w:r>
    </w:p>
    <w:p w:rsidR="00AA32B9" w:rsidRPr="00012C17" w:rsidRDefault="00AA32B9" w:rsidP="001B11C5">
      <w:pPr>
        <w:spacing w:line="240" w:lineRule="auto"/>
        <w:ind w:left="720"/>
        <w:rPr>
          <w:color w:val="000000"/>
          <w:sz w:val="24"/>
        </w:rPr>
      </w:pPr>
      <w:r w:rsidRPr="00012C17">
        <w:rPr>
          <w:color w:val="000000"/>
          <w:sz w:val="24"/>
        </w:rPr>
        <w:t>[...]</w:t>
      </w:r>
    </w:p>
    <w:p w:rsidR="00AF5EF3" w:rsidRPr="00012C17" w:rsidRDefault="00AF5EF3" w:rsidP="001B11C5">
      <w:pPr>
        <w:spacing w:line="240" w:lineRule="auto"/>
        <w:ind w:left="720"/>
        <w:rPr>
          <w:color w:val="000000"/>
          <w:sz w:val="24"/>
        </w:rPr>
      </w:pPr>
    </w:p>
    <w:p w:rsidR="00AF5EF3" w:rsidRPr="00012C17" w:rsidRDefault="00AF5EF3" w:rsidP="001B11C5">
      <w:pPr>
        <w:spacing w:line="240" w:lineRule="auto"/>
        <w:ind w:left="720"/>
        <w:rPr>
          <w:b/>
          <w:bCs/>
          <w:color w:val="000000"/>
          <w:sz w:val="24"/>
        </w:rPr>
      </w:pPr>
      <w:r w:rsidRPr="00012C17">
        <w:rPr>
          <w:b/>
          <w:bCs/>
          <w:color w:val="000000"/>
          <w:sz w:val="24"/>
        </w:rPr>
        <w:t>CEC</w:t>
      </w:r>
      <w:r w:rsidR="00AA6E96" w:rsidRPr="00012C17">
        <w:rPr>
          <w:b/>
          <w:bCs/>
          <w:color w:val="000000"/>
          <w:sz w:val="24"/>
        </w:rPr>
        <w:t xml:space="preserve"> </w:t>
      </w:r>
      <w:r w:rsidRPr="00012C17">
        <w:rPr>
          <w:b/>
          <w:bCs/>
          <w:color w:val="000000"/>
          <w:sz w:val="24"/>
        </w:rPr>
        <w:t>ELECT</w:t>
      </w:r>
      <w:r w:rsidR="00F42751" w:rsidRPr="00012C17">
        <w:rPr>
          <w:b/>
          <w:bCs/>
          <w:color w:val="000000"/>
          <w:sz w:val="24"/>
        </w:rPr>
        <w:t>ION</w:t>
      </w:r>
      <w:r w:rsidRPr="00012C17">
        <w:rPr>
          <w:b/>
          <w:bCs/>
          <w:color w:val="000000"/>
          <w:sz w:val="24"/>
        </w:rPr>
        <w:t xml:space="preserve"> </w:t>
      </w:r>
      <w:r w:rsidR="00F42751" w:rsidRPr="00012C17">
        <w:rPr>
          <w:b/>
          <w:bCs/>
          <w:color w:val="000000"/>
          <w:sz w:val="24"/>
        </w:rPr>
        <w:t>REGULATION</w:t>
      </w:r>
      <w:r w:rsidRPr="00012C17">
        <w:rPr>
          <w:b/>
          <w:bCs/>
          <w:color w:val="000000"/>
          <w:sz w:val="24"/>
        </w:rPr>
        <w:t xml:space="preserve"> NO. 06/</w:t>
      </w:r>
      <w:r w:rsidR="00F42751" w:rsidRPr="00012C17">
        <w:rPr>
          <w:b/>
          <w:bCs/>
          <w:color w:val="000000"/>
          <w:sz w:val="24"/>
        </w:rPr>
        <w:t>2013 COUNT</w:t>
      </w:r>
      <w:r w:rsidRPr="00012C17">
        <w:rPr>
          <w:b/>
          <w:bCs/>
          <w:color w:val="000000"/>
          <w:sz w:val="24"/>
        </w:rPr>
        <w:t xml:space="preserve"> AND RESULTS CENTER of 2 July 2013</w:t>
      </w:r>
    </w:p>
    <w:p w:rsidR="00AF5EF3" w:rsidRPr="00012C17" w:rsidRDefault="00AF5EF3" w:rsidP="001B11C5">
      <w:pPr>
        <w:spacing w:line="240" w:lineRule="auto"/>
        <w:ind w:left="720"/>
        <w:rPr>
          <w:b/>
          <w:bCs/>
          <w:color w:val="000000"/>
          <w:sz w:val="24"/>
        </w:rPr>
      </w:pPr>
    </w:p>
    <w:p w:rsidR="00AF5EF3" w:rsidRPr="00012C17" w:rsidRDefault="00AF5EF3" w:rsidP="001B11C5">
      <w:pPr>
        <w:pStyle w:val="HTMLPreformatted"/>
        <w:ind w:left="720"/>
        <w:jc w:val="center"/>
        <w:rPr>
          <w:rFonts w:ascii="Georgia" w:hAnsi="Georgia"/>
          <w:color w:val="000000"/>
          <w:sz w:val="24"/>
          <w:szCs w:val="24"/>
          <w:lang w:val="en-US"/>
        </w:rPr>
      </w:pPr>
      <w:r w:rsidRPr="00012C17">
        <w:rPr>
          <w:rFonts w:ascii="Georgia" w:hAnsi="Georgia"/>
          <w:color w:val="000000"/>
          <w:sz w:val="24"/>
          <w:szCs w:val="24"/>
          <w:lang w:val="en-US"/>
        </w:rPr>
        <w:t>Article 8</w:t>
      </w:r>
    </w:p>
    <w:p w:rsidR="00AF5EF3" w:rsidRPr="00012C17" w:rsidRDefault="00AF5EF3" w:rsidP="001B11C5">
      <w:pPr>
        <w:pStyle w:val="HTMLPreformatted"/>
        <w:ind w:left="720"/>
        <w:jc w:val="center"/>
        <w:rPr>
          <w:rFonts w:ascii="Georgia" w:hAnsi="Georgia"/>
          <w:color w:val="000000"/>
          <w:sz w:val="24"/>
          <w:szCs w:val="24"/>
          <w:lang w:val="en-US"/>
        </w:rPr>
      </w:pPr>
      <w:r w:rsidRPr="00012C17">
        <w:rPr>
          <w:rFonts w:ascii="Georgia" w:hAnsi="Georgia"/>
          <w:color w:val="000000"/>
          <w:sz w:val="24"/>
          <w:szCs w:val="24"/>
          <w:lang w:val="en-US"/>
        </w:rPr>
        <w:t>Complaints regarding to process in CRC</w:t>
      </w:r>
    </w:p>
    <w:p w:rsidR="00AF5EF3" w:rsidRPr="00012C17" w:rsidRDefault="00AF5EF3" w:rsidP="001B11C5">
      <w:pPr>
        <w:pStyle w:val="HTMLPreformatted"/>
        <w:ind w:left="720"/>
        <w:jc w:val="both"/>
        <w:rPr>
          <w:rFonts w:ascii="Georgia" w:hAnsi="Georgia"/>
          <w:color w:val="000000"/>
          <w:sz w:val="24"/>
          <w:szCs w:val="24"/>
          <w:lang w:val="en-US"/>
        </w:rPr>
      </w:pPr>
    </w:p>
    <w:p w:rsidR="00AF5EF3" w:rsidRPr="00012C17" w:rsidRDefault="00AF5EF3"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8.1 Complaints about the conduct of the count in the CRC, under Article 105 of the Law on General Elections in the Republic of Kosovo and Article 26 of the Law on Local Elections in the Republic of Kosovo must be submitted in ECAP in writing within 24 hours of the occurrence of the alleged violation.</w:t>
      </w:r>
    </w:p>
    <w:p w:rsidR="00AF5EF3" w:rsidRPr="00012C17" w:rsidRDefault="00AF5EF3" w:rsidP="001B11C5">
      <w:pPr>
        <w:pStyle w:val="HTMLPreformatted"/>
        <w:ind w:left="720"/>
        <w:jc w:val="both"/>
        <w:rPr>
          <w:rFonts w:ascii="Georgia" w:hAnsi="Georgia"/>
          <w:color w:val="000000"/>
          <w:sz w:val="24"/>
          <w:szCs w:val="24"/>
          <w:lang w:val="en-US"/>
        </w:rPr>
      </w:pPr>
    </w:p>
    <w:p w:rsidR="00AF5EF3" w:rsidRPr="00012C17" w:rsidRDefault="00AF5EF3"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8.2 Submitting the complaint does not interfere or stop the counting process.</w:t>
      </w:r>
    </w:p>
    <w:p w:rsidR="00AF5EF3" w:rsidRPr="00012C17" w:rsidRDefault="00AF5EF3" w:rsidP="001B11C5">
      <w:pPr>
        <w:pStyle w:val="HTMLPreformatted"/>
        <w:ind w:left="720"/>
        <w:jc w:val="both"/>
        <w:rPr>
          <w:rFonts w:ascii="Georgia" w:hAnsi="Georgia"/>
          <w:color w:val="000000"/>
          <w:sz w:val="24"/>
          <w:szCs w:val="24"/>
          <w:lang w:val="en-US"/>
        </w:rPr>
      </w:pPr>
    </w:p>
    <w:p w:rsidR="00AF5EF3" w:rsidRPr="00012C17" w:rsidRDefault="00F42751" w:rsidP="001B11C5">
      <w:pPr>
        <w:pStyle w:val="HTMLPreformatted"/>
        <w:ind w:left="720"/>
        <w:jc w:val="both"/>
        <w:rPr>
          <w:color w:val="000000"/>
          <w:lang w:val="en-US"/>
        </w:rPr>
      </w:pPr>
      <w:r w:rsidRPr="00012C17">
        <w:rPr>
          <w:rFonts w:ascii="Georgia" w:hAnsi="Georgia"/>
          <w:color w:val="000000"/>
          <w:sz w:val="24"/>
          <w:szCs w:val="24"/>
          <w:lang w:val="en-US"/>
        </w:rPr>
        <w:t xml:space="preserve">8.3 </w:t>
      </w:r>
      <w:r w:rsidR="00AF5EF3" w:rsidRPr="00012C17">
        <w:rPr>
          <w:rFonts w:ascii="Georgia" w:hAnsi="Georgia"/>
          <w:color w:val="000000"/>
          <w:sz w:val="24"/>
          <w:szCs w:val="24"/>
          <w:lang w:val="en-US"/>
        </w:rPr>
        <w:t>Pursuant to the provisions of Article 105.3 of the Law on General Elections in the Republic of Kosovo, and Article 26 of the Law on Local Elections in the Republic of Kosovo, for all the complaints ECAP will decide no later than 72 hours after receiving them in their headquarters</w:t>
      </w:r>
      <w:r w:rsidR="00AF5EF3" w:rsidRPr="00012C17">
        <w:rPr>
          <w:color w:val="000000"/>
          <w:lang w:val="en-US"/>
        </w:rPr>
        <w:t>.</w:t>
      </w:r>
    </w:p>
    <w:p w:rsidR="00F42751" w:rsidRPr="00012C17" w:rsidRDefault="00F42751" w:rsidP="001B11C5">
      <w:pPr>
        <w:pStyle w:val="HTMLPreformatted"/>
        <w:ind w:left="720"/>
        <w:jc w:val="both"/>
        <w:rPr>
          <w:color w:val="000000"/>
          <w:lang w:val="en-US"/>
        </w:rPr>
      </w:pPr>
    </w:p>
    <w:p w:rsidR="00F42751" w:rsidRPr="00012C17" w:rsidRDefault="00F42751" w:rsidP="001B11C5">
      <w:pPr>
        <w:spacing w:line="240" w:lineRule="auto"/>
        <w:jc w:val="center"/>
        <w:rPr>
          <w:color w:val="000000"/>
          <w:sz w:val="24"/>
        </w:rPr>
      </w:pPr>
      <w:r w:rsidRPr="00012C17">
        <w:rPr>
          <w:color w:val="000000"/>
          <w:sz w:val="24"/>
        </w:rPr>
        <w:t>Article 9</w:t>
      </w:r>
    </w:p>
    <w:p w:rsidR="00F42751" w:rsidRPr="00012C17" w:rsidRDefault="00F42751" w:rsidP="001B11C5">
      <w:pPr>
        <w:pStyle w:val="HTMLPreformatted"/>
        <w:jc w:val="center"/>
        <w:rPr>
          <w:rFonts w:ascii="Georgia" w:hAnsi="Georgia"/>
          <w:color w:val="000000"/>
          <w:sz w:val="24"/>
          <w:szCs w:val="24"/>
          <w:lang w:val="en-US"/>
        </w:rPr>
      </w:pPr>
      <w:r w:rsidRPr="00012C17">
        <w:rPr>
          <w:rFonts w:ascii="Georgia" w:hAnsi="Georgia"/>
          <w:color w:val="000000"/>
          <w:sz w:val="24"/>
          <w:szCs w:val="24"/>
          <w:lang w:val="en-US"/>
        </w:rPr>
        <w:lastRenderedPageBreak/>
        <w:t>Election Results</w:t>
      </w:r>
    </w:p>
    <w:p w:rsidR="00F42751" w:rsidRPr="00012C17" w:rsidRDefault="00F42751" w:rsidP="001B11C5">
      <w:pPr>
        <w:spacing w:line="240" w:lineRule="auto"/>
        <w:ind w:left="720"/>
        <w:rPr>
          <w:color w:val="000000"/>
          <w:sz w:val="24"/>
        </w:rPr>
      </w:pPr>
    </w:p>
    <w:p w:rsidR="00F42751" w:rsidRPr="00012C17" w:rsidRDefault="00F42751" w:rsidP="001B11C5">
      <w:pPr>
        <w:spacing w:line="240" w:lineRule="auto"/>
        <w:ind w:left="720"/>
        <w:rPr>
          <w:color w:val="000000"/>
          <w:sz w:val="24"/>
        </w:rPr>
      </w:pPr>
      <w:r w:rsidRPr="00012C17">
        <w:rPr>
          <w:color w:val="000000"/>
          <w:sz w:val="24"/>
        </w:rPr>
        <w:t>[...]</w:t>
      </w:r>
    </w:p>
    <w:p w:rsidR="00F42751" w:rsidRPr="00012C17" w:rsidRDefault="00F42751" w:rsidP="001B11C5">
      <w:pPr>
        <w:pStyle w:val="HTMLPreformatted"/>
        <w:ind w:left="720"/>
        <w:jc w:val="both"/>
        <w:rPr>
          <w:color w:val="000000"/>
          <w:lang w:val="en-US"/>
        </w:rPr>
      </w:pPr>
      <w:r w:rsidRPr="00012C17">
        <w:rPr>
          <w:rFonts w:ascii="Georgia" w:hAnsi="Georgia"/>
          <w:color w:val="000000"/>
          <w:sz w:val="24"/>
          <w:szCs w:val="24"/>
          <w:lang w:val="en-US"/>
        </w:rPr>
        <w:t>9.3 In exceptional cases before certification of the results, the CEC can order a recount of ballots in any Polling Station, Polling Center, and Counting Center or repeat voting at a Polling Center or in a municipality</w:t>
      </w:r>
      <w:r w:rsidRPr="00012C17">
        <w:rPr>
          <w:color w:val="000000"/>
          <w:lang w:val="en-US"/>
        </w:rPr>
        <w:t>.</w:t>
      </w:r>
    </w:p>
    <w:p w:rsidR="00F42751" w:rsidRPr="00012C17" w:rsidRDefault="00F42751" w:rsidP="001B11C5">
      <w:pPr>
        <w:spacing w:line="240" w:lineRule="auto"/>
        <w:ind w:left="720"/>
        <w:rPr>
          <w:color w:val="000000"/>
          <w:sz w:val="24"/>
        </w:rPr>
      </w:pPr>
    </w:p>
    <w:p w:rsidR="00F42751" w:rsidRPr="00012C17" w:rsidRDefault="00F42751" w:rsidP="001B11C5">
      <w:pPr>
        <w:spacing w:line="240" w:lineRule="auto"/>
        <w:ind w:left="720"/>
        <w:rPr>
          <w:color w:val="000000"/>
          <w:sz w:val="24"/>
        </w:rPr>
      </w:pPr>
      <w:r w:rsidRPr="00012C17">
        <w:rPr>
          <w:color w:val="000000"/>
          <w:sz w:val="24"/>
        </w:rPr>
        <w:t>[...]</w:t>
      </w:r>
    </w:p>
    <w:p w:rsidR="00F42751" w:rsidRPr="00012C17" w:rsidRDefault="00F42751"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9.5. Prior to certification of the election results, it is the competence of EPAC, in exceptional cases to annul the results of a Polling Station or Polling Center, and order CEC to repeat the voting in a Polling Station or Polling Center, if it considers that they have impact in final results</w:t>
      </w:r>
      <w:r w:rsidR="001777F9" w:rsidRPr="00012C17">
        <w:rPr>
          <w:rFonts w:ascii="Georgia" w:hAnsi="Georgia"/>
          <w:color w:val="000000"/>
          <w:sz w:val="24"/>
          <w:szCs w:val="24"/>
          <w:lang w:val="en-US"/>
        </w:rPr>
        <w:t>.</w:t>
      </w:r>
    </w:p>
    <w:p w:rsidR="00F42751" w:rsidRPr="00012C17" w:rsidRDefault="00F42751" w:rsidP="001B11C5">
      <w:pPr>
        <w:spacing w:line="240" w:lineRule="auto"/>
        <w:ind w:left="720"/>
        <w:rPr>
          <w:color w:val="000000"/>
          <w:sz w:val="24"/>
        </w:rPr>
      </w:pPr>
      <w:r w:rsidRPr="00012C17">
        <w:rPr>
          <w:color w:val="000000"/>
          <w:sz w:val="24"/>
        </w:rPr>
        <w:t>[...]</w:t>
      </w:r>
    </w:p>
    <w:p w:rsidR="00F42751" w:rsidRPr="00012C17" w:rsidRDefault="00F42751" w:rsidP="001B11C5">
      <w:pPr>
        <w:spacing w:line="240" w:lineRule="auto"/>
        <w:rPr>
          <w:b/>
          <w:color w:val="000000"/>
          <w:sz w:val="24"/>
        </w:rPr>
      </w:pPr>
    </w:p>
    <w:p w:rsidR="00F42751" w:rsidRPr="00012C17" w:rsidRDefault="00F42751" w:rsidP="001B11C5">
      <w:pPr>
        <w:pStyle w:val="HTMLPreformatted"/>
        <w:rPr>
          <w:rFonts w:ascii="Georgia" w:hAnsi="Georgia"/>
          <w:b/>
          <w:color w:val="000000"/>
          <w:sz w:val="24"/>
          <w:szCs w:val="24"/>
          <w:lang w:val="en-US"/>
        </w:rPr>
      </w:pPr>
      <w:r w:rsidRPr="00012C17">
        <w:rPr>
          <w:rFonts w:ascii="Georgia" w:hAnsi="Georgia"/>
          <w:b/>
          <w:color w:val="000000"/>
          <w:sz w:val="24"/>
          <w:szCs w:val="24"/>
          <w:lang w:val="en-US"/>
        </w:rPr>
        <w:t>CEC ELECTION REGULATION Nr. 09/2013 VOTING, COUNTING AND MANAGEMENT OF POLLING CENTER</w:t>
      </w:r>
    </w:p>
    <w:p w:rsidR="00F42751" w:rsidRPr="00012C17" w:rsidRDefault="00F42751" w:rsidP="001B11C5">
      <w:pPr>
        <w:spacing w:line="240" w:lineRule="auto"/>
        <w:rPr>
          <w:b/>
          <w:color w:val="000000"/>
          <w:sz w:val="24"/>
        </w:rPr>
      </w:pPr>
    </w:p>
    <w:p w:rsidR="00F42751" w:rsidRPr="00012C17" w:rsidRDefault="00F42751" w:rsidP="001B11C5">
      <w:pPr>
        <w:spacing w:line="240" w:lineRule="auto"/>
        <w:ind w:left="720"/>
        <w:jc w:val="center"/>
        <w:rPr>
          <w:color w:val="000000"/>
          <w:sz w:val="24"/>
        </w:rPr>
      </w:pPr>
      <w:r w:rsidRPr="00012C17">
        <w:rPr>
          <w:color w:val="000000"/>
          <w:sz w:val="24"/>
        </w:rPr>
        <w:t>Article 25</w:t>
      </w:r>
    </w:p>
    <w:p w:rsidR="00F42751" w:rsidRPr="00012C17" w:rsidRDefault="00F42751" w:rsidP="001B11C5">
      <w:pPr>
        <w:spacing w:line="240" w:lineRule="auto"/>
        <w:ind w:left="720"/>
        <w:jc w:val="center"/>
        <w:rPr>
          <w:color w:val="000000"/>
          <w:sz w:val="24"/>
        </w:rPr>
      </w:pPr>
      <w:r w:rsidRPr="00012C17">
        <w:rPr>
          <w:color w:val="000000"/>
          <w:sz w:val="24"/>
        </w:rPr>
        <w:t>Complaints</w:t>
      </w:r>
    </w:p>
    <w:p w:rsidR="00F42751" w:rsidRPr="00012C17" w:rsidRDefault="00F42751" w:rsidP="001B11C5">
      <w:pPr>
        <w:spacing w:line="240" w:lineRule="auto"/>
        <w:ind w:left="720"/>
        <w:rPr>
          <w:color w:val="000000"/>
          <w:sz w:val="24"/>
        </w:rPr>
      </w:pPr>
    </w:p>
    <w:p w:rsidR="00F42751" w:rsidRPr="00012C17" w:rsidRDefault="00F42751"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25.1 </w:t>
      </w:r>
      <w:r w:rsidRPr="00012C17">
        <w:rPr>
          <w:rFonts w:ascii="Georgia" w:hAnsi="Georgia"/>
          <w:color w:val="000000"/>
          <w:sz w:val="24"/>
          <w:szCs w:val="24"/>
          <w:lang w:val="en-US"/>
        </w:rPr>
        <w:tab/>
        <w:t>Complaints regarding the voting and counting in polling stations should be submitted to the EPAC within 24 hours of the close of polling stations and they will be settled by EPAC within 72 hours after the complaint is received, in accordance with Article 119.1 of the Law on General, Elections Article 28 of the Law on Local Elections and Procedural Rules of EPAC.</w:t>
      </w:r>
    </w:p>
    <w:p w:rsidR="00F42751" w:rsidRPr="00012C17" w:rsidRDefault="00F42751" w:rsidP="001B11C5">
      <w:pPr>
        <w:pStyle w:val="HTMLPreformatted"/>
        <w:ind w:left="720"/>
        <w:jc w:val="both"/>
        <w:rPr>
          <w:rFonts w:ascii="Georgia" w:hAnsi="Georgia"/>
          <w:color w:val="000000"/>
          <w:sz w:val="24"/>
          <w:szCs w:val="24"/>
          <w:lang w:val="en-US"/>
        </w:rPr>
      </w:pPr>
    </w:p>
    <w:p w:rsidR="00F42751" w:rsidRPr="00012C17" w:rsidRDefault="00F42751"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25.2 Submission of the complaint shall not terminate or suspend the counting process.</w:t>
      </w:r>
    </w:p>
    <w:p w:rsidR="00F42751" w:rsidRPr="00012C17" w:rsidRDefault="00F42751" w:rsidP="001B11C5">
      <w:pPr>
        <w:pStyle w:val="HTMLPreformatted"/>
        <w:ind w:left="720"/>
        <w:jc w:val="both"/>
        <w:rPr>
          <w:rFonts w:ascii="Georgia" w:hAnsi="Georgia"/>
          <w:color w:val="000000"/>
          <w:sz w:val="24"/>
          <w:szCs w:val="24"/>
          <w:lang w:val="en-US"/>
        </w:rPr>
      </w:pPr>
    </w:p>
    <w:p w:rsidR="00F42751" w:rsidRPr="00012C17" w:rsidRDefault="00F42751"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 xml:space="preserve">25.3 </w:t>
      </w:r>
      <w:r w:rsidRPr="00012C17">
        <w:rPr>
          <w:rFonts w:ascii="Georgia" w:hAnsi="Georgia"/>
          <w:color w:val="000000"/>
          <w:sz w:val="24"/>
          <w:szCs w:val="24"/>
          <w:lang w:val="en-US"/>
        </w:rPr>
        <w:tab/>
        <w:t>Any member of the PSC who complains about the results listed in PS may mark his dissenting opinion in the poll book and may file a complaint in EPAC.</w:t>
      </w:r>
    </w:p>
    <w:p w:rsidR="006E52F9" w:rsidRPr="00012C17" w:rsidRDefault="006E52F9" w:rsidP="001B11C5">
      <w:pPr>
        <w:spacing w:line="240" w:lineRule="auto"/>
        <w:ind w:left="720"/>
        <w:jc w:val="center"/>
        <w:rPr>
          <w:color w:val="000000"/>
          <w:sz w:val="24"/>
        </w:rPr>
      </w:pPr>
    </w:p>
    <w:p w:rsidR="00F42751" w:rsidRPr="00012C17" w:rsidRDefault="00F42751" w:rsidP="001B11C5">
      <w:pPr>
        <w:spacing w:line="240" w:lineRule="auto"/>
        <w:ind w:left="720"/>
        <w:jc w:val="center"/>
        <w:rPr>
          <w:color w:val="000000"/>
          <w:sz w:val="24"/>
        </w:rPr>
      </w:pPr>
      <w:r w:rsidRPr="00012C17">
        <w:rPr>
          <w:color w:val="000000"/>
          <w:sz w:val="24"/>
        </w:rPr>
        <w:t>Article 26</w:t>
      </w:r>
    </w:p>
    <w:p w:rsidR="00F42751" w:rsidRPr="00012C17" w:rsidRDefault="00F42751" w:rsidP="001B11C5">
      <w:pPr>
        <w:spacing w:line="240" w:lineRule="auto"/>
        <w:ind w:left="720"/>
        <w:jc w:val="center"/>
        <w:rPr>
          <w:color w:val="000000"/>
          <w:sz w:val="24"/>
        </w:rPr>
      </w:pPr>
      <w:r w:rsidRPr="00012C17">
        <w:rPr>
          <w:color w:val="000000"/>
          <w:sz w:val="24"/>
        </w:rPr>
        <w:t>Repetition of voting</w:t>
      </w:r>
    </w:p>
    <w:p w:rsidR="00F42751" w:rsidRPr="00012C17" w:rsidRDefault="00F42751" w:rsidP="001B11C5">
      <w:pPr>
        <w:spacing w:line="240" w:lineRule="auto"/>
        <w:ind w:left="720"/>
        <w:jc w:val="center"/>
        <w:rPr>
          <w:color w:val="000000"/>
          <w:sz w:val="24"/>
        </w:rPr>
      </w:pPr>
    </w:p>
    <w:p w:rsidR="00F42751" w:rsidRPr="00012C17" w:rsidRDefault="00F42751" w:rsidP="001B11C5">
      <w:pPr>
        <w:pStyle w:val="HTMLPreformatted"/>
        <w:ind w:left="720"/>
        <w:jc w:val="both"/>
        <w:rPr>
          <w:rFonts w:ascii="Georgia" w:hAnsi="Georgia"/>
          <w:color w:val="000000"/>
          <w:sz w:val="24"/>
          <w:szCs w:val="24"/>
          <w:lang w:val="en-US"/>
        </w:rPr>
      </w:pPr>
      <w:r w:rsidRPr="00012C17">
        <w:rPr>
          <w:rFonts w:ascii="Georgia" w:hAnsi="Georgia"/>
          <w:color w:val="000000"/>
          <w:sz w:val="24"/>
          <w:szCs w:val="24"/>
          <w:lang w:val="en-US"/>
        </w:rPr>
        <w:t>26.1.</w:t>
      </w:r>
      <w:r w:rsidR="00460F9F" w:rsidRPr="00012C17">
        <w:rPr>
          <w:rFonts w:ascii="Georgia" w:hAnsi="Georgia"/>
          <w:color w:val="000000"/>
          <w:sz w:val="24"/>
          <w:szCs w:val="24"/>
          <w:lang w:val="en-US"/>
        </w:rPr>
        <w:t xml:space="preserve"> </w:t>
      </w:r>
      <w:r w:rsidRPr="00012C17">
        <w:rPr>
          <w:rFonts w:ascii="Georgia" w:hAnsi="Georgia"/>
          <w:color w:val="000000"/>
          <w:sz w:val="24"/>
          <w:szCs w:val="24"/>
          <w:lang w:val="en-US"/>
        </w:rPr>
        <w:t>Prior to certification of the election results, it is the competence of EPAC, in exceptional cases to nullify the results of a polling station or polling center and order CEC to repeat voting in a polling station or polling center, if it considers that is has impact in final results, in accordance with Article 120.1 (b) of the Law on General Elections and Article 28 of the Law on Local Elections. In this case, the same rules will apply for repetition of voting.</w:t>
      </w:r>
    </w:p>
    <w:p w:rsidR="00267677" w:rsidRPr="00012C17" w:rsidRDefault="00267677" w:rsidP="001B11C5">
      <w:pPr>
        <w:spacing w:line="240" w:lineRule="auto"/>
        <w:rPr>
          <w:rFonts w:cs="Arial"/>
          <w:b/>
          <w:color w:val="000000"/>
          <w:sz w:val="24"/>
        </w:rPr>
      </w:pPr>
    </w:p>
    <w:p w:rsidR="00A00C67" w:rsidRPr="00012C17" w:rsidRDefault="00F92796" w:rsidP="001B11C5">
      <w:pPr>
        <w:spacing w:line="240" w:lineRule="auto"/>
        <w:rPr>
          <w:rFonts w:cs="Arial"/>
          <w:b/>
          <w:color w:val="000000"/>
          <w:sz w:val="24"/>
        </w:rPr>
      </w:pPr>
      <w:r w:rsidRPr="00012C17">
        <w:rPr>
          <w:rFonts w:cs="Arial"/>
          <w:b/>
          <w:color w:val="000000"/>
          <w:sz w:val="24"/>
        </w:rPr>
        <w:t>Assessment of the admissibility of the Referral</w:t>
      </w:r>
    </w:p>
    <w:p w:rsidR="00F92796" w:rsidRPr="00012C17" w:rsidRDefault="00F92796" w:rsidP="001B11C5">
      <w:pPr>
        <w:spacing w:line="240" w:lineRule="auto"/>
        <w:rPr>
          <w:rFonts w:cs="Arial"/>
          <w:color w:val="000000"/>
          <w:sz w:val="24"/>
        </w:rPr>
      </w:pPr>
    </w:p>
    <w:p w:rsidR="009B01B6"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color w:val="000000"/>
          <w:sz w:val="24"/>
          <w:szCs w:val="24"/>
          <w:lang w:val="en-US"/>
        </w:rPr>
      </w:pPr>
      <w:r w:rsidRPr="00012C17">
        <w:rPr>
          <w:rFonts w:ascii="Georgia" w:hAnsi="Georgia"/>
          <w:color w:val="000000"/>
          <w:sz w:val="24"/>
          <w:szCs w:val="24"/>
          <w:lang w:val="en-US"/>
        </w:rPr>
        <w:t xml:space="preserve">The Court first examines whether the Referral has met the admissibility criteria </w:t>
      </w:r>
      <w:r w:rsidR="007E027B" w:rsidRPr="00012C17">
        <w:rPr>
          <w:rFonts w:ascii="Georgia" w:hAnsi="Georgia"/>
          <w:color w:val="000000"/>
          <w:sz w:val="24"/>
          <w:szCs w:val="24"/>
          <w:lang w:val="en-US"/>
        </w:rPr>
        <w:t>established</w:t>
      </w:r>
      <w:r w:rsidRPr="00012C17">
        <w:rPr>
          <w:rFonts w:ascii="Georgia" w:hAnsi="Georgia"/>
          <w:color w:val="000000"/>
          <w:sz w:val="24"/>
          <w:szCs w:val="24"/>
          <w:lang w:val="en-US"/>
        </w:rPr>
        <w:t xml:space="preserve"> in the Constitution and further specified </w:t>
      </w:r>
      <w:r w:rsidR="007E027B" w:rsidRPr="00012C17">
        <w:rPr>
          <w:rFonts w:ascii="Georgia" w:hAnsi="Georgia"/>
          <w:color w:val="000000"/>
          <w:sz w:val="24"/>
          <w:szCs w:val="24"/>
          <w:lang w:val="en-US"/>
        </w:rPr>
        <w:t>in</w:t>
      </w:r>
      <w:r w:rsidRPr="00012C17">
        <w:rPr>
          <w:rFonts w:ascii="Georgia" w:hAnsi="Georgia"/>
          <w:color w:val="000000"/>
          <w:sz w:val="24"/>
          <w:szCs w:val="24"/>
          <w:lang w:val="en-US"/>
        </w:rPr>
        <w:t xml:space="preserve"> the Law and the Rules of Procedure</w:t>
      </w:r>
      <w:r w:rsidR="002C5943" w:rsidRPr="00012C17">
        <w:rPr>
          <w:rFonts w:ascii="Georgia" w:hAnsi="Georgia" w:cs="Arial"/>
          <w:color w:val="000000"/>
          <w:sz w:val="24"/>
          <w:szCs w:val="24"/>
          <w:lang w:val="en-US"/>
        </w:rPr>
        <w:t xml:space="preserve">. </w:t>
      </w:r>
    </w:p>
    <w:p w:rsidR="007246B7" w:rsidRPr="00012C17" w:rsidRDefault="007246B7" w:rsidP="001B11C5">
      <w:pPr>
        <w:pStyle w:val="ListParagraph"/>
        <w:tabs>
          <w:tab w:val="left" w:pos="630"/>
        </w:tabs>
        <w:spacing w:after="0" w:line="240" w:lineRule="auto"/>
        <w:ind w:left="630"/>
        <w:jc w:val="both"/>
        <w:rPr>
          <w:rFonts w:ascii="Georgia" w:hAnsi="Georgia"/>
          <w:bCs/>
          <w:color w:val="000000"/>
          <w:sz w:val="24"/>
          <w:szCs w:val="24"/>
          <w:lang w:val="en-US"/>
        </w:rPr>
      </w:pPr>
    </w:p>
    <w:p w:rsidR="00117155"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color w:val="000000"/>
          <w:sz w:val="24"/>
          <w:szCs w:val="24"/>
          <w:lang w:val="en-US"/>
        </w:rPr>
      </w:pPr>
      <w:r w:rsidRPr="00012C17">
        <w:rPr>
          <w:rFonts w:ascii="Georgia" w:hAnsi="Georgia"/>
          <w:bCs/>
          <w:color w:val="000000"/>
          <w:sz w:val="24"/>
          <w:lang w:val="en-US"/>
        </w:rPr>
        <w:lastRenderedPageBreak/>
        <w:t xml:space="preserve">In this regard, the Court, by applying Article 113 of the Constitution, the relevant provisions of the Law </w:t>
      </w:r>
      <w:r w:rsidR="007E027B" w:rsidRPr="00012C17">
        <w:rPr>
          <w:rFonts w:ascii="Georgia" w:hAnsi="Georgia"/>
          <w:bCs/>
          <w:color w:val="000000"/>
          <w:sz w:val="24"/>
          <w:lang w:val="en-US"/>
        </w:rPr>
        <w:t>regarding</w:t>
      </w:r>
      <w:r w:rsidRPr="00012C17">
        <w:rPr>
          <w:rFonts w:ascii="Georgia" w:hAnsi="Georgia"/>
          <w:bCs/>
          <w:color w:val="000000"/>
          <w:sz w:val="24"/>
          <w:lang w:val="en-US"/>
        </w:rPr>
        <w:t xml:space="preserve"> the procedure in the case </w:t>
      </w:r>
      <w:r w:rsidR="007E027B" w:rsidRPr="00012C17">
        <w:rPr>
          <w:rFonts w:ascii="Georgia" w:hAnsi="Georgia"/>
          <w:bCs/>
          <w:color w:val="000000"/>
          <w:sz w:val="24"/>
          <w:lang w:val="en-US"/>
        </w:rPr>
        <w:t>foreseen</w:t>
      </w:r>
      <w:r w:rsidRPr="00012C17">
        <w:rPr>
          <w:rFonts w:ascii="Georgia" w:hAnsi="Georgia"/>
          <w:bCs/>
          <w:color w:val="000000"/>
          <w:sz w:val="24"/>
          <w:lang w:val="en-US"/>
        </w:rPr>
        <w:t xml:space="preserve"> in Article 113, paragraph 7 of the Constitution; and Rule 39 [</w:t>
      </w:r>
      <w:r w:rsidR="007E027B" w:rsidRPr="00012C17">
        <w:rPr>
          <w:rFonts w:ascii="Georgia" w:hAnsi="Georgia"/>
          <w:bCs/>
          <w:color w:val="000000"/>
          <w:sz w:val="24"/>
          <w:lang w:val="en-US"/>
        </w:rPr>
        <w:t>Admissibility</w:t>
      </w:r>
      <w:r w:rsidRPr="00012C17">
        <w:rPr>
          <w:rFonts w:ascii="Georgia" w:hAnsi="Georgia"/>
          <w:bCs/>
          <w:color w:val="000000"/>
          <w:sz w:val="24"/>
          <w:lang w:val="en-US"/>
        </w:rPr>
        <w:t xml:space="preserve"> Criteria] </w:t>
      </w:r>
      <w:r w:rsidR="007E027B" w:rsidRPr="00012C17">
        <w:rPr>
          <w:rFonts w:ascii="Georgia" w:hAnsi="Georgia"/>
          <w:bCs/>
          <w:color w:val="000000"/>
          <w:sz w:val="24"/>
          <w:lang w:val="en-US"/>
        </w:rPr>
        <w:t>and</w:t>
      </w:r>
      <w:r w:rsidRPr="00012C17">
        <w:rPr>
          <w:rFonts w:ascii="Georgia" w:hAnsi="Georgia"/>
          <w:bCs/>
          <w:color w:val="000000"/>
          <w:sz w:val="24"/>
          <w:lang w:val="en-US"/>
        </w:rPr>
        <w:t xml:space="preserve"> Rule 76 [</w:t>
      </w:r>
      <w:r w:rsidR="007E027B" w:rsidRPr="00012C17">
        <w:rPr>
          <w:rFonts w:ascii="Georgia" w:hAnsi="Georgia"/>
          <w:bCs/>
          <w:color w:val="000000"/>
          <w:sz w:val="24"/>
          <w:szCs w:val="24"/>
          <w:lang w:val="en-US"/>
        </w:rPr>
        <w:t>Referral pursuant to Article 113.7 of the Constitution and Articles 46, 47, 48, 49 and 50 of the Law</w:t>
      </w:r>
      <w:r w:rsidRPr="00012C17">
        <w:rPr>
          <w:rFonts w:ascii="Georgia" w:hAnsi="Georgia"/>
          <w:bCs/>
          <w:color w:val="000000"/>
          <w:sz w:val="24"/>
          <w:lang w:val="en-US"/>
        </w:rPr>
        <w:t xml:space="preserve">] of the Rules of Procedure shall examine whether: (i) the </w:t>
      </w:r>
      <w:r w:rsidR="007E027B" w:rsidRPr="00012C17">
        <w:rPr>
          <w:rFonts w:ascii="Georgia" w:hAnsi="Georgia"/>
          <w:bCs/>
          <w:color w:val="000000"/>
          <w:sz w:val="24"/>
          <w:lang w:val="en-US"/>
        </w:rPr>
        <w:t>Referral</w:t>
      </w:r>
      <w:r w:rsidRPr="00012C17">
        <w:rPr>
          <w:rFonts w:ascii="Georgia" w:hAnsi="Georgia"/>
          <w:bCs/>
          <w:color w:val="000000"/>
          <w:sz w:val="24"/>
          <w:lang w:val="en-US"/>
        </w:rPr>
        <w:t xml:space="preserve"> </w:t>
      </w:r>
      <w:r w:rsidR="007E027B" w:rsidRPr="00012C17">
        <w:rPr>
          <w:rFonts w:ascii="Georgia" w:hAnsi="Georgia"/>
          <w:bCs/>
          <w:color w:val="000000"/>
          <w:sz w:val="24"/>
          <w:lang w:val="en-US"/>
        </w:rPr>
        <w:t>was</w:t>
      </w:r>
      <w:r w:rsidRPr="00012C17">
        <w:rPr>
          <w:rFonts w:ascii="Georgia" w:hAnsi="Georgia"/>
          <w:bCs/>
          <w:color w:val="000000"/>
          <w:sz w:val="24"/>
          <w:lang w:val="en-US"/>
        </w:rPr>
        <w:t xml:space="preserve"> filed by authorized</w:t>
      </w:r>
      <w:r w:rsidR="007E027B" w:rsidRPr="00012C17">
        <w:rPr>
          <w:rFonts w:ascii="Georgia" w:hAnsi="Georgia"/>
          <w:bCs/>
          <w:color w:val="000000"/>
          <w:sz w:val="24"/>
          <w:lang w:val="en-US"/>
        </w:rPr>
        <w:t xml:space="preserve"> parties</w:t>
      </w:r>
      <w:r w:rsidRPr="00012C17">
        <w:rPr>
          <w:rFonts w:ascii="Georgia" w:hAnsi="Georgia"/>
          <w:bCs/>
          <w:color w:val="000000"/>
          <w:sz w:val="24"/>
          <w:lang w:val="en-US"/>
        </w:rPr>
        <w:t xml:space="preserve">; (ii) </w:t>
      </w:r>
      <w:r w:rsidR="007E027B" w:rsidRPr="00012C17">
        <w:rPr>
          <w:rFonts w:ascii="Georgia" w:hAnsi="Georgia"/>
          <w:bCs/>
          <w:color w:val="000000"/>
          <w:sz w:val="24"/>
          <w:lang w:val="en-US"/>
        </w:rPr>
        <w:t xml:space="preserve">the </w:t>
      </w:r>
      <w:r w:rsidRPr="00012C17">
        <w:rPr>
          <w:rFonts w:ascii="Georgia" w:hAnsi="Georgia"/>
          <w:bCs/>
          <w:color w:val="000000"/>
          <w:sz w:val="24"/>
          <w:lang w:val="en-US"/>
        </w:rPr>
        <w:t xml:space="preserve">decisions of public authorities are </w:t>
      </w:r>
      <w:r w:rsidR="00AA5EB5" w:rsidRPr="00012C17">
        <w:rPr>
          <w:rFonts w:ascii="Georgia" w:hAnsi="Georgia"/>
          <w:bCs/>
          <w:color w:val="000000"/>
          <w:sz w:val="24"/>
          <w:lang w:val="en-US"/>
        </w:rPr>
        <w:t xml:space="preserve">being </w:t>
      </w:r>
      <w:r w:rsidR="007E027B" w:rsidRPr="00012C17">
        <w:rPr>
          <w:rFonts w:ascii="Georgia" w:hAnsi="Georgia"/>
          <w:bCs/>
          <w:color w:val="000000"/>
          <w:sz w:val="24"/>
          <w:lang w:val="en-US"/>
        </w:rPr>
        <w:t>challenged</w:t>
      </w:r>
      <w:r w:rsidRPr="00012C17">
        <w:rPr>
          <w:rFonts w:ascii="Georgia" w:hAnsi="Georgia"/>
          <w:bCs/>
          <w:color w:val="000000"/>
          <w:sz w:val="24"/>
          <w:lang w:val="en-US"/>
        </w:rPr>
        <w:t xml:space="preserve">; (iii) all legal remedies have been exhausted; (iv) the rights and freedoms </w:t>
      </w:r>
      <w:r w:rsidR="00D873CD" w:rsidRPr="00012C17">
        <w:rPr>
          <w:rFonts w:ascii="Georgia" w:hAnsi="Georgia"/>
          <w:bCs/>
          <w:color w:val="000000"/>
          <w:sz w:val="24"/>
          <w:lang w:val="en-US"/>
        </w:rPr>
        <w:t xml:space="preserve">which have </w:t>
      </w:r>
      <w:r w:rsidRPr="00012C17">
        <w:rPr>
          <w:rFonts w:ascii="Georgia" w:hAnsi="Georgia"/>
          <w:bCs/>
          <w:color w:val="000000"/>
          <w:sz w:val="24"/>
          <w:lang w:val="en-US"/>
        </w:rPr>
        <w:t>alleged</w:t>
      </w:r>
      <w:r w:rsidR="00D873CD" w:rsidRPr="00012C17">
        <w:rPr>
          <w:rFonts w:ascii="Georgia" w:hAnsi="Georgia"/>
          <w:bCs/>
          <w:color w:val="000000"/>
          <w:sz w:val="24"/>
          <w:lang w:val="en-US"/>
        </w:rPr>
        <w:t>ly</w:t>
      </w:r>
      <w:r w:rsidRPr="00012C17">
        <w:rPr>
          <w:rFonts w:ascii="Georgia" w:hAnsi="Georgia"/>
          <w:bCs/>
          <w:color w:val="000000"/>
          <w:sz w:val="24"/>
          <w:lang w:val="en-US"/>
        </w:rPr>
        <w:t xml:space="preserve"> been violated are specified; (v) </w:t>
      </w:r>
      <w:r w:rsidR="00D873CD" w:rsidRPr="00012C17">
        <w:rPr>
          <w:rFonts w:ascii="Georgia" w:hAnsi="Georgia"/>
          <w:bCs/>
          <w:color w:val="000000"/>
          <w:sz w:val="24"/>
          <w:lang w:val="en-US"/>
        </w:rPr>
        <w:t>the t</w:t>
      </w:r>
      <w:r w:rsidRPr="00012C17">
        <w:rPr>
          <w:rFonts w:ascii="Georgia" w:hAnsi="Georgia"/>
          <w:bCs/>
          <w:color w:val="000000"/>
          <w:sz w:val="24"/>
          <w:lang w:val="en-US"/>
        </w:rPr>
        <w:t xml:space="preserve">ime limits have been respected; (vi) the Referral is manifestly ill-founded; and (vii) there is an additional admissibility </w:t>
      </w:r>
      <w:r w:rsidR="00D873CD" w:rsidRPr="00012C17">
        <w:rPr>
          <w:rFonts w:ascii="Georgia" w:hAnsi="Georgia"/>
          <w:bCs/>
          <w:color w:val="000000"/>
          <w:sz w:val="24"/>
          <w:lang w:val="en-US"/>
        </w:rPr>
        <w:t>requirement</w:t>
      </w:r>
      <w:r w:rsidRPr="00012C17">
        <w:rPr>
          <w:rFonts w:ascii="Georgia" w:hAnsi="Georgia"/>
          <w:bCs/>
          <w:color w:val="000000"/>
          <w:sz w:val="24"/>
          <w:lang w:val="en-US"/>
        </w:rPr>
        <w:t>, pursuant to Rule 39 (3) of the Rules of Procedure, which is not met</w:t>
      </w:r>
      <w:r w:rsidR="006B14AA" w:rsidRPr="00012C17">
        <w:rPr>
          <w:rFonts w:ascii="Georgia" w:hAnsi="Georgia"/>
          <w:bCs/>
          <w:color w:val="000000"/>
          <w:sz w:val="24"/>
          <w:lang w:val="en-US"/>
        </w:rPr>
        <w:t>.</w:t>
      </w:r>
    </w:p>
    <w:p w:rsidR="006E52F9" w:rsidRPr="00012C17" w:rsidRDefault="006E52F9" w:rsidP="001B11C5">
      <w:pPr>
        <w:tabs>
          <w:tab w:val="left" w:pos="630"/>
        </w:tabs>
        <w:spacing w:line="240" w:lineRule="auto"/>
        <w:rPr>
          <w:bCs/>
          <w:i/>
          <w:color w:val="000000"/>
          <w:sz w:val="24"/>
        </w:rPr>
      </w:pPr>
    </w:p>
    <w:p w:rsidR="00A2232E" w:rsidRPr="00012C17" w:rsidRDefault="00F92796" w:rsidP="001B11C5">
      <w:pPr>
        <w:tabs>
          <w:tab w:val="left" w:pos="630"/>
        </w:tabs>
        <w:spacing w:line="240" w:lineRule="auto"/>
        <w:rPr>
          <w:bCs/>
          <w:i/>
          <w:color w:val="000000"/>
          <w:sz w:val="24"/>
        </w:rPr>
      </w:pPr>
      <w:r w:rsidRPr="00012C17">
        <w:rPr>
          <w:bCs/>
          <w:i/>
          <w:color w:val="000000"/>
          <w:sz w:val="24"/>
        </w:rPr>
        <w:t>Regarding authorized parties</w:t>
      </w:r>
    </w:p>
    <w:p w:rsidR="00A2232E" w:rsidRPr="00012C17" w:rsidRDefault="00A2232E" w:rsidP="001B11C5">
      <w:pPr>
        <w:tabs>
          <w:tab w:val="left" w:pos="630"/>
        </w:tabs>
        <w:spacing w:line="240" w:lineRule="auto"/>
        <w:jc w:val="center"/>
        <w:rPr>
          <w:bCs/>
          <w:color w:val="000000"/>
          <w:sz w:val="24"/>
        </w:rPr>
      </w:pPr>
    </w:p>
    <w:p w:rsidR="009B01B6" w:rsidRPr="00012C17" w:rsidRDefault="00D873CD" w:rsidP="001B11C5">
      <w:pPr>
        <w:numPr>
          <w:ilvl w:val="0"/>
          <w:numId w:val="1"/>
        </w:numPr>
        <w:tabs>
          <w:tab w:val="left" w:pos="630"/>
        </w:tabs>
        <w:spacing w:line="240" w:lineRule="auto"/>
        <w:ind w:left="630" w:hanging="630"/>
        <w:rPr>
          <w:bCs/>
          <w:color w:val="000000"/>
          <w:sz w:val="24"/>
        </w:rPr>
      </w:pPr>
      <w:r w:rsidRPr="00012C17">
        <w:rPr>
          <w:color w:val="000000"/>
          <w:sz w:val="24"/>
        </w:rPr>
        <w:t>In this respect, the Court refers to paragraphs</w:t>
      </w:r>
      <w:r w:rsidR="002C5943" w:rsidRPr="00012C17">
        <w:rPr>
          <w:color w:val="000000"/>
          <w:sz w:val="24"/>
        </w:rPr>
        <w:t xml:space="preserve"> 1 </w:t>
      </w:r>
      <w:r w:rsidRPr="00012C17">
        <w:rPr>
          <w:color w:val="000000"/>
          <w:sz w:val="24"/>
        </w:rPr>
        <w:t>and</w:t>
      </w:r>
      <w:r w:rsidR="002C5943" w:rsidRPr="00012C17">
        <w:rPr>
          <w:color w:val="000000"/>
          <w:sz w:val="24"/>
        </w:rPr>
        <w:t xml:space="preserve"> 7 </w:t>
      </w:r>
      <w:r w:rsidRPr="00012C17">
        <w:rPr>
          <w:color w:val="000000"/>
          <w:sz w:val="24"/>
        </w:rPr>
        <w:t>of Article</w:t>
      </w:r>
      <w:r w:rsidR="002C5943" w:rsidRPr="00012C17">
        <w:rPr>
          <w:color w:val="000000"/>
          <w:sz w:val="24"/>
        </w:rPr>
        <w:t xml:space="preserve"> 113 [</w:t>
      </w:r>
      <w:r w:rsidRPr="00012C17">
        <w:rPr>
          <w:bCs/>
          <w:color w:val="000000"/>
          <w:sz w:val="24"/>
        </w:rPr>
        <w:t>Jurisdiction and Authorized Parties</w:t>
      </w:r>
      <w:r w:rsidRPr="00012C17">
        <w:rPr>
          <w:color w:val="000000"/>
          <w:sz w:val="24"/>
        </w:rPr>
        <w:t>], paragraphs 1 and 7 of the Constitution which establish</w:t>
      </w:r>
      <w:r w:rsidR="002C5943" w:rsidRPr="00012C17">
        <w:rPr>
          <w:bCs/>
          <w:color w:val="000000"/>
          <w:sz w:val="24"/>
        </w:rPr>
        <w:t>:</w:t>
      </w:r>
    </w:p>
    <w:p w:rsidR="009B01B6" w:rsidRPr="00012C17" w:rsidRDefault="009B01B6" w:rsidP="001B11C5">
      <w:pPr>
        <w:spacing w:line="240" w:lineRule="auto"/>
        <w:rPr>
          <w:bCs/>
          <w:color w:val="000000"/>
          <w:sz w:val="24"/>
        </w:rPr>
      </w:pPr>
    </w:p>
    <w:p w:rsidR="009B01B6" w:rsidRPr="00012C17" w:rsidRDefault="002C5943" w:rsidP="001B11C5">
      <w:pPr>
        <w:spacing w:line="240" w:lineRule="auto"/>
        <w:ind w:left="990"/>
        <w:rPr>
          <w:i/>
          <w:color w:val="000000"/>
          <w:sz w:val="24"/>
        </w:rPr>
      </w:pPr>
      <w:r w:rsidRPr="00012C17">
        <w:rPr>
          <w:i/>
          <w:color w:val="000000"/>
          <w:sz w:val="24"/>
        </w:rPr>
        <w:t xml:space="preserve">1. </w:t>
      </w:r>
      <w:r w:rsidR="007246B7" w:rsidRPr="00012C17">
        <w:rPr>
          <w:i/>
          <w:color w:val="000000"/>
          <w:sz w:val="24"/>
        </w:rPr>
        <w:t>The Constitutional Court decides only on matters referred to the court in a legal manner by authorized parties</w:t>
      </w:r>
      <w:r w:rsidRPr="00012C17">
        <w:rPr>
          <w:i/>
          <w:color w:val="000000"/>
          <w:sz w:val="24"/>
        </w:rPr>
        <w:t>.</w:t>
      </w:r>
    </w:p>
    <w:p w:rsidR="00251753" w:rsidRPr="00012C17" w:rsidRDefault="00251753" w:rsidP="001B11C5">
      <w:pPr>
        <w:spacing w:line="240" w:lineRule="auto"/>
        <w:rPr>
          <w:i/>
          <w:color w:val="000000"/>
          <w:sz w:val="24"/>
        </w:rPr>
      </w:pPr>
    </w:p>
    <w:p w:rsidR="009B01B6" w:rsidRPr="00012C17" w:rsidRDefault="00251753" w:rsidP="001B11C5">
      <w:pPr>
        <w:spacing w:line="240" w:lineRule="auto"/>
        <w:ind w:left="990"/>
        <w:rPr>
          <w:i/>
          <w:color w:val="000000"/>
          <w:sz w:val="24"/>
        </w:rPr>
      </w:pPr>
      <w:r w:rsidRPr="00012C17">
        <w:rPr>
          <w:i/>
          <w:color w:val="000000"/>
          <w:sz w:val="24"/>
        </w:rPr>
        <w:t>[…]</w:t>
      </w:r>
    </w:p>
    <w:p w:rsidR="00251753" w:rsidRPr="00012C17" w:rsidRDefault="00251753" w:rsidP="001B11C5">
      <w:pPr>
        <w:spacing w:line="240" w:lineRule="auto"/>
        <w:rPr>
          <w:i/>
          <w:color w:val="000000"/>
          <w:sz w:val="24"/>
        </w:rPr>
      </w:pPr>
    </w:p>
    <w:p w:rsidR="009B01B6" w:rsidRPr="00012C17" w:rsidRDefault="002C5943" w:rsidP="001B11C5">
      <w:pPr>
        <w:spacing w:line="240" w:lineRule="auto"/>
        <w:ind w:left="990"/>
        <w:rPr>
          <w:bCs/>
          <w:color w:val="000000"/>
          <w:sz w:val="24"/>
        </w:rPr>
      </w:pPr>
      <w:r w:rsidRPr="00012C17">
        <w:rPr>
          <w:i/>
          <w:color w:val="000000"/>
          <w:sz w:val="24"/>
        </w:rPr>
        <w:t xml:space="preserve">7. </w:t>
      </w:r>
      <w:r w:rsidR="007246B7" w:rsidRPr="00012C17">
        <w:rPr>
          <w:i/>
          <w:color w:val="000000"/>
          <w:sz w:val="24"/>
        </w:rPr>
        <w:t>Individuals are authorized to refer violations by public authorities of their individual rights and freedoms guaranteed by the Constitution, but only after exhaustion of all legal remedies provided by law</w:t>
      </w:r>
      <w:r w:rsidRPr="00012C17">
        <w:rPr>
          <w:color w:val="000000"/>
          <w:sz w:val="24"/>
        </w:rPr>
        <w:t>.</w:t>
      </w:r>
    </w:p>
    <w:p w:rsidR="009B01B6" w:rsidRPr="00012C17" w:rsidRDefault="009B01B6" w:rsidP="001B11C5">
      <w:pPr>
        <w:tabs>
          <w:tab w:val="left" w:pos="540"/>
        </w:tabs>
        <w:spacing w:line="240" w:lineRule="auto"/>
        <w:rPr>
          <w:i/>
          <w:color w:val="000000"/>
          <w:sz w:val="24"/>
        </w:rPr>
      </w:pPr>
    </w:p>
    <w:p w:rsidR="008A2E81" w:rsidRPr="00012C17" w:rsidRDefault="007246B7" w:rsidP="001B11C5">
      <w:pPr>
        <w:numPr>
          <w:ilvl w:val="0"/>
          <w:numId w:val="1"/>
        </w:numPr>
        <w:tabs>
          <w:tab w:val="left" w:pos="630"/>
        </w:tabs>
        <w:spacing w:line="240" w:lineRule="auto"/>
        <w:ind w:left="630" w:hanging="630"/>
        <w:rPr>
          <w:bCs/>
          <w:color w:val="000000"/>
          <w:sz w:val="24"/>
        </w:rPr>
      </w:pPr>
      <w:r w:rsidRPr="00012C17">
        <w:rPr>
          <w:bCs/>
          <w:color w:val="000000"/>
          <w:sz w:val="24"/>
        </w:rPr>
        <w:t>The Court also refers to paragraph 4 of Article 21 [General Principles] of the Constitution which stipulates</w:t>
      </w:r>
      <w:r w:rsidR="008A2E81" w:rsidRPr="00012C17">
        <w:rPr>
          <w:bCs/>
          <w:color w:val="000000"/>
          <w:sz w:val="24"/>
        </w:rPr>
        <w:t>:</w:t>
      </w:r>
    </w:p>
    <w:p w:rsidR="008A2E81" w:rsidRPr="00012C17" w:rsidRDefault="008A2E81" w:rsidP="001B11C5">
      <w:pPr>
        <w:tabs>
          <w:tab w:val="left" w:pos="630"/>
        </w:tabs>
        <w:spacing w:line="240" w:lineRule="auto"/>
        <w:rPr>
          <w:bCs/>
          <w:color w:val="000000"/>
          <w:sz w:val="24"/>
        </w:rPr>
      </w:pPr>
    </w:p>
    <w:p w:rsidR="00F24759" w:rsidRPr="00012C17" w:rsidRDefault="006E52F9" w:rsidP="001B11C5">
      <w:pPr>
        <w:tabs>
          <w:tab w:val="left" w:pos="990"/>
        </w:tabs>
        <w:spacing w:line="240" w:lineRule="auto"/>
        <w:ind w:left="990"/>
        <w:rPr>
          <w:bCs/>
          <w:i/>
          <w:color w:val="000000"/>
          <w:sz w:val="24"/>
        </w:rPr>
      </w:pPr>
      <w:r w:rsidRPr="00012C17">
        <w:rPr>
          <w:bCs/>
          <w:i/>
          <w:color w:val="000000"/>
          <w:sz w:val="24"/>
        </w:rPr>
        <w:t xml:space="preserve"> </w:t>
      </w:r>
      <w:r w:rsidR="008A2E81" w:rsidRPr="00012C17">
        <w:rPr>
          <w:bCs/>
          <w:i/>
          <w:color w:val="000000"/>
          <w:sz w:val="24"/>
        </w:rPr>
        <w:t xml:space="preserve">4. </w:t>
      </w:r>
      <w:r w:rsidR="007246B7" w:rsidRPr="00012C17">
        <w:rPr>
          <w:i/>
          <w:iCs/>
          <w:color w:val="000000"/>
          <w:sz w:val="24"/>
        </w:rPr>
        <w:t>Fundamental rights and freedoms set forth in the Constitution are also valid for legal persons to the extent applicable</w:t>
      </w:r>
      <w:r w:rsidR="008A2E81" w:rsidRPr="00012C17">
        <w:rPr>
          <w:bCs/>
          <w:i/>
          <w:color w:val="000000"/>
          <w:sz w:val="24"/>
        </w:rPr>
        <w:t>.</w:t>
      </w:r>
    </w:p>
    <w:p w:rsidR="00A23027" w:rsidRPr="00012C17" w:rsidRDefault="00A23027" w:rsidP="001B11C5">
      <w:pPr>
        <w:tabs>
          <w:tab w:val="left" w:pos="630"/>
        </w:tabs>
        <w:spacing w:line="240" w:lineRule="auto"/>
        <w:ind w:left="990" w:hanging="990"/>
        <w:rPr>
          <w:bCs/>
          <w:i/>
          <w:color w:val="000000"/>
          <w:sz w:val="24"/>
        </w:rPr>
      </w:pPr>
    </w:p>
    <w:p w:rsidR="00A23027" w:rsidRPr="00012C17" w:rsidRDefault="007246B7" w:rsidP="001B11C5">
      <w:pPr>
        <w:numPr>
          <w:ilvl w:val="0"/>
          <w:numId w:val="1"/>
        </w:numPr>
        <w:tabs>
          <w:tab w:val="left" w:pos="630"/>
        </w:tabs>
        <w:spacing w:line="240" w:lineRule="auto"/>
        <w:ind w:left="630" w:hanging="630"/>
        <w:rPr>
          <w:bCs/>
          <w:color w:val="000000"/>
          <w:sz w:val="24"/>
        </w:rPr>
      </w:pPr>
      <w:r w:rsidRPr="00012C17">
        <w:rPr>
          <w:bCs/>
          <w:color w:val="000000"/>
          <w:sz w:val="24"/>
        </w:rPr>
        <w:t>Finally, the Court also refers to paragraph (a) of paragraph (1) of Rule 39 [Admissibility Criteria], of the Rules of Procedure which establishes</w:t>
      </w:r>
      <w:r w:rsidR="00A23027" w:rsidRPr="00012C17">
        <w:rPr>
          <w:bCs/>
          <w:color w:val="000000"/>
          <w:sz w:val="24"/>
        </w:rPr>
        <w:t>:</w:t>
      </w:r>
    </w:p>
    <w:p w:rsidR="00A23027" w:rsidRPr="00012C17" w:rsidRDefault="00A23027" w:rsidP="001B11C5">
      <w:pPr>
        <w:tabs>
          <w:tab w:val="left" w:pos="630"/>
        </w:tabs>
        <w:spacing w:line="240" w:lineRule="auto"/>
        <w:ind w:left="990" w:hanging="990"/>
        <w:rPr>
          <w:bCs/>
          <w:i/>
          <w:color w:val="000000"/>
          <w:sz w:val="24"/>
        </w:rPr>
      </w:pPr>
    </w:p>
    <w:p w:rsidR="008B3320" w:rsidRPr="00012C17" w:rsidRDefault="00A23027" w:rsidP="001B11C5">
      <w:pPr>
        <w:spacing w:line="240" w:lineRule="auto"/>
        <w:ind w:left="990"/>
        <w:rPr>
          <w:bCs/>
          <w:i/>
          <w:color w:val="000000"/>
          <w:sz w:val="24"/>
        </w:rPr>
      </w:pPr>
      <w:r w:rsidRPr="00012C17">
        <w:rPr>
          <w:bCs/>
          <w:i/>
          <w:color w:val="000000"/>
          <w:sz w:val="24"/>
        </w:rPr>
        <w:t xml:space="preserve">(1) </w:t>
      </w:r>
      <w:r w:rsidR="007246B7" w:rsidRPr="00012C17">
        <w:rPr>
          <w:i/>
          <w:color w:val="000000"/>
          <w:sz w:val="24"/>
        </w:rPr>
        <w:t>The Court may consider a referral as admissible if</w:t>
      </w:r>
      <w:r w:rsidRPr="00012C17">
        <w:rPr>
          <w:bCs/>
          <w:i/>
          <w:color w:val="000000"/>
          <w:sz w:val="24"/>
        </w:rPr>
        <w:t>:</w:t>
      </w:r>
    </w:p>
    <w:p w:rsidR="008B3320" w:rsidRPr="00012C17" w:rsidRDefault="00A23027" w:rsidP="001B11C5">
      <w:pPr>
        <w:spacing w:line="240" w:lineRule="auto"/>
        <w:ind w:left="990"/>
        <w:rPr>
          <w:bCs/>
          <w:i/>
          <w:color w:val="000000"/>
          <w:sz w:val="24"/>
        </w:rPr>
      </w:pPr>
      <w:r w:rsidRPr="00012C17">
        <w:rPr>
          <w:bCs/>
          <w:i/>
          <w:color w:val="000000"/>
          <w:sz w:val="24"/>
        </w:rPr>
        <w:t xml:space="preserve">(a) </w:t>
      </w:r>
      <w:r w:rsidR="007246B7" w:rsidRPr="00012C17">
        <w:rPr>
          <w:i/>
          <w:color w:val="000000"/>
          <w:sz w:val="24"/>
        </w:rPr>
        <w:t>the referral is filed by an authorized party</w:t>
      </w:r>
      <w:r w:rsidR="00043C48" w:rsidRPr="00012C17">
        <w:rPr>
          <w:bCs/>
          <w:i/>
          <w:color w:val="000000"/>
          <w:sz w:val="24"/>
        </w:rPr>
        <w:t>,</w:t>
      </w:r>
    </w:p>
    <w:p w:rsidR="00A32A3B" w:rsidRPr="00012C17" w:rsidRDefault="00A32A3B" w:rsidP="001B11C5">
      <w:pPr>
        <w:tabs>
          <w:tab w:val="left" w:pos="630"/>
        </w:tabs>
        <w:spacing w:line="240" w:lineRule="auto"/>
        <w:ind w:left="990" w:hanging="990"/>
        <w:rPr>
          <w:bCs/>
          <w:color w:val="000000"/>
          <w:sz w:val="24"/>
        </w:rPr>
      </w:pPr>
    </w:p>
    <w:p w:rsidR="003A3840"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i/>
          <w:color w:val="000000"/>
          <w:sz w:val="24"/>
          <w:szCs w:val="24"/>
          <w:lang w:val="en-US"/>
        </w:rPr>
      </w:pPr>
      <w:r w:rsidRPr="00012C17">
        <w:rPr>
          <w:rFonts w:ascii="Georgia" w:hAnsi="Georgia"/>
          <w:bCs/>
          <w:color w:val="000000"/>
          <w:sz w:val="24"/>
          <w:szCs w:val="24"/>
          <w:lang w:val="en-US"/>
        </w:rPr>
        <w:t xml:space="preserve">As to the fulfillment of these </w:t>
      </w:r>
      <w:r w:rsidR="007246B7" w:rsidRPr="00012C17">
        <w:rPr>
          <w:rFonts w:ascii="Georgia" w:hAnsi="Georgia"/>
          <w:bCs/>
          <w:color w:val="000000"/>
          <w:sz w:val="24"/>
          <w:szCs w:val="24"/>
          <w:lang w:val="en-US"/>
        </w:rPr>
        <w:t>requirements</w:t>
      </w:r>
      <w:r w:rsidRPr="00012C17">
        <w:rPr>
          <w:rFonts w:ascii="Georgia" w:hAnsi="Georgia"/>
          <w:bCs/>
          <w:color w:val="000000"/>
          <w:sz w:val="24"/>
          <w:szCs w:val="24"/>
          <w:lang w:val="en-US"/>
        </w:rPr>
        <w:t xml:space="preserve">, the Court first </w:t>
      </w:r>
      <w:r w:rsidR="007246B7" w:rsidRPr="00012C17">
        <w:rPr>
          <w:rFonts w:ascii="Georgia" w:hAnsi="Georgia"/>
          <w:bCs/>
          <w:color w:val="000000"/>
          <w:sz w:val="24"/>
          <w:szCs w:val="24"/>
          <w:lang w:val="en-US"/>
        </w:rPr>
        <w:t xml:space="preserve">notes </w:t>
      </w:r>
      <w:r w:rsidRPr="00012C17">
        <w:rPr>
          <w:rFonts w:ascii="Georgia" w:hAnsi="Georgia"/>
          <w:bCs/>
          <w:color w:val="000000"/>
          <w:sz w:val="24"/>
          <w:szCs w:val="24"/>
          <w:lang w:val="en-US"/>
        </w:rPr>
        <w:t xml:space="preserve">that in the present case there are two Applicants and each of them should be legitimated as an authorized party </w:t>
      </w:r>
      <w:r w:rsidR="007246B7" w:rsidRPr="00012C17">
        <w:rPr>
          <w:rFonts w:ascii="Georgia" w:hAnsi="Georgia"/>
          <w:bCs/>
          <w:color w:val="000000"/>
          <w:sz w:val="24"/>
          <w:szCs w:val="24"/>
          <w:lang w:val="en-US"/>
        </w:rPr>
        <w:t>based on</w:t>
      </w:r>
      <w:r w:rsidRPr="00012C17">
        <w:rPr>
          <w:rFonts w:ascii="Georgia" w:hAnsi="Georgia"/>
          <w:bCs/>
          <w:color w:val="000000"/>
          <w:sz w:val="24"/>
          <w:szCs w:val="24"/>
          <w:lang w:val="en-US"/>
        </w:rPr>
        <w:t xml:space="preserve"> the relevant provisions cited above, as a precondition to review this </w:t>
      </w:r>
      <w:r w:rsidR="007246B7" w:rsidRPr="00012C17">
        <w:rPr>
          <w:rFonts w:ascii="Georgia" w:hAnsi="Georgia"/>
          <w:bCs/>
          <w:color w:val="000000"/>
          <w:sz w:val="24"/>
          <w:szCs w:val="24"/>
          <w:lang w:val="en-US"/>
        </w:rPr>
        <w:t>Referral</w:t>
      </w:r>
      <w:r w:rsidRPr="00012C17">
        <w:rPr>
          <w:rFonts w:ascii="Georgia" w:hAnsi="Georgia"/>
          <w:bCs/>
          <w:color w:val="000000"/>
          <w:sz w:val="24"/>
          <w:szCs w:val="24"/>
          <w:lang w:val="en-US"/>
        </w:rPr>
        <w:t xml:space="preserve">. As to the first Applicant, </w:t>
      </w:r>
      <w:r w:rsidR="007246B7" w:rsidRPr="00012C17">
        <w:rPr>
          <w:rFonts w:ascii="Georgia" w:hAnsi="Georgia"/>
          <w:bCs/>
          <w:color w:val="000000"/>
          <w:sz w:val="24"/>
          <w:szCs w:val="24"/>
          <w:lang w:val="en-US"/>
        </w:rPr>
        <w:t>namely</w:t>
      </w:r>
      <w:r w:rsidRPr="00012C17">
        <w:rPr>
          <w:rFonts w:ascii="Georgia" w:hAnsi="Georgia"/>
          <w:bCs/>
          <w:color w:val="000000"/>
          <w:sz w:val="24"/>
          <w:szCs w:val="24"/>
          <w:lang w:val="en-US"/>
        </w:rPr>
        <w:t xml:space="preserve"> Mr. Arban Abrashi, the Court notes that he, in </w:t>
      </w:r>
      <w:r w:rsidR="007246B7" w:rsidRPr="00012C17">
        <w:rPr>
          <w:rFonts w:ascii="Georgia" w:hAnsi="Georgia"/>
          <w:bCs/>
          <w:color w:val="000000"/>
          <w:sz w:val="24"/>
          <w:szCs w:val="24"/>
          <w:lang w:val="en-US"/>
        </w:rPr>
        <w:t>a</w:t>
      </w:r>
      <w:r w:rsidRPr="00012C17">
        <w:rPr>
          <w:rFonts w:ascii="Georgia" w:hAnsi="Georgia"/>
          <w:bCs/>
          <w:color w:val="000000"/>
          <w:sz w:val="24"/>
          <w:szCs w:val="24"/>
          <w:lang w:val="en-US"/>
        </w:rPr>
        <w:t xml:space="preserve"> capacity </w:t>
      </w:r>
      <w:r w:rsidR="007246B7" w:rsidRPr="00012C17">
        <w:rPr>
          <w:rFonts w:ascii="Georgia" w:hAnsi="Georgia"/>
          <w:bCs/>
          <w:color w:val="000000"/>
          <w:sz w:val="24"/>
          <w:szCs w:val="24"/>
          <w:lang w:val="en-US"/>
        </w:rPr>
        <w:t>of</w:t>
      </w:r>
      <w:r w:rsidRPr="00012C17">
        <w:rPr>
          <w:rFonts w:ascii="Georgia" w:hAnsi="Georgia"/>
          <w:bCs/>
          <w:color w:val="000000"/>
          <w:sz w:val="24"/>
          <w:szCs w:val="24"/>
          <w:lang w:val="en-US"/>
        </w:rPr>
        <w:t xml:space="preserve"> an individual, </w:t>
      </w:r>
      <w:r w:rsidR="00AA5EB5" w:rsidRPr="00012C17">
        <w:rPr>
          <w:rFonts w:ascii="Georgia" w:hAnsi="Georgia"/>
          <w:bCs/>
          <w:color w:val="000000"/>
          <w:sz w:val="24"/>
          <w:szCs w:val="24"/>
          <w:lang w:val="en-US"/>
        </w:rPr>
        <w:t>respectively as</w:t>
      </w:r>
      <w:r w:rsidRPr="00012C17">
        <w:rPr>
          <w:rFonts w:ascii="Georgia" w:hAnsi="Georgia"/>
          <w:bCs/>
          <w:color w:val="000000"/>
          <w:sz w:val="24"/>
          <w:szCs w:val="24"/>
          <w:lang w:val="en-US"/>
        </w:rPr>
        <w:t xml:space="preserve"> a natural person, </w:t>
      </w:r>
      <w:r w:rsidR="00FA36B1" w:rsidRPr="00012C17">
        <w:rPr>
          <w:rFonts w:ascii="Georgia" w:hAnsi="Georgia"/>
          <w:bCs/>
          <w:color w:val="000000"/>
          <w:sz w:val="24"/>
          <w:szCs w:val="24"/>
          <w:lang w:val="en-US"/>
        </w:rPr>
        <w:t xml:space="preserve">he </w:t>
      </w:r>
      <w:r w:rsidRPr="00012C17">
        <w:rPr>
          <w:rFonts w:ascii="Georgia" w:hAnsi="Georgia"/>
          <w:bCs/>
          <w:color w:val="000000"/>
          <w:sz w:val="24"/>
          <w:szCs w:val="24"/>
          <w:lang w:val="en-US"/>
        </w:rPr>
        <w:t>is a</w:t>
      </w:r>
      <w:r w:rsidR="00AA5EB5" w:rsidRPr="00012C17">
        <w:rPr>
          <w:rFonts w:ascii="Georgia" w:hAnsi="Georgia"/>
          <w:bCs/>
          <w:color w:val="000000"/>
          <w:sz w:val="24"/>
          <w:szCs w:val="24"/>
          <w:lang w:val="en-US"/>
        </w:rPr>
        <w:t>n</w:t>
      </w:r>
      <w:r w:rsidRPr="00012C17">
        <w:rPr>
          <w:rFonts w:ascii="Georgia" w:hAnsi="Georgia"/>
          <w:bCs/>
          <w:color w:val="000000"/>
          <w:sz w:val="24"/>
          <w:szCs w:val="24"/>
          <w:lang w:val="en-US"/>
        </w:rPr>
        <w:t xml:space="preserve"> authorized </w:t>
      </w:r>
      <w:r w:rsidR="00AA5EB5" w:rsidRPr="00012C17">
        <w:rPr>
          <w:rFonts w:ascii="Georgia" w:hAnsi="Georgia"/>
          <w:bCs/>
          <w:color w:val="000000"/>
          <w:sz w:val="24"/>
          <w:szCs w:val="24"/>
          <w:lang w:val="en-US"/>
        </w:rPr>
        <w:t xml:space="preserve">party </w:t>
      </w:r>
      <w:r w:rsidRPr="00012C17">
        <w:rPr>
          <w:rFonts w:ascii="Georgia" w:hAnsi="Georgia"/>
          <w:bCs/>
          <w:color w:val="000000"/>
          <w:sz w:val="24"/>
          <w:szCs w:val="24"/>
          <w:lang w:val="en-US"/>
        </w:rPr>
        <w:t xml:space="preserve">to </w:t>
      </w:r>
      <w:r w:rsidR="007246B7" w:rsidRPr="00012C17">
        <w:rPr>
          <w:rFonts w:ascii="Georgia" w:hAnsi="Georgia"/>
          <w:bCs/>
          <w:color w:val="000000"/>
          <w:sz w:val="24"/>
          <w:szCs w:val="24"/>
          <w:lang w:val="en-US"/>
        </w:rPr>
        <w:t>file</w:t>
      </w:r>
      <w:r w:rsidRPr="00012C17">
        <w:rPr>
          <w:rFonts w:ascii="Georgia" w:hAnsi="Georgia"/>
          <w:bCs/>
          <w:color w:val="000000"/>
          <w:sz w:val="24"/>
          <w:szCs w:val="24"/>
          <w:lang w:val="en-US"/>
        </w:rPr>
        <w:t xml:space="preserve"> a constitutional complaint with the Court</w:t>
      </w:r>
      <w:r w:rsidR="00AA5EB5"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w:t>
      </w:r>
      <w:r w:rsidR="007246B7" w:rsidRPr="00012C17">
        <w:rPr>
          <w:rFonts w:ascii="Georgia" w:hAnsi="Georgia"/>
          <w:bCs/>
          <w:color w:val="000000"/>
          <w:sz w:val="24"/>
          <w:szCs w:val="24"/>
          <w:lang w:val="en-US"/>
        </w:rPr>
        <w:t>(</w:t>
      </w:r>
      <w:r w:rsidR="00AA5EB5" w:rsidRPr="00012C17">
        <w:rPr>
          <w:rFonts w:ascii="Georgia" w:hAnsi="Georgia"/>
          <w:bCs/>
          <w:color w:val="000000"/>
          <w:sz w:val="24"/>
          <w:szCs w:val="24"/>
          <w:lang w:val="en-US"/>
        </w:rPr>
        <w:t>S</w:t>
      </w:r>
      <w:r w:rsidR="007246B7" w:rsidRPr="00012C17">
        <w:rPr>
          <w:rFonts w:ascii="Georgia" w:hAnsi="Georgia"/>
          <w:bCs/>
          <w:color w:val="000000"/>
          <w:sz w:val="24"/>
          <w:szCs w:val="24"/>
          <w:lang w:val="en-US"/>
        </w:rPr>
        <w:t>ee Constitutional Court: KI73/</w:t>
      </w:r>
      <w:r w:rsidRPr="00012C17">
        <w:rPr>
          <w:rFonts w:ascii="Georgia" w:hAnsi="Georgia"/>
          <w:bCs/>
          <w:color w:val="000000"/>
          <w:sz w:val="24"/>
          <w:szCs w:val="24"/>
          <w:lang w:val="en-US"/>
        </w:rPr>
        <w:t>09 Applicant</w:t>
      </w:r>
      <w:r w:rsidR="007246B7"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w:t>
      </w:r>
      <w:r w:rsidRPr="00012C17">
        <w:rPr>
          <w:rFonts w:ascii="Georgia" w:hAnsi="Georgia"/>
          <w:bCs/>
          <w:i/>
          <w:iCs/>
          <w:color w:val="000000"/>
          <w:sz w:val="24"/>
          <w:szCs w:val="24"/>
          <w:lang w:val="en-US"/>
        </w:rPr>
        <w:t>Mimoza Kusari-Lila</w:t>
      </w:r>
      <w:r w:rsidRPr="00012C17">
        <w:rPr>
          <w:rFonts w:ascii="Georgia" w:hAnsi="Georgia"/>
          <w:bCs/>
          <w:color w:val="000000"/>
          <w:sz w:val="24"/>
          <w:szCs w:val="24"/>
          <w:lang w:val="en-US"/>
        </w:rPr>
        <w:t xml:space="preserve">, </w:t>
      </w:r>
      <w:r w:rsidR="007246B7" w:rsidRPr="00012C17">
        <w:rPr>
          <w:rFonts w:ascii="Georgia" w:hAnsi="Georgia"/>
          <w:bCs/>
          <w:color w:val="000000"/>
          <w:sz w:val="24"/>
          <w:szCs w:val="24"/>
          <w:lang w:val="en-US"/>
        </w:rPr>
        <w:t>Resolution of 19 February 2010; KI152/</w:t>
      </w:r>
      <w:r w:rsidRPr="00012C17">
        <w:rPr>
          <w:rFonts w:ascii="Georgia" w:hAnsi="Georgia"/>
          <w:bCs/>
          <w:color w:val="000000"/>
          <w:sz w:val="24"/>
          <w:szCs w:val="24"/>
          <w:lang w:val="en-US"/>
        </w:rPr>
        <w:t>18 Applicant</w:t>
      </w:r>
      <w:r w:rsidR="007246B7"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w:t>
      </w:r>
      <w:r w:rsidRPr="00012C17">
        <w:rPr>
          <w:rFonts w:ascii="Georgia" w:hAnsi="Georgia"/>
          <w:bCs/>
          <w:i/>
          <w:iCs/>
          <w:color w:val="000000"/>
          <w:sz w:val="24"/>
          <w:szCs w:val="24"/>
          <w:lang w:val="en-US"/>
        </w:rPr>
        <w:t>Shaqir Totaj</w:t>
      </w:r>
      <w:r w:rsidRPr="00012C17">
        <w:rPr>
          <w:rFonts w:ascii="Georgia" w:hAnsi="Georgia"/>
          <w:bCs/>
          <w:color w:val="000000"/>
          <w:sz w:val="24"/>
          <w:szCs w:val="24"/>
          <w:lang w:val="en-US"/>
        </w:rPr>
        <w:t>, Resolution on Inadmissib</w:t>
      </w:r>
      <w:r w:rsidR="007246B7" w:rsidRPr="00012C17">
        <w:rPr>
          <w:rFonts w:ascii="Georgia" w:hAnsi="Georgia"/>
          <w:bCs/>
          <w:color w:val="000000"/>
          <w:sz w:val="24"/>
          <w:szCs w:val="24"/>
          <w:lang w:val="en-US"/>
        </w:rPr>
        <w:t>ility of 17 January 2018; KI157/</w:t>
      </w:r>
      <w:r w:rsidRPr="00012C17">
        <w:rPr>
          <w:rFonts w:ascii="Georgia" w:hAnsi="Georgia"/>
          <w:bCs/>
          <w:color w:val="000000"/>
          <w:sz w:val="24"/>
          <w:szCs w:val="24"/>
          <w:lang w:val="en-US"/>
        </w:rPr>
        <w:t>17 Applicant</w:t>
      </w:r>
      <w:r w:rsidR="007246B7"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w:t>
      </w:r>
      <w:r w:rsidRPr="00012C17">
        <w:rPr>
          <w:rFonts w:ascii="Georgia" w:hAnsi="Georgia"/>
          <w:bCs/>
          <w:i/>
          <w:iCs/>
          <w:color w:val="000000"/>
          <w:sz w:val="24"/>
          <w:szCs w:val="24"/>
          <w:lang w:val="en-US"/>
        </w:rPr>
        <w:t>Shaip</w:t>
      </w:r>
      <w:r w:rsidR="007246B7" w:rsidRPr="00012C17">
        <w:rPr>
          <w:rFonts w:ascii="Georgia" w:hAnsi="Georgia"/>
          <w:bCs/>
          <w:i/>
          <w:iCs/>
          <w:color w:val="000000"/>
          <w:sz w:val="24"/>
          <w:szCs w:val="24"/>
          <w:lang w:val="en-US"/>
        </w:rPr>
        <w:t xml:space="preserve"> </w:t>
      </w:r>
      <w:r w:rsidRPr="00012C17">
        <w:rPr>
          <w:rFonts w:ascii="Georgia" w:hAnsi="Georgia"/>
          <w:bCs/>
          <w:i/>
          <w:iCs/>
          <w:color w:val="000000"/>
          <w:sz w:val="24"/>
          <w:szCs w:val="24"/>
          <w:lang w:val="en-US"/>
        </w:rPr>
        <w:t>Surdulli</w:t>
      </w:r>
      <w:r w:rsidRPr="00012C17">
        <w:rPr>
          <w:rFonts w:ascii="Georgia" w:hAnsi="Georgia"/>
          <w:bCs/>
          <w:color w:val="000000"/>
          <w:sz w:val="24"/>
          <w:szCs w:val="24"/>
          <w:lang w:val="en-US"/>
        </w:rPr>
        <w:t xml:space="preserve">, </w:t>
      </w:r>
      <w:r w:rsidR="007246B7" w:rsidRPr="00012C17">
        <w:rPr>
          <w:rFonts w:ascii="Georgia" w:hAnsi="Georgia"/>
          <w:bCs/>
          <w:color w:val="000000"/>
          <w:sz w:val="24"/>
          <w:szCs w:val="24"/>
          <w:lang w:val="en-US"/>
        </w:rPr>
        <w:t xml:space="preserve">Resolution </w:t>
      </w:r>
      <w:r w:rsidRPr="00012C17">
        <w:rPr>
          <w:rFonts w:ascii="Georgia" w:hAnsi="Georgia"/>
          <w:bCs/>
          <w:color w:val="000000"/>
          <w:sz w:val="24"/>
          <w:szCs w:val="24"/>
          <w:lang w:val="en-US"/>
        </w:rPr>
        <w:t xml:space="preserve">on Inadmissibility of 15 May 2018). As to the second </w:t>
      </w:r>
      <w:r w:rsidR="007246B7" w:rsidRPr="00012C17">
        <w:rPr>
          <w:rFonts w:ascii="Georgia" w:hAnsi="Georgia"/>
          <w:bCs/>
          <w:color w:val="000000"/>
          <w:sz w:val="24"/>
          <w:szCs w:val="24"/>
          <w:lang w:val="en-US"/>
        </w:rPr>
        <w:t>A</w:t>
      </w:r>
      <w:r w:rsidRPr="00012C17">
        <w:rPr>
          <w:rFonts w:ascii="Georgia" w:hAnsi="Georgia"/>
          <w:bCs/>
          <w:color w:val="000000"/>
          <w:sz w:val="24"/>
          <w:szCs w:val="24"/>
          <w:lang w:val="en-US"/>
        </w:rPr>
        <w:t xml:space="preserve">pplicant, namely the political </w:t>
      </w:r>
      <w:r w:rsidR="007246B7" w:rsidRPr="00012C17">
        <w:rPr>
          <w:rFonts w:ascii="Georgia" w:hAnsi="Georgia"/>
          <w:bCs/>
          <w:color w:val="000000"/>
          <w:sz w:val="24"/>
          <w:szCs w:val="24"/>
          <w:lang w:val="en-US"/>
        </w:rPr>
        <w:t>entity</w:t>
      </w:r>
      <w:r w:rsidRPr="00012C17">
        <w:rPr>
          <w:rFonts w:ascii="Georgia" w:hAnsi="Georgia"/>
          <w:bCs/>
          <w:color w:val="000000"/>
          <w:sz w:val="24"/>
          <w:szCs w:val="24"/>
          <w:lang w:val="en-US"/>
        </w:rPr>
        <w:t xml:space="preserve"> LDK, the Court </w:t>
      </w:r>
      <w:r w:rsidR="007246B7" w:rsidRPr="00012C17">
        <w:rPr>
          <w:rFonts w:ascii="Georgia" w:hAnsi="Georgia"/>
          <w:bCs/>
          <w:color w:val="000000"/>
          <w:sz w:val="24"/>
          <w:szCs w:val="24"/>
          <w:lang w:val="en-US"/>
        </w:rPr>
        <w:t>notes</w:t>
      </w:r>
      <w:r w:rsidRPr="00012C17">
        <w:rPr>
          <w:rFonts w:ascii="Georgia" w:hAnsi="Georgia"/>
          <w:bCs/>
          <w:color w:val="000000"/>
          <w:sz w:val="24"/>
          <w:szCs w:val="24"/>
          <w:lang w:val="en-US"/>
        </w:rPr>
        <w:t xml:space="preserve"> that </w:t>
      </w:r>
      <w:r w:rsidR="007246B7" w:rsidRPr="00012C17">
        <w:rPr>
          <w:rFonts w:ascii="Georgia" w:hAnsi="Georgia"/>
          <w:bCs/>
          <w:color w:val="000000"/>
          <w:sz w:val="24"/>
          <w:szCs w:val="24"/>
          <w:lang w:val="en-US"/>
        </w:rPr>
        <w:t>in accordance with</w:t>
      </w:r>
      <w:r w:rsidRPr="00012C17">
        <w:rPr>
          <w:rFonts w:ascii="Georgia" w:hAnsi="Georgia"/>
          <w:bCs/>
          <w:color w:val="000000"/>
          <w:sz w:val="24"/>
          <w:szCs w:val="24"/>
          <w:lang w:val="en-US"/>
        </w:rPr>
        <w:t xml:space="preserve"> paragraph 4 of Article 21 of the Constitution, the second Applicant </w:t>
      </w:r>
      <w:r w:rsidR="007246B7" w:rsidRPr="00012C17">
        <w:rPr>
          <w:rFonts w:ascii="Georgia" w:hAnsi="Georgia"/>
          <w:bCs/>
          <w:color w:val="000000"/>
          <w:sz w:val="24"/>
          <w:szCs w:val="24"/>
          <w:lang w:val="en-US"/>
        </w:rPr>
        <w:t xml:space="preserve">also </w:t>
      </w:r>
      <w:r w:rsidRPr="00012C17">
        <w:rPr>
          <w:rFonts w:ascii="Georgia" w:hAnsi="Georgia"/>
          <w:bCs/>
          <w:color w:val="000000"/>
          <w:sz w:val="24"/>
          <w:szCs w:val="24"/>
          <w:lang w:val="en-US"/>
        </w:rPr>
        <w:t xml:space="preserve">has the </w:t>
      </w:r>
      <w:r w:rsidRPr="00012C17">
        <w:rPr>
          <w:rFonts w:ascii="Georgia" w:hAnsi="Georgia"/>
          <w:bCs/>
          <w:color w:val="000000"/>
          <w:sz w:val="24"/>
          <w:szCs w:val="24"/>
          <w:lang w:val="en-US"/>
        </w:rPr>
        <w:lastRenderedPageBreak/>
        <w:t>right to submit a constitutional complaint, invoking the constitutional rights that apply to legal entities, to the extent applicable. (See</w:t>
      </w:r>
      <w:r w:rsidR="001363DB" w:rsidRPr="00012C17">
        <w:rPr>
          <w:rFonts w:ascii="Georgia" w:hAnsi="Georgia"/>
          <w:bCs/>
          <w:color w:val="000000"/>
          <w:sz w:val="24"/>
          <w:szCs w:val="24"/>
          <w:lang w:val="en-US"/>
        </w:rPr>
        <w:t xml:space="preserve"> case of the Constitutional Court</w:t>
      </w:r>
      <w:r w:rsidR="00AA5EB5" w:rsidRPr="00012C17">
        <w:rPr>
          <w:rFonts w:ascii="Georgia" w:hAnsi="Georgia"/>
          <w:bCs/>
          <w:color w:val="000000"/>
          <w:sz w:val="24"/>
          <w:szCs w:val="24"/>
          <w:lang w:val="en-US"/>
        </w:rPr>
        <w:t>,</w:t>
      </w:r>
      <w:r w:rsidR="001363DB" w:rsidRPr="00012C17">
        <w:rPr>
          <w:rFonts w:ascii="Georgia" w:hAnsi="Georgia"/>
          <w:bCs/>
          <w:color w:val="000000"/>
          <w:sz w:val="24"/>
          <w:szCs w:val="24"/>
          <w:lang w:val="en-US"/>
        </w:rPr>
        <w:t xml:space="preserve"> KI41/09</w:t>
      </w:r>
      <w:r w:rsidRPr="00012C17">
        <w:rPr>
          <w:rFonts w:ascii="Georgia" w:hAnsi="Georgia"/>
          <w:bCs/>
          <w:color w:val="000000"/>
          <w:sz w:val="24"/>
          <w:szCs w:val="24"/>
          <w:lang w:val="en-US"/>
        </w:rPr>
        <w:t xml:space="preserve"> </w:t>
      </w:r>
      <w:r w:rsidRPr="00012C17">
        <w:rPr>
          <w:rFonts w:ascii="Georgia" w:hAnsi="Georgia"/>
          <w:bCs/>
          <w:i/>
          <w:iCs/>
          <w:color w:val="000000"/>
          <w:sz w:val="24"/>
          <w:szCs w:val="24"/>
          <w:lang w:val="en-US"/>
        </w:rPr>
        <w:t>AAB-RIINVEST University LLC</w:t>
      </w:r>
      <w:r w:rsidR="007246B7" w:rsidRPr="00012C17">
        <w:rPr>
          <w:rFonts w:ascii="Georgia" w:hAnsi="Georgia"/>
          <w:bCs/>
          <w:color w:val="000000"/>
          <w:sz w:val="24"/>
          <w:szCs w:val="24"/>
          <w:lang w:val="en-US"/>
        </w:rPr>
        <w:t xml:space="preserve">, </w:t>
      </w:r>
      <w:r w:rsidR="001363DB" w:rsidRPr="00012C17">
        <w:rPr>
          <w:rFonts w:ascii="Georgia" w:hAnsi="Georgia"/>
          <w:bCs/>
          <w:color w:val="000000"/>
          <w:sz w:val="24"/>
          <w:szCs w:val="24"/>
          <w:lang w:val="en-US"/>
        </w:rPr>
        <w:t xml:space="preserve">Resolution on Inadmissibility </w:t>
      </w:r>
      <w:r w:rsidRPr="00012C17">
        <w:rPr>
          <w:rFonts w:ascii="Georgia" w:hAnsi="Georgia"/>
          <w:bCs/>
          <w:color w:val="000000"/>
          <w:sz w:val="24"/>
          <w:szCs w:val="24"/>
          <w:lang w:val="en-US"/>
        </w:rPr>
        <w:t>of 21 January 2010; see also</w:t>
      </w:r>
      <w:r w:rsidR="00A30E13"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case of ECtHR, </w:t>
      </w:r>
      <w:r w:rsidRPr="00012C17">
        <w:rPr>
          <w:rFonts w:ascii="Georgia" w:hAnsi="Georgia"/>
          <w:bCs/>
          <w:i/>
          <w:iCs/>
          <w:color w:val="000000"/>
          <w:sz w:val="24"/>
          <w:szCs w:val="24"/>
          <w:lang w:val="en-US"/>
        </w:rPr>
        <w:t>Party for a Democratic Society and Others v. Turkey</w:t>
      </w:r>
      <w:r w:rsidRPr="00012C17">
        <w:rPr>
          <w:rFonts w:ascii="Georgia" w:hAnsi="Georgia"/>
          <w:bCs/>
          <w:color w:val="000000"/>
          <w:sz w:val="24"/>
          <w:szCs w:val="24"/>
          <w:lang w:val="en-US"/>
        </w:rPr>
        <w:t xml:space="preserve">, </w:t>
      </w:r>
      <w:r w:rsidR="00A30E13" w:rsidRPr="00012C17">
        <w:rPr>
          <w:rFonts w:ascii="Georgia" w:hAnsi="Georgia"/>
          <w:bCs/>
          <w:color w:val="000000"/>
          <w:sz w:val="24"/>
          <w:szCs w:val="24"/>
          <w:lang w:val="en-US"/>
        </w:rPr>
        <w:t>No. 3840/</w:t>
      </w:r>
      <w:r w:rsidRPr="00012C17">
        <w:rPr>
          <w:rFonts w:ascii="Georgia" w:hAnsi="Georgia"/>
          <w:bCs/>
          <w:color w:val="000000"/>
          <w:sz w:val="24"/>
          <w:szCs w:val="24"/>
          <w:lang w:val="en-US"/>
        </w:rPr>
        <w:t>10, Judgment of 12 January</w:t>
      </w:r>
      <w:r w:rsidR="007450AD" w:rsidRPr="00012C17">
        <w:rPr>
          <w:rFonts w:ascii="Georgia" w:hAnsi="Georgia"/>
          <w:bCs/>
          <w:color w:val="000000"/>
          <w:sz w:val="24"/>
          <w:szCs w:val="24"/>
          <w:lang w:val="en-US"/>
        </w:rPr>
        <w:t xml:space="preserve"> 2016</w:t>
      </w:r>
      <w:r w:rsidR="00C53C7D" w:rsidRPr="00012C17">
        <w:rPr>
          <w:rFonts w:ascii="Georgia" w:hAnsi="Georgia"/>
          <w:bCs/>
          <w:color w:val="000000"/>
          <w:sz w:val="24"/>
          <w:szCs w:val="24"/>
          <w:lang w:val="en-US"/>
        </w:rPr>
        <w:t xml:space="preserve">). </w:t>
      </w:r>
    </w:p>
    <w:p w:rsidR="00D72BE7" w:rsidRPr="00012C17" w:rsidRDefault="00D72BE7" w:rsidP="001B11C5">
      <w:pPr>
        <w:pStyle w:val="ListParagraph"/>
        <w:tabs>
          <w:tab w:val="left" w:pos="630"/>
        </w:tabs>
        <w:spacing w:after="0" w:line="240" w:lineRule="auto"/>
        <w:jc w:val="both"/>
        <w:rPr>
          <w:rFonts w:ascii="Georgia" w:hAnsi="Georgia"/>
          <w:bCs/>
          <w:i/>
          <w:color w:val="000000"/>
          <w:sz w:val="24"/>
          <w:szCs w:val="24"/>
          <w:lang w:val="en-US"/>
        </w:rPr>
      </w:pPr>
    </w:p>
    <w:p w:rsidR="00D72BE7"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i/>
          <w:color w:val="000000"/>
          <w:sz w:val="24"/>
          <w:szCs w:val="24"/>
          <w:lang w:val="en-US"/>
        </w:rPr>
      </w:pPr>
      <w:r w:rsidRPr="00012C17">
        <w:rPr>
          <w:rFonts w:ascii="Georgia" w:hAnsi="Georgia" w:cs="Tahoma"/>
          <w:bCs/>
          <w:color w:val="000000"/>
          <w:sz w:val="24"/>
          <w:szCs w:val="24"/>
          <w:lang w:val="en-US"/>
        </w:rPr>
        <w:t>In addition, and in this regard, the C</w:t>
      </w:r>
      <w:r w:rsidR="00A30E13" w:rsidRPr="00012C17">
        <w:rPr>
          <w:rFonts w:ascii="Georgia" w:hAnsi="Georgia" w:cs="Tahoma"/>
          <w:bCs/>
          <w:color w:val="000000"/>
          <w:sz w:val="24"/>
          <w:szCs w:val="24"/>
          <w:lang w:val="en-US"/>
        </w:rPr>
        <w:t>ourt also notes that the ECtHR</w:t>
      </w:r>
      <w:r w:rsidRPr="00012C17">
        <w:rPr>
          <w:rFonts w:ascii="Georgia" w:hAnsi="Georgia" w:cs="Tahoma"/>
          <w:bCs/>
          <w:color w:val="000000"/>
          <w:sz w:val="24"/>
          <w:szCs w:val="24"/>
          <w:lang w:val="en-US"/>
        </w:rPr>
        <w:t xml:space="preserve"> </w:t>
      </w:r>
      <w:r w:rsidR="00A30E13" w:rsidRPr="00012C17">
        <w:rPr>
          <w:rFonts w:ascii="Georgia" w:hAnsi="Georgia" w:cs="Tahoma"/>
          <w:bCs/>
          <w:color w:val="000000"/>
          <w:sz w:val="24"/>
          <w:szCs w:val="24"/>
          <w:lang w:val="en-US"/>
        </w:rPr>
        <w:t xml:space="preserve">through its </w:t>
      </w:r>
      <w:r w:rsidR="00012C17" w:rsidRPr="00012C17">
        <w:rPr>
          <w:rFonts w:ascii="Georgia" w:hAnsi="Georgia" w:cs="Tahoma"/>
          <w:bCs/>
          <w:color w:val="000000"/>
          <w:sz w:val="24"/>
          <w:szCs w:val="24"/>
          <w:lang w:val="en-US"/>
        </w:rPr>
        <w:t>case-</w:t>
      </w:r>
      <w:r w:rsidR="00A30E13" w:rsidRPr="00012C17">
        <w:rPr>
          <w:rFonts w:ascii="Georgia" w:hAnsi="Georgia" w:cs="Tahoma"/>
          <w:bCs/>
          <w:color w:val="000000"/>
          <w:sz w:val="24"/>
          <w:szCs w:val="24"/>
          <w:lang w:val="en-US"/>
        </w:rPr>
        <w:t xml:space="preserve">law </w:t>
      </w:r>
      <w:r w:rsidRPr="00012C17">
        <w:rPr>
          <w:rFonts w:ascii="Georgia" w:hAnsi="Georgia" w:cs="Tahoma"/>
          <w:bCs/>
          <w:color w:val="000000"/>
          <w:sz w:val="24"/>
          <w:szCs w:val="24"/>
          <w:lang w:val="en-US"/>
        </w:rPr>
        <w:t xml:space="preserve">has found that the right to be elected within the meaning of Article 3 of Protocol no. 1 of the ECHR, </w:t>
      </w:r>
      <w:r w:rsidR="00FA36B1" w:rsidRPr="00012C17">
        <w:rPr>
          <w:rFonts w:ascii="Georgia" w:hAnsi="Georgia" w:cs="Tahoma"/>
          <w:bCs/>
          <w:color w:val="000000"/>
          <w:sz w:val="24"/>
          <w:szCs w:val="24"/>
          <w:lang w:val="en-US"/>
        </w:rPr>
        <w:t xml:space="preserve">is </w:t>
      </w:r>
      <w:r w:rsidR="00A30E13" w:rsidRPr="00012C17">
        <w:rPr>
          <w:rFonts w:ascii="Georgia" w:hAnsi="Georgia" w:cs="Tahoma"/>
          <w:bCs/>
          <w:color w:val="000000"/>
          <w:sz w:val="24"/>
          <w:szCs w:val="24"/>
          <w:lang w:val="en-US"/>
        </w:rPr>
        <w:t>the</w:t>
      </w:r>
      <w:r w:rsidRPr="00012C17">
        <w:rPr>
          <w:rFonts w:ascii="Georgia" w:hAnsi="Georgia" w:cs="Tahoma"/>
          <w:bCs/>
          <w:color w:val="000000"/>
          <w:sz w:val="24"/>
          <w:szCs w:val="24"/>
          <w:lang w:val="en-US"/>
        </w:rPr>
        <w:t xml:space="preserve"> right that it is also guaranteed to political parties as legal </w:t>
      </w:r>
      <w:r w:rsidR="00AA5EB5" w:rsidRPr="00012C17">
        <w:rPr>
          <w:rFonts w:ascii="Georgia" w:hAnsi="Georgia" w:cs="Tahoma"/>
          <w:bCs/>
          <w:color w:val="000000"/>
          <w:sz w:val="24"/>
          <w:szCs w:val="24"/>
          <w:lang w:val="en-US"/>
        </w:rPr>
        <w:t>persons</w:t>
      </w:r>
      <w:r w:rsidRPr="00012C17">
        <w:rPr>
          <w:rFonts w:ascii="Georgia" w:hAnsi="Georgia" w:cs="Tahoma"/>
          <w:bCs/>
          <w:color w:val="000000"/>
          <w:sz w:val="24"/>
          <w:szCs w:val="24"/>
          <w:lang w:val="en-US"/>
        </w:rPr>
        <w:t xml:space="preserve"> and that they may complain </w:t>
      </w:r>
      <w:r w:rsidR="00A30E13" w:rsidRPr="00012C17">
        <w:rPr>
          <w:rFonts w:ascii="Georgia" w:hAnsi="Georgia" w:cs="Tahoma"/>
          <w:bCs/>
          <w:color w:val="000000"/>
          <w:sz w:val="24"/>
          <w:szCs w:val="24"/>
          <w:lang w:val="en-US"/>
        </w:rPr>
        <w:t>irrespective of their candidates</w:t>
      </w:r>
      <w:r w:rsidR="00AA5EB5" w:rsidRPr="00012C17">
        <w:rPr>
          <w:rFonts w:ascii="Georgia" w:hAnsi="Georgia" w:cs="Tahoma"/>
          <w:bCs/>
          <w:color w:val="000000"/>
          <w:sz w:val="24"/>
          <w:szCs w:val="24"/>
          <w:lang w:val="en-US"/>
        </w:rPr>
        <w:t>.</w:t>
      </w:r>
      <w:r w:rsidR="00A30E13" w:rsidRPr="00012C17">
        <w:rPr>
          <w:rFonts w:ascii="Georgia" w:hAnsi="Georgia" w:cs="Tahoma"/>
          <w:bCs/>
          <w:color w:val="000000"/>
          <w:sz w:val="24"/>
          <w:szCs w:val="24"/>
          <w:lang w:val="en-US"/>
        </w:rPr>
        <w:t xml:space="preserve"> </w:t>
      </w:r>
      <w:r w:rsidRPr="00012C17">
        <w:rPr>
          <w:rFonts w:ascii="Georgia" w:hAnsi="Georgia" w:cs="Tahoma"/>
          <w:bCs/>
          <w:color w:val="000000"/>
          <w:sz w:val="24"/>
          <w:szCs w:val="24"/>
          <w:lang w:val="en-US"/>
        </w:rPr>
        <w:t>(</w:t>
      </w:r>
      <w:r w:rsidR="001363DB" w:rsidRPr="00012C17">
        <w:rPr>
          <w:rFonts w:ascii="Georgia" w:hAnsi="Georgia" w:cs="Tahoma"/>
          <w:bCs/>
          <w:color w:val="000000"/>
          <w:sz w:val="24"/>
          <w:szCs w:val="24"/>
          <w:lang w:val="en-US"/>
        </w:rPr>
        <w:t>See</w:t>
      </w:r>
      <w:r w:rsidRPr="00012C17">
        <w:rPr>
          <w:rFonts w:ascii="Georgia" w:hAnsi="Georgia" w:cs="Tahoma"/>
          <w:bCs/>
          <w:color w:val="000000"/>
          <w:sz w:val="24"/>
          <w:szCs w:val="24"/>
          <w:lang w:val="en-US"/>
        </w:rPr>
        <w:t xml:space="preserve">, for example, case </w:t>
      </w:r>
      <w:r w:rsidR="001363DB" w:rsidRPr="00012C17">
        <w:rPr>
          <w:rFonts w:ascii="Georgia" w:hAnsi="Georgia" w:cs="Tahoma"/>
          <w:bCs/>
          <w:color w:val="000000"/>
          <w:sz w:val="24"/>
          <w:szCs w:val="24"/>
          <w:lang w:val="en-US"/>
        </w:rPr>
        <w:t xml:space="preserve">of ECtHR </w:t>
      </w:r>
      <w:r w:rsidRPr="00012C17">
        <w:rPr>
          <w:rFonts w:ascii="Georgia" w:hAnsi="Georgia" w:cs="Tahoma"/>
          <w:bCs/>
          <w:color w:val="000000"/>
          <w:sz w:val="24"/>
          <w:szCs w:val="24"/>
          <w:lang w:val="en-US"/>
        </w:rPr>
        <w:t xml:space="preserve">of the </w:t>
      </w:r>
      <w:r w:rsidRPr="00012C17">
        <w:rPr>
          <w:rFonts w:ascii="Georgia" w:hAnsi="Georgia" w:cs="Tahoma"/>
          <w:bCs/>
          <w:i/>
          <w:iCs/>
          <w:color w:val="000000"/>
          <w:sz w:val="24"/>
          <w:szCs w:val="24"/>
          <w:lang w:val="en-US"/>
        </w:rPr>
        <w:t xml:space="preserve">Georgia Labor Party </w:t>
      </w:r>
      <w:r w:rsidR="00A30E13" w:rsidRPr="00012C17">
        <w:rPr>
          <w:rFonts w:ascii="Georgia" w:hAnsi="Georgia" w:cs="Tahoma"/>
          <w:bCs/>
          <w:i/>
          <w:iCs/>
          <w:color w:val="000000"/>
          <w:sz w:val="24"/>
          <w:szCs w:val="24"/>
          <w:lang w:val="en-US"/>
        </w:rPr>
        <w:t>v.</w:t>
      </w:r>
      <w:r w:rsidRPr="00012C17">
        <w:rPr>
          <w:rFonts w:ascii="Georgia" w:hAnsi="Georgia" w:cs="Tahoma"/>
          <w:bCs/>
          <w:i/>
          <w:iCs/>
          <w:color w:val="000000"/>
          <w:sz w:val="24"/>
          <w:szCs w:val="24"/>
          <w:lang w:val="en-US"/>
        </w:rPr>
        <w:t xml:space="preserve"> Georgia</w:t>
      </w:r>
      <w:r w:rsidRPr="00012C17">
        <w:rPr>
          <w:rFonts w:ascii="Georgia" w:hAnsi="Georgia" w:cs="Tahoma"/>
          <w:bCs/>
          <w:color w:val="000000"/>
          <w:sz w:val="24"/>
          <w:szCs w:val="24"/>
          <w:lang w:val="en-US"/>
        </w:rPr>
        <w:t>, complaint no. 9103/04, Judgment of 8 July 2008, paragraphs 72-74 and other refere</w:t>
      </w:r>
      <w:r w:rsidR="00FA36B1" w:rsidRPr="00012C17">
        <w:rPr>
          <w:rFonts w:ascii="Georgia" w:hAnsi="Georgia" w:cs="Tahoma"/>
          <w:bCs/>
          <w:color w:val="000000"/>
          <w:sz w:val="24"/>
          <w:szCs w:val="24"/>
          <w:lang w:val="en-US"/>
        </w:rPr>
        <w:t>nces mentioned in that decision</w:t>
      </w:r>
      <w:r w:rsidRPr="00012C17">
        <w:rPr>
          <w:rFonts w:ascii="Georgia" w:hAnsi="Georgia" w:cs="Tahoma"/>
          <w:bCs/>
          <w:color w:val="000000"/>
          <w:sz w:val="24"/>
          <w:szCs w:val="24"/>
          <w:lang w:val="en-US"/>
        </w:rPr>
        <w:t>)</w:t>
      </w:r>
      <w:r w:rsidR="00FA36B1" w:rsidRPr="00012C17">
        <w:rPr>
          <w:rFonts w:ascii="Georgia" w:hAnsi="Georgia" w:cs="Tahoma"/>
          <w:bCs/>
          <w:color w:val="000000"/>
          <w:sz w:val="24"/>
          <w:szCs w:val="24"/>
          <w:lang w:val="en-US"/>
        </w:rPr>
        <w:t>.</w:t>
      </w:r>
      <w:r w:rsidRPr="00012C17">
        <w:rPr>
          <w:rFonts w:ascii="Georgia" w:hAnsi="Georgia" w:cs="Tahoma"/>
          <w:bCs/>
          <w:color w:val="000000"/>
          <w:sz w:val="24"/>
          <w:szCs w:val="24"/>
          <w:lang w:val="en-US"/>
        </w:rPr>
        <w:t xml:space="preserve"> Consequently, the Court concludes that both Applicants are </w:t>
      </w:r>
      <w:r w:rsidR="00A30E13" w:rsidRPr="00012C17">
        <w:rPr>
          <w:rFonts w:ascii="Georgia" w:hAnsi="Georgia" w:cs="Tahoma"/>
          <w:bCs/>
          <w:color w:val="000000"/>
          <w:sz w:val="24"/>
          <w:szCs w:val="24"/>
          <w:lang w:val="en-US"/>
        </w:rPr>
        <w:t>authorized parties</w:t>
      </w:r>
      <w:r w:rsidR="00D72BE7" w:rsidRPr="00012C17">
        <w:rPr>
          <w:rFonts w:ascii="Georgia" w:hAnsi="Georgia"/>
          <w:bCs/>
          <w:color w:val="000000"/>
          <w:sz w:val="24"/>
          <w:szCs w:val="24"/>
          <w:lang w:val="en-US"/>
        </w:rPr>
        <w:t>.</w:t>
      </w:r>
    </w:p>
    <w:p w:rsidR="001777F9" w:rsidRPr="00012C17" w:rsidRDefault="001777F9" w:rsidP="001B11C5">
      <w:pPr>
        <w:tabs>
          <w:tab w:val="left" w:pos="630"/>
        </w:tabs>
        <w:spacing w:line="240" w:lineRule="auto"/>
        <w:rPr>
          <w:bCs/>
          <w:i/>
          <w:color w:val="000000"/>
          <w:sz w:val="24"/>
        </w:rPr>
      </w:pPr>
    </w:p>
    <w:p w:rsidR="00A2232E" w:rsidRPr="00012C17" w:rsidRDefault="00F92796" w:rsidP="001B11C5">
      <w:pPr>
        <w:tabs>
          <w:tab w:val="left" w:pos="630"/>
        </w:tabs>
        <w:spacing w:line="240" w:lineRule="auto"/>
        <w:rPr>
          <w:bCs/>
          <w:i/>
          <w:color w:val="000000"/>
          <w:sz w:val="24"/>
        </w:rPr>
      </w:pPr>
      <w:r w:rsidRPr="00012C17">
        <w:rPr>
          <w:bCs/>
          <w:i/>
          <w:color w:val="000000"/>
          <w:sz w:val="24"/>
        </w:rPr>
        <w:t>Regard</w:t>
      </w:r>
      <w:r w:rsidR="00A30E13" w:rsidRPr="00012C17">
        <w:rPr>
          <w:bCs/>
          <w:i/>
          <w:color w:val="000000"/>
          <w:sz w:val="24"/>
        </w:rPr>
        <w:t>ing the act of public authority</w:t>
      </w:r>
    </w:p>
    <w:p w:rsidR="00691973" w:rsidRPr="00012C17" w:rsidRDefault="00691973" w:rsidP="001B11C5">
      <w:pPr>
        <w:tabs>
          <w:tab w:val="left" w:pos="630"/>
        </w:tabs>
        <w:spacing w:line="240" w:lineRule="auto"/>
        <w:rPr>
          <w:bCs/>
          <w:i/>
          <w:color w:val="000000"/>
          <w:sz w:val="24"/>
        </w:rPr>
      </w:pPr>
    </w:p>
    <w:p w:rsidR="00691973" w:rsidRPr="00012C17" w:rsidRDefault="00F92796" w:rsidP="001B11C5">
      <w:pPr>
        <w:numPr>
          <w:ilvl w:val="0"/>
          <w:numId w:val="1"/>
        </w:numPr>
        <w:tabs>
          <w:tab w:val="left" w:pos="630"/>
        </w:tabs>
        <w:spacing w:line="240" w:lineRule="auto"/>
        <w:ind w:left="630" w:hanging="630"/>
        <w:rPr>
          <w:bCs/>
          <w:color w:val="000000"/>
          <w:sz w:val="24"/>
        </w:rPr>
      </w:pPr>
      <w:r w:rsidRPr="00012C17">
        <w:rPr>
          <w:color w:val="000000"/>
          <w:sz w:val="24"/>
        </w:rPr>
        <w:t>In this regard, the Court refers to paragraphs 1 and 7 of Article 113 of the Constitution, cited above and to Article 47 [Individual Requests] of the Law, which provide</w:t>
      </w:r>
      <w:r w:rsidR="00691973" w:rsidRPr="00012C17">
        <w:rPr>
          <w:bCs/>
          <w:color w:val="000000"/>
          <w:sz w:val="24"/>
        </w:rPr>
        <w:t>:</w:t>
      </w:r>
    </w:p>
    <w:p w:rsidR="00691973" w:rsidRPr="00012C17" w:rsidRDefault="00691973" w:rsidP="001B11C5">
      <w:pPr>
        <w:tabs>
          <w:tab w:val="left" w:pos="630"/>
        </w:tabs>
        <w:spacing w:line="240" w:lineRule="auto"/>
        <w:rPr>
          <w:bCs/>
          <w:color w:val="000000"/>
          <w:sz w:val="24"/>
        </w:rPr>
      </w:pPr>
    </w:p>
    <w:p w:rsidR="008B3320" w:rsidRPr="00012C17" w:rsidRDefault="00A30E13" w:rsidP="001B11C5">
      <w:pPr>
        <w:pStyle w:val="ListParagraph"/>
        <w:numPr>
          <w:ilvl w:val="1"/>
          <w:numId w:val="1"/>
        </w:numPr>
        <w:tabs>
          <w:tab w:val="left" w:pos="630"/>
        </w:tabs>
        <w:autoSpaceDE w:val="0"/>
        <w:autoSpaceDN w:val="0"/>
        <w:adjustRightInd w:val="0"/>
        <w:spacing w:after="0" w:line="240" w:lineRule="auto"/>
        <w:rPr>
          <w:rFonts w:ascii="Georgia" w:hAnsi="Georgia"/>
          <w:i/>
          <w:iCs/>
          <w:color w:val="000000"/>
          <w:sz w:val="24"/>
          <w:szCs w:val="24"/>
          <w:lang w:val="en-US"/>
        </w:rPr>
      </w:pPr>
      <w:r w:rsidRPr="00012C17">
        <w:rPr>
          <w:rFonts w:ascii="Georgia" w:hAnsi="Georgia"/>
          <w:i/>
          <w:iCs/>
          <w:color w:val="000000"/>
          <w:sz w:val="24"/>
          <w:lang w:val="en-US"/>
        </w:rPr>
        <w:t>Every individual is entitled to request from the Constitutional Court legal protection when he considers that his/her individual rights and freedoms guaranteed by the Constitution are violated by a public authority</w:t>
      </w:r>
      <w:r w:rsidR="00A50585" w:rsidRPr="00012C17">
        <w:rPr>
          <w:rFonts w:ascii="Georgia" w:hAnsi="Georgia"/>
          <w:bCs/>
          <w:i/>
          <w:iCs/>
          <w:color w:val="000000"/>
          <w:sz w:val="24"/>
          <w:szCs w:val="24"/>
          <w:lang w:val="en-US"/>
        </w:rPr>
        <w:t>. [...]</w:t>
      </w:r>
    </w:p>
    <w:p w:rsidR="008B3320" w:rsidRPr="00012C17" w:rsidRDefault="008B3320" w:rsidP="001B11C5">
      <w:pPr>
        <w:pStyle w:val="ListParagraph"/>
        <w:tabs>
          <w:tab w:val="left" w:pos="630"/>
        </w:tabs>
        <w:spacing w:after="0" w:line="240" w:lineRule="auto"/>
        <w:ind w:left="1440"/>
        <w:rPr>
          <w:rFonts w:ascii="Georgia" w:hAnsi="Georgia"/>
          <w:bCs/>
          <w:i/>
          <w:color w:val="000000"/>
          <w:sz w:val="24"/>
          <w:szCs w:val="24"/>
          <w:lang w:val="en-US"/>
        </w:rPr>
      </w:pPr>
    </w:p>
    <w:p w:rsidR="00AC1810" w:rsidRPr="00012C17" w:rsidRDefault="00F92796" w:rsidP="00F05E0A">
      <w:pPr>
        <w:pStyle w:val="ListParagraph"/>
        <w:numPr>
          <w:ilvl w:val="0"/>
          <w:numId w:val="1"/>
        </w:numPr>
        <w:tabs>
          <w:tab w:val="left" w:pos="630"/>
        </w:tabs>
        <w:spacing w:after="0" w:line="240" w:lineRule="auto"/>
        <w:ind w:left="630" w:hanging="630"/>
        <w:jc w:val="both"/>
        <w:rPr>
          <w:rFonts w:ascii="Georgia" w:hAnsi="Georgia"/>
          <w:bCs/>
          <w:i/>
          <w:color w:val="000000"/>
          <w:sz w:val="24"/>
          <w:szCs w:val="24"/>
          <w:lang w:val="en-US"/>
        </w:rPr>
      </w:pPr>
      <w:r w:rsidRPr="00012C17">
        <w:rPr>
          <w:rFonts w:ascii="Georgia" w:hAnsi="Georgia"/>
          <w:bCs/>
          <w:color w:val="000000"/>
          <w:sz w:val="24"/>
          <w:szCs w:val="24"/>
          <w:lang w:val="en-US"/>
        </w:rPr>
        <w:t>The Court also refers to paragraph</w:t>
      </w:r>
      <w:r w:rsidR="0043143B" w:rsidRPr="00012C17">
        <w:rPr>
          <w:rFonts w:ascii="Georgia" w:hAnsi="Georgia"/>
          <w:bCs/>
          <w:color w:val="000000"/>
          <w:sz w:val="24"/>
          <w:szCs w:val="24"/>
          <w:lang w:val="en-US"/>
        </w:rPr>
        <w:t xml:space="preserve"> (2) </w:t>
      </w:r>
      <w:r w:rsidRPr="00012C17">
        <w:rPr>
          <w:rFonts w:ascii="Georgia" w:hAnsi="Georgia"/>
          <w:bCs/>
          <w:color w:val="000000"/>
          <w:sz w:val="24"/>
          <w:szCs w:val="24"/>
          <w:lang w:val="en-US"/>
        </w:rPr>
        <w:t>of Rule</w:t>
      </w:r>
      <w:r w:rsidR="00AC1810" w:rsidRPr="00012C17">
        <w:rPr>
          <w:rFonts w:ascii="Georgia" w:hAnsi="Georgia"/>
          <w:bCs/>
          <w:color w:val="000000"/>
          <w:sz w:val="24"/>
          <w:szCs w:val="24"/>
          <w:lang w:val="en-US"/>
        </w:rPr>
        <w:t xml:space="preserve"> 76</w:t>
      </w:r>
      <w:r w:rsidR="00A50585" w:rsidRPr="00012C17">
        <w:rPr>
          <w:rFonts w:ascii="Georgia" w:hAnsi="Georgia"/>
          <w:bCs/>
          <w:color w:val="000000"/>
          <w:sz w:val="24"/>
          <w:szCs w:val="24"/>
          <w:lang w:val="en-US"/>
        </w:rPr>
        <w:t xml:space="preserve"> [</w:t>
      </w:r>
      <w:r w:rsidR="00A30E13" w:rsidRPr="00012C17">
        <w:rPr>
          <w:rFonts w:ascii="Georgia" w:hAnsi="Georgia"/>
          <w:bCs/>
          <w:color w:val="000000"/>
          <w:sz w:val="24"/>
          <w:szCs w:val="24"/>
          <w:lang w:val="en-US"/>
        </w:rPr>
        <w:t>Referral pursuant to Article 113.7 of the Constitution and Articles 46, 47, 48, 49 and 50 of the Law</w:t>
      </w:r>
      <w:r w:rsidR="00A50585" w:rsidRPr="00012C17">
        <w:rPr>
          <w:rFonts w:ascii="Georgia" w:hAnsi="Georgia"/>
          <w:bCs/>
          <w:color w:val="000000"/>
          <w:sz w:val="24"/>
          <w:szCs w:val="24"/>
          <w:lang w:val="en-US"/>
        </w:rPr>
        <w:t xml:space="preserve">] </w:t>
      </w:r>
      <w:r w:rsidR="00A30E13" w:rsidRPr="00012C17">
        <w:rPr>
          <w:rFonts w:ascii="Georgia" w:hAnsi="Georgia"/>
          <w:bCs/>
          <w:color w:val="000000"/>
          <w:sz w:val="24"/>
          <w:szCs w:val="24"/>
          <w:lang w:val="en-US"/>
        </w:rPr>
        <w:t>of the Rules of Procedure,</w:t>
      </w:r>
      <w:r w:rsidR="00A50585" w:rsidRPr="00012C17">
        <w:rPr>
          <w:rFonts w:ascii="Georgia" w:hAnsi="Georgia"/>
          <w:bCs/>
          <w:color w:val="000000"/>
          <w:sz w:val="24"/>
          <w:szCs w:val="24"/>
          <w:lang w:val="en-US"/>
        </w:rPr>
        <w:t xml:space="preserve"> </w:t>
      </w:r>
      <w:r w:rsidR="00A30E13" w:rsidRPr="00012C17">
        <w:rPr>
          <w:rFonts w:ascii="Georgia" w:hAnsi="Georgia"/>
          <w:bCs/>
          <w:color w:val="000000"/>
          <w:sz w:val="24"/>
          <w:szCs w:val="24"/>
          <w:lang w:val="en-US"/>
        </w:rPr>
        <w:t>which</w:t>
      </w:r>
      <w:r w:rsidR="00AC1810" w:rsidRPr="00012C17">
        <w:rPr>
          <w:rFonts w:ascii="Georgia" w:hAnsi="Georgia"/>
          <w:bCs/>
          <w:color w:val="000000"/>
          <w:sz w:val="24"/>
          <w:szCs w:val="24"/>
          <w:lang w:val="en-US"/>
        </w:rPr>
        <w:t xml:space="preserve">, </w:t>
      </w:r>
      <w:r w:rsidR="00AC1810" w:rsidRPr="00012C17">
        <w:rPr>
          <w:rFonts w:ascii="Georgia" w:hAnsi="Georgia"/>
          <w:bCs/>
          <w:i/>
          <w:iCs/>
          <w:color w:val="000000"/>
          <w:sz w:val="24"/>
          <w:szCs w:val="24"/>
          <w:lang w:val="en-US"/>
        </w:rPr>
        <w:t>inter</w:t>
      </w:r>
      <w:r w:rsidRPr="00012C17">
        <w:rPr>
          <w:rFonts w:ascii="Georgia" w:hAnsi="Georgia"/>
          <w:bCs/>
          <w:i/>
          <w:iCs/>
          <w:color w:val="000000"/>
          <w:sz w:val="24"/>
          <w:szCs w:val="24"/>
          <w:lang w:val="en-US"/>
        </w:rPr>
        <w:t xml:space="preserve"> </w:t>
      </w:r>
      <w:r w:rsidR="00AC1810" w:rsidRPr="00012C17">
        <w:rPr>
          <w:rFonts w:ascii="Georgia" w:hAnsi="Georgia"/>
          <w:bCs/>
          <w:i/>
          <w:iCs/>
          <w:color w:val="000000"/>
          <w:sz w:val="24"/>
          <w:szCs w:val="24"/>
          <w:lang w:val="en-US"/>
        </w:rPr>
        <w:t>alia</w:t>
      </w:r>
      <w:r w:rsidR="00AC1810" w:rsidRPr="00012C17">
        <w:rPr>
          <w:rFonts w:ascii="Georgia" w:hAnsi="Georgia"/>
          <w:bCs/>
          <w:color w:val="000000"/>
          <w:sz w:val="24"/>
          <w:szCs w:val="24"/>
          <w:lang w:val="en-US"/>
        </w:rPr>
        <w:t>,</w:t>
      </w:r>
      <w:r w:rsidR="00A50585" w:rsidRPr="00012C17">
        <w:rPr>
          <w:rFonts w:ascii="Georgia" w:hAnsi="Georgia"/>
          <w:bCs/>
          <w:color w:val="000000"/>
          <w:sz w:val="24"/>
          <w:szCs w:val="24"/>
          <w:lang w:val="en-US"/>
        </w:rPr>
        <w:t xml:space="preserve"> </w:t>
      </w:r>
      <w:r w:rsidR="00A30E13" w:rsidRPr="00012C17">
        <w:rPr>
          <w:rFonts w:ascii="Georgia" w:hAnsi="Georgia"/>
          <w:bCs/>
          <w:color w:val="000000"/>
          <w:sz w:val="24"/>
          <w:szCs w:val="24"/>
          <w:lang w:val="en-US"/>
        </w:rPr>
        <w:t>provides</w:t>
      </w:r>
      <w:r w:rsidR="00A50585" w:rsidRPr="00012C17">
        <w:rPr>
          <w:rFonts w:ascii="Georgia" w:hAnsi="Georgia"/>
          <w:bCs/>
          <w:color w:val="000000"/>
          <w:sz w:val="24"/>
          <w:szCs w:val="24"/>
          <w:lang w:val="en-US"/>
        </w:rPr>
        <w:t>:</w:t>
      </w:r>
    </w:p>
    <w:p w:rsidR="006E52F9" w:rsidRPr="00012C17" w:rsidRDefault="006E52F9" w:rsidP="001B11C5">
      <w:pPr>
        <w:tabs>
          <w:tab w:val="left" w:pos="990"/>
        </w:tabs>
        <w:spacing w:line="240" w:lineRule="auto"/>
        <w:ind w:left="990"/>
        <w:rPr>
          <w:bCs/>
          <w:i/>
          <w:color w:val="000000"/>
          <w:sz w:val="24"/>
        </w:rPr>
      </w:pPr>
    </w:p>
    <w:p w:rsidR="00AC1810" w:rsidRPr="00012C17" w:rsidRDefault="00AC1810" w:rsidP="001B11C5">
      <w:pPr>
        <w:tabs>
          <w:tab w:val="left" w:pos="990"/>
        </w:tabs>
        <w:spacing w:line="240" w:lineRule="auto"/>
        <w:ind w:left="990"/>
        <w:rPr>
          <w:bCs/>
          <w:i/>
          <w:color w:val="000000"/>
          <w:sz w:val="24"/>
        </w:rPr>
      </w:pPr>
      <w:r w:rsidRPr="00012C17">
        <w:rPr>
          <w:bCs/>
          <w:i/>
          <w:color w:val="000000"/>
          <w:sz w:val="24"/>
        </w:rPr>
        <w:t xml:space="preserve">(2) </w:t>
      </w:r>
      <w:r w:rsidR="00A30E13" w:rsidRPr="00012C17">
        <w:rPr>
          <w:i/>
          <w:iCs/>
          <w:color w:val="000000"/>
          <w:sz w:val="24"/>
        </w:rPr>
        <w:t xml:space="preserve">A referral under this Rule must accurately clarify </w:t>
      </w:r>
      <w:r w:rsidRPr="00012C17">
        <w:rPr>
          <w:bCs/>
          <w:i/>
          <w:iCs/>
          <w:color w:val="000000"/>
          <w:sz w:val="24"/>
        </w:rPr>
        <w:t>[...]</w:t>
      </w:r>
      <w:r w:rsidR="00A30E13" w:rsidRPr="00012C17">
        <w:rPr>
          <w:bCs/>
          <w:i/>
          <w:iCs/>
          <w:color w:val="000000"/>
          <w:sz w:val="24"/>
        </w:rPr>
        <w:t xml:space="preserve"> </w:t>
      </w:r>
      <w:r w:rsidR="00A30E13" w:rsidRPr="00012C17">
        <w:rPr>
          <w:i/>
          <w:iCs/>
          <w:color w:val="000000"/>
          <w:sz w:val="24"/>
        </w:rPr>
        <w:t>what concrete act of public authority is subject to challenge</w:t>
      </w:r>
      <w:r w:rsidRPr="00012C17">
        <w:rPr>
          <w:bCs/>
          <w:i/>
          <w:color w:val="000000"/>
          <w:sz w:val="24"/>
        </w:rPr>
        <w:t>.</w:t>
      </w:r>
    </w:p>
    <w:p w:rsidR="003A3840" w:rsidRPr="00012C17" w:rsidRDefault="003A3840" w:rsidP="001B11C5">
      <w:pPr>
        <w:tabs>
          <w:tab w:val="left" w:pos="630"/>
        </w:tabs>
        <w:spacing w:line="240" w:lineRule="auto"/>
        <w:rPr>
          <w:bCs/>
          <w:i/>
          <w:color w:val="000000"/>
          <w:sz w:val="24"/>
        </w:rPr>
      </w:pPr>
    </w:p>
    <w:p w:rsidR="003A3840"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i/>
          <w:color w:val="000000"/>
          <w:sz w:val="24"/>
          <w:szCs w:val="24"/>
          <w:lang w:val="en-US"/>
        </w:rPr>
      </w:pPr>
      <w:r w:rsidRPr="00012C17">
        <w:rPr>
          <w:rFonts w:ascii="Georgia" w:hAnsi="Georgia"/>
          <w:bCs/>
          <w:color w:val="000000"/>
          <w:sz w:val="24"/>
          <w:szCs w:val="24"/>
          <w:lang w:val="en-US"/>
        </w:rPr>
        <w:t xml:space="preserve">In this regard, the Court </w:t>
      </w:r>
      <w:r w:rsidR="00A30E13" w:rsidRPr="00012C17">
        <w:rPr>
          <w:rFonts w:ascii="Georgia" w:hAnsi="Georgia"/>
          <w:bCs/>
          <w:color w:val="000000"/>
          <w:sz w:val="24"/>
          <w:szCs w:val="24"/>
          <w:lang w:val="en-US"/>
        </w:rPr>
        <w:t>notes</w:t>
      </w:r>
      <w:r w:rsidRPr="00012C17">
        <w:rPr>
          <w:rFonts w:ascii="Georgia" w:hAnsi="Georgia"/>
          <w:bCs/>
          <w:color w:val="000000"/>
          <w:sz w:val="24"/>
          <w:szCs w:val="24"/>
          <w:lang w:val="en-US"/>
        </w:rPr>
        <w:t xml:space="preserve"> that the Applicants challenge acts of a public authority, </w:t>
      </w:r>
      <w:r w:rsidR="00A30E13" w:rsidRPr="00012C17">
        <w:rPr>
          <w:rFonts w:ascii="Georgia" w:hAnsi="Georgia"/>
          <w:bCs/>
          <w:color w:val="000000"/>
          <w:sz w:val="24"/>
          <w:szCs w:val="24"/>
          <w:lang w:val="en-US"/>
        </w:rPr>
        <w:t>namely</w:t>
      </w:r>
      <w:r w:rsidRPr="00012C17">
        <w:rPr>
          <w:rFonts w:ascii="Georgia" w:hAnsi="Georgia"/>
          <w:bCs/>
          <w:color w:val="000000"/>
          <w:sz w:val="24"/>
          <w:szCs w:val="24"/>
          <w:lang w:val="en-US"/>
        </w:rPr>
        <w:t xml:space="preserve"> the </w:t>
      </w:r>
      <w:r w:rsidR="00AA6E96" w:rsidRPr="00012C17">
        <w:rPr>
          <w:rFonts w:ascii="Georgia" w:hAnsi="Georgia"/>
          <w:bCs/>
          <w:color w:val="000000"/>
          <w:sz w:val="24"/>
          <w:szCs w:val="24"/>
          <w:lang w:val="en-US"/>
        </w:rPr>
        <w:t>f</w:t>
      </w:r>
      <w:r w:rsidR="00FA36B1" w:rsidRPr="00012C17">
        <w:rPr>
          <w:rFonts w:ascii="Georgia" w:hAnsi="Georgia"/>
          <w:bCs/>
          <w:color w:val="000000"/>
          <w:sz w:val="24"/>
          <w:szCs w:val="24"/>
          <w:lang w:val="en-US"/>
        </w:rPr>
        <w:t xml:space="preserve">irst Decision </w:t>
      </w:r>
      <w:r w:rsidRPr="00012C17">
        <w:rPr>
          <w:rFonts w:ascii="Georgia" w:hAnsi="Georgia"/>
          <w:bCs/>
          <w:color w:val="000000"/>
          <w:sz w:val="24"/>
          <w:szCs w:val="24"/>
          <w:lang w:val="en-US"/>
        </w:rPr>
        <w:t xml:space="preserve">[AA. </w:t>
      </w:r>
      <w:r w:rsidR="00FA36B1" w:rsidRPr="00012C17">
        <w:rPr>
          <w:rFonts w:ascii="Georgia" w:hAnsi="Georgia"/>
          <w:bCs/>
          <w:color w:val="000000"/>
          <w:sz w:val="24"/>
          <w:szCs w:val="24"/>
          <w:lang w:val="en-US"/>
        </w:rPr>
        <w:t>N</w:t>
      </w:r>
      <w:r w:rsidRPr="00012C17">
        <w:rPr>
          <w:rFonts w:ascii="Georgia" w:hAnsi="Georgia"/>
          <w:bCs/>
          <w:color w:val="000000"/>
          <w:sz w:val="24"/>
          <w:szCs w:val="24"/>
          <w:lang w:val="en-US"/>
        </w:rPr>
        <w:t xml:space="preserve">o. 52/2017] of 25 November 2017 and the </w:t>
      </w:r>
      <w:r w:rsidR="00AA6E96" w:rsidRPr="00012C17">
        <w:rPr>
          <w:rFonts w:ascii="Georgia" w:hAnsi="Georgia"/>
          <w:bCs/>
          <w:color w:val="000000"/>
          <w:sz w:val="24"/>
          <w:szCs w:val="24"/>
          <w:lang w:val="en-US"/>
        </w:rPr>
        <w:t>s</w:t>
      </w:r>
      <w:r w:rsidR="00FA36B1" w:rsidRPr="00012C17">
        <w:rPr>
          <w:rFonts w:ascii="Georgia" w:hAnsi="Georgia"/>
          <w:bCs/>
          <w:color w:val="000000"/>
          <w:sz w:val="24"/>
          <w:szCs w:val="24"/>
          <w:lang w:val="en-US"/>
        </w:rPr>
        <w:t xml:space="preserve">econd Decision </w:t>
      </w:r>
      <w:r w:rsidRPr="00012C17">
        <w:rPr>
          <w:rFonts w:ascii="Georgia" w:hAnsi="Georgia"/>
          <w:bCs/>
          <w:color w:val="000000"/>
          <w:sz w:val="24"/>
          <w:szCs w:val="24"/>
          <w:lang w:val="en-US"/>
        </w:rPr>
        <w:t>[A</w:t>
      </w:r>
      <w:r w:rsidR="006634E8" w:rsidRPr="00012C17">
        <w:rPr>
          <w:rFonts w:ascii="Georgia" w:hAnsi="Georgia"/>
          <w:bCs/>
          <w:color w:val="000000"/>
          <w:sz w:val="24"/>
          <w:szCs w:val="24"/>
          <w:lang w:val="en-US"/>
        </w:rPr>
        <w:t>.</w:t>
      </w:r>
      <w:r w:rsidRPr="00012C17">
        <w:rPr>
          <w:rFonts w:ascii="Georgia" w:hAnsi="Georgia"/>
          <w:bCs/>
          <w:color w:val="000000"/>
          <w:sz w:val="24"/>
          <w:szCs w:val="24"/>
          <w:lang w:val="en-US"/>
        </w:rPr>
        <w:t>A.</w:t>
      </w:r>
      <w:r w:rsidR="006634E8" w:rsidRPr="00012C17">
        <w:rPr>
          <w:rFonts w:ascii="Georgia" w:hAnsi="Georgia"/>
          <w:bCs/>
          <w:color w:val="000000"/>
          <w:sz w:val="24"/>
          <w:szCs w:val="24"/>
          <w:lang w:val="en-US"/>
        </w:rPr>
        <w:t xml:space="preserve"> </w:t>
      </w:r>
      <w:r w:rsidRPr="00012C17">
        <w:rPr>
          <w:rFonts w:ascii="Georgia" w:hAnsi="Georgia"/>
          <w:bCs/>
          <w:color w:val="000000"/>
          <w:sz w:val="24"/>
          <w:szCs w:val="24"/>
          <w:lang w:val="en-US"/>
        </w:rPr>
        <w:t>U.ZH.</w:t>
      </w:r>
      <w:r w:rsidR="00312D21" w:rsidRPr="00012C17">
        <w:rPr>
          <w:rFonts w:ascii="Georgia" w:hAnsi="Georgia"/>
          <w:bCs/>
          <w:color w:val="000000"/>
          <w:sz w:val="24"/>
          <w:szCs w:val="24"/>
          <w:lang w:val="en-US"/>
        </w:rPr>
        <w:t xml:space="preserve"> No</w:t>
      </w:r>
      <w:r w:rsidRPr="00012C17">
        <w:rPr>
          <w:rFonts w:ascii="Georgia" w:hAnsi="Georgia"/>
          <w:bCs/>
          <w:color w:val="000000"/>
          <w:sz w:val="24"/>
          <w:szCs w:val="24"/>
          <w:lang w:val="en-US"/>
        </w:rPr>
        <w:t>.</w:t>
      </w:r>
      <w:r w:rsidR="00312D21" w:rsidRPr="00012C17">
        <w:rPr>
          <w:rFonts w:ascii="Georgia" w:hAnsi="Georgia"/>
          <w:bCs/>
          <w:color w:val="000000"/>
          <w:sz w:val="24"/>
          <w:szCs w:val="24"/>
          <w:lang w:val="en-US"/>
        </w:rPr>
        <w:t xml:space="preserve"> 62/</w:t>
      </w:r>
      <w:r w:rsidRPr="00012C17">
        <w:rPr>
          <w:rFonts w:ascii="Georgia" w:hAnsi="Georgia"/>
          <w:bCs/>
          <w:color w:val="000000"/>
          <w:sz w:val="24"/>
          <w:szCs w:val="24"/>
          <w:lang w:val="en-US"/>
        </w:rPr>
        <w:t xml:space="preserve">2017] of 7 December 2017] of the Supreme Court, as </w:t>
      </w:r>
      <w:r w:rsidR="00312D21" w:rsidRPr="00012C17">
        <w:rPr>
          <w:rFonts w:ascii="Georgia" w:hAnsi="Georgia"/>
          <w:bCs/>
          <w:color w:val="000000"/>
          <w:sz w:val="24"/>
          <w:szCs w:val="24"/>
          <w:lang w:val="en-US"/>
        </w:rPr>
        <w:t>stipulated</w:t>
      </w:r>
      <w:r w:rsidRPr="00012C17">
        <w:rPr>
          <w:rFonts w:ascii="Georgia" w:hAnsi="Georgia"/>
          <w:bCs/>
          <w:color w:val="000000"/>
          <w:sz w:val="24"/>
          <w:szCs w:val="24"/>
          <w:lang w:val="en-US"/>
        </w:rPr>
        <w:t xml:space="preserve"> by paragraph 7 of Article 113 of the Constitution and </w:t>
      </w:r>
      <w:r w:rsidR="001363DB" w:rsidRPr="00012C17">
        <w:rPr>
          <w:rFonts w:ascii="Georgia" w:hAnsi="Georgia"/>
          <w:bCs/>
          <w:color w:val="000000"/>
          <w:sz w:val="24"/>
          <w:szCs w:val="24"/>
          <w:lang w:val="en-US"/>
        </w:rPr>
        <w:t xml:space="preserve">relevant </w:t>
      </w:r>
      <w:r w:rsidRPr="00012C17">
        <w:rPr>
          <w:rFonts w:ascii="Georgia" w:hAnsi="Georgia"/>
          <w:bCs/>
          <w:color w:val="000000"/>
          <w:sz w:val="24"/>
          <w:szCs w:val="24"/>
          <w:lang w:val="en-US"/>
        </w:rPr>
        <w:t xml:space="preserve">provisions of the Law and of the Rules of Procedure. </w:t>
      </w:r>
      <w:r w:rsidR="00312D21" w:rsidRPr="00012C17">
        <w:rPr>
          <w:rFonts w:ascii="Georgia" w:hAnsi="Georgia"/>
          <w:bCs/>
          <w:color w:val="000000"/>
          <w:sz w:val="24"/>
          <w:szCs w:val="24"/>
          <w:lang w:val="en-US"/>
        </w:rPr>
        <w:t>Accordingly</w:t>
      </w:r>
      <w:r w:rsidRPr="00012C17">
        <w:rPr>
          <w:rFonts w:ascii="Georgia" w:hAnsi="Georgia"/>
          <w:bCs/>
          <w:color w:val="000000"/>
          <w:sz w:val="24"/>
          <w:szCs w:val="24"/>
          <w:lang w:val="en-US"/>
        </w:rPr>
        <w:t xml:space="preserve">, the Court concludes that the Applicants </w:t>
      </w:r>
      <w:r w:rsidR="00312D21" w:rsidRPr="00012C17">
        <w:rPr>
          <w:rFonts w:ascii="Georgia" w:hAnsi="Georgia"/>
          <w:bCs/>
          <w:color w:val="000000"/>
          <w:sz w:val="24"/>
          <w:szCs w:val="24"/>
          <w:lang w:val="en-US"/>
        </w:rPr>
        <w:t>challenge</w:t>
      </w:r>
      <w:r w:rsidRPr="00012C17">
        <w:rPr>
          <w:rFonts w:ascii="Georgia" w:hAnsi="Georgia"/>
          <w:bCs/>
          <w:color w:val="000000"/>
          <w:sz w:val="24"/>
          <w:szCs w:val="24"/>
          <w:lang w:val="en-US"/>
        </w:rPr>
        <w:t xml:space="preserve"> acts of a public authority</w:t>
      </w:r>
      <w:r w:rsidR="00107E27" w:rsidRPr="00012C17">
        <w:rPr>
          <w:rFonts w:ascii="Georgia" w:hAnsi="Georgia"/>
          <w:bCs/>
          <w:color w:val="000000"/>
          <w:sz w:val="24"/>
          <w:szCs w:val="24"/>
          <w:lang w:val="en-US"/>
        </w:rPr>
        <w:t>.</w:t>
      </w:r>
    </w:p>
    <w:p w:rsidR="001777F9" w:rsidRPr="00012C17" w:rsidRDefault="001777F9" w:rsidP="001B11C5">
      <w:pPr>
        <w:tabs>
          <w:tab w:val="left" w:pos="630"/>
        </w:tabs>
        <w:spacing w:line="240" w:lineRule="auto"/>
        <w:rPr>
          <w:bCs/>
          <w:i/>
          <w:color w:val="000000"/>
          <w:sz w:val="24"/>
        </w:rPr>
      </w:pPr>
    </w:p>
    <w:p w:rsidR="00A2232E" w:rsidRPr="00012C17" w:rsidRDefault="00F92796" w:rsidP="001B11C5">
      <w:pPr>
        <w:tabs>
          <w:tab w:val="left" w:pos="630"/>
        </w:tabs>
        <w:spacing w:line="240" w:lineRule="auto"/>
        <w:rPr>
          <w:bCs/>
          <w:i/>
          <w:color w:val="000000"/>
          <w:sz w:val="24"/>
        </w:rPr>
      </w:pPr>
      <w:r w:rsidRPr="00012C17">
        <w:rPr>
          <w:bCs/>
          <w:i/>
          <w:color w:val="000000"/>
          <w:sz w:val="24"/>
        </w:rPr>
        <w:t>Regarding the exhaustion of legal remedies</w:t>
      </w:r>
    </w:p>
    <w:p w:rsidR="00AE39CE" w:rsidRPr="00012C17" w:rsidRDefault="00AE39CE" w:rsidP="001B11C5">
      <w:pPr>
        <w:pStyle w:val="ListParagraph"/>
        <w:tabs>
          <w:tab w:val="left" w:pos="630"/>
        </w:tabs>
        <w:spacing w:after="0" w:line="240" w:lineRule="auto"/>
        <w:jc w:val="both"/>
        <w:rPr>
          <w:rFonts w:ascii="Georgia" w:hAnsi="Georgia"/>
          <w:bCs/>
          <w:color w:val="000000"/>
          <w:sz w:val="24"/>
          <w:szCs w:val="24"/>
          <w:lang w:val="en-US"/>
        </w:rPr>
      </w:pPr>
    </w:p>
    <w:p w:rsidR="003A3840"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color w:val="000000"/>
          <w:sz w:val="24"/>
          <w:szCs w:val="24"/>
          <w:lang w:val="en-US"/>
        </w:rPr>
      </w:pPr>
      <w:r w:rsidRPr="00012C17">
        <w:rPr>
          <w:rFonts w:ascii="Georgia" w:hAnsi="Georgia"/>
          <w:bCs/>
          <w:color w:val="000000"/>
          <w:sz w:val="24"/>
          <w:szCs w:val="24"/>
          <w:lang w:val="en-US"/>
        </w:rPr>
        <w:t xml:space="preserve">In this respect, the Court refers to paragraphs 1 and 7 of Article 113 of the Constitution, cited above, and paragraph 2 of Article 47 [Individual Requests] of the Law and </w:t>
      </w:r>
      <w:r w:rsidR="00312D21" w:rsidRPr="00012C17">
        <w:rPr>
          <w:rFonts w:ascii="Georgia" w:hAnsi="Georgia"/>
          <w:bCs/>
          <w:color w:val="000000"/>
          <w:sz w:val="24"/>
          <w:szCs w:val="24"/>
          <w:lang w:val="en-US"/>
        </w:rPr>
        <w:t>item</w:t>
      </w:r>
      <w:r w:rsidRPr="00012C17">
        <w:rPr>
          <w:rFonts w:ascii="Georgia" w:hAnsi="Georgia"/>
          <w:bCs/>
          <w:color w:val="000000"/>
          <w:sz w:val="24"/>
          <w:szCs w:val="24"/>
          <w:lang w:val="en-US"/>
        </w:rPr>
        <w:t xml:space="preserve"> (b) </w:t>
      </w:r>
      <w:r w:rsidR="00312D21" w:rsidRPr="00012C17">
        <w:rPr>
          <w:rFonts w:ascii="Georgia" w:hAnsi="Georgia"/>
          <w:bCs/>
          <w:color w:val="000000"/>
          <w:sz w:val="24"/>
          <w:szCs w:val="24"/>
          <w:lang w:val="en-US"/>
        </w:rPr>
        <w:t xml:space="preserve">paragraph </w:t>
      </w:r>
      <w:r w:rsidRPr="00012C17">
        <w:rPr>
          <w:rFonts w:ascii="Georgia" w:hAnsi="Georgia"/>
          <w:bCs/>
          <w:color w:val="000000"/>
          <w:sz w:val="24"/>
          <w:szCs w:val="24"/>
          <w:lang w:val="en-US"/>
        </w:rPr>
        <w:t xml:space="preserve">(1) of Rule 39 [Admissibility Criteria] of the Rules of Procedure which </w:t>
      </w:r>
      <w:r w:rsidR="00312D21" w:rsidRPr="00012C17">
        <w:rPr>
          <w:rFonts w:ascii="Georgia" w:hAnsi="Georgia"/>
          <w:bCs/>
          <w:color w:val="000000"/>
          <w:sz w:val="24"/>
          <w:szCs w:val="24"/>
          <w:lang w:val="en-US"/>
        </w:rPr>
        <w:t>foresee</w:t>
      </w:r>
      <w:r w:rsidR="00A50585" w:rsidRPr="00012C17">
        <w:rPr>
          <w:rFonts w:ascii="Georgia" w:hAnsi="Georgia"/>
          <w:bCs/>
          <w:color w:val="000000"/>
          <w:sz w:val="24"/>
          <w:szCs w:val="24"/>
          <w:lang w:val="en-US"/>
        </w:rPr>
        <w:t>:</w:t>
      </w:r>
    </w:p>
    <w:p w:rsidR="001777F9" w:rsidRPr="00012C17" w:rsidRDefault="001777F9" w:rsidP="001B11C5">
      <w:pPr>
        <w:tabs>
          <w:tab w:val="left" w:pos="630"/>
        </w:tabs>
        <w:spacing w:line="240" w:lineRule="auto"/>
        <w:jc w:val="center"/>
        <w:rPr>
          <w:bCs/>
          <w:color w:val="000000"/>
          <w:sz w:val="24"/>
        </w:rPr>
      </w:pPr>
    </w:p>
    <w:p w:rsidR="003A3840" w:rsidRPr="00012C17" w:rsidRDefault="00F92796" w:rsidP="001B11C5">
      <w:pPr>
        <w:tabs>
          <w:tab w:val="left" w:pos="630"/>
        </w:tabs>
        <w:spacing w:line="240" w:lineRule="auto"/>
        <w:jc w:val="center"/>
        <w:rPr>
          <w:bCs/>
          <w:color w:val="000000"/>
          <w:sz w:val="24"/>
        </w:rPr>
      </w:pPr>
      <w:r w:rsidRPr="00012C17">
        <w:rPr>
          <w:bCs/>
          <w:color w:val="000000"/>
          <w:sz w:val="24"/>
        </w:rPr>
        <w:t>Article</w:t>
      </w:r>
      <w:r w:rsidR="00EF14ED" w:rsidRPr="00012C17">
        <w:rPr>
          <w:bCs/>
          <w:color w:val="000000"/>
          <w:sz w:val="24"/>
        </w:rPr>
        <w:t xml:space="preserve"> 47</w:t>
      </w:r>
    </w:p>
    <w:p w:rsidR="003A3840" w:rsidRPr="00012C17" w:rsidRDefault="003A3840" w:rsidP="001B11C5">
      <w:pPr>
        <w:spacing w:line="240" w:lineRule="auto"/>
        <w:jc w:val="center"/>
        <w:rPr>
          <w:color w:val="000000"/>
          <w:sz w:val="24"/>
        </w:rPr>
      </w:pPr>
      <w:r w:rsidRPr="00012C17">
        <w:rPr>
          <w:color w:val="000000"/>
          <w:sz w:val="24"/>
        </w:rPr>
        <w:t>[</w:t>
      </w:r>
      <w:r w:rsidR="00F92796" w:rsidRPr="00012C17">
        <w:rPr>
          <w:bCs/>
          <w:color w:val="000000"/>
          <w:sz w:val="24"/>
        </w:rPr>
        <w:t>Individual Requests</w:t>
      </w:r>
      <w:r w:rsidRPr="00012C17">
        <w:rPr>
          <w:color w:val="000000"/>
          <w:sz w:val="24"/>
        </w:rPr>
        <w:t>]</w:t>
      </w:r>
    </w:p>
    <w:p w:rsidR="003A3840" w:rsidRPr="00012C17" w:rsidRDefault="003A3840" w:rsidP="001B11C5">
      <w:pPr>
        <w:spacing w:line="240" w:lineRule="auto"/>
        <w:ind w:left="567"/>
        <w:rPr>
          <w:color w:val="000000"/>
          <w:sz w:val="24"/>
        </w:rPr>
      </w:pPr>
    </w:p>
    <w:p w:rsidR="003A3840" w:rsidRPr="00012C17" w:rsidRDefault="003532BE" w:rsidP="001B11C5">
      <w:pPr>
        <w:spacing w:line="240" w:lineRule="auto"/>
        <w:ind w:left="1170"/>
        <w:rPr>
          <w:i/>
          <w:color w:val="000000"/>
          <w:sz w:val="24"/>
        </w:rPr>
      </w:pPr>
      <w:r w:rsidRPr="00012C17">
        <w:rPr>
          <w:i/>
          <w:color w:val="000000"/>
          <w:sz w:val="24"/>
        </w:rPr>
        <w:t>[</w:t>
      </w:r>
      <w:r w:rsidR="003A3840" w:rsidRPr="00012C17">
        <w:rPr>
          <w:i/>
          <w:color w:val="000000"/>
          <w:sz w:val="24"/>
        </w:rPr>
        <w:t>...</w:t>
      </w:r>
      <w:r w:rsidRPr="00012C17">
        <w:rPr>
          <w:i/>
          <w:color w:val="000000"/>
          <w:sz w:val="24"/>
        </w:rPr>
        <w:t>]</w:t>
      </w:r>
      <w:r w:rsidR="003A3840" w:rsidRPr="00012C17">
        <w:rPr>
          <w:i/>
          <w:color w:val="000000"/>
          <w:sz w:val="24"/>
        </w:rPr>
        <w:t xml:space="preserve"> </w:t>
      </w:r>
    </w:p>
    <w:p w:rsidR="003A3840" w:rsidRPr="00012C17" w:rsidRDefault="003A3840" w:rsidP="001B11C5">
      <w:pPr>
        <w:spacing w:line="240" w:lineRule="auto"/>
        <w:ind w:left="1170"/>
        <w:rPr>
          <w:color w:val="000000"/>
          <w:sz w:val="24"/>
        </w:rPr>
      </w:pPr>
    </w:p>
    <w:p w:rsidR="003A3840" w:rsidRPr="00012C17" w:rsidRDefault="003A3840" w:rsidP="001B11C5">
      <w:pPr>
        <w:autoSpaceDE w:val="0"/>
        <w:autoSpaceDN w:val="0"/>
        <w:adjustRightInd w:val="0"/>
        <w:spacing w:line="240" w:lineRule="auto"/>
        <w:ind w:left="1080"/>
        <w:jc w:val="left"/>
        <w:rPr>
          <w:rFonts w:ascii="Times New Roman" w:hAnsi="Times New Roman"/>
          <w:color w:val="000000"/>
          <w:sz w:val="24"/>
        </w:rPr>
      </w:pPr>
      <w:r w:rsidRPr="00012C17">
        <w:rPr>
          <w:i/>
          <w:iCs/>
          <w:color w:val="000000"/>
          <w:sz w:val="24"/>
        </w:rPr>
        <w:t xml:space="preserve">2. </w:t>
      </w:r>
      <w:r w:rsidR="00312D21" w:rsidRPr="00012C17">
        <w:rPr>
          <w:i/>
          <w:iCs/>
          <w:color w:val="000000"/>
          <w:sz w:val="24"/>
        </w:rPr>
        <w:t>The individual may submit the referral in question only after he/she has exhausted all the legal remedies provided by the law</w:t>
      </w:r>
      <w:r w:rsidRPr="00012C17">
        <w:rPr>
          <w:i/>
          <w:iCs/>
          <w:color w:val="000000"/>
          <w:sz w:val="24"/>
        </w:rPr>
        <w:t xml:space="preserve">. </w:t>
      </w:r>
    </w:p>
    <w:p w:rsidR="003A3840" w:rsidRPr="00012C17" w:rsidRDefault="003A3840" w:rsidP="001B11C5">
      <w:pPr>
        <w:spacing w:line="240" w:lineRule="auto"/>
        <w:ind w:left="1170"/>
        <w:rPr>
          <w:color w:val="000000"/>
          <w:sz w:val="24"/>
        </w:rPr>
      </w:pPr>
    </w:p>
    <w:p w:rsidR="003A3840" w:rsidRPr="00012C17" w:rsidRDefault="00F92796" w:rsidP="001B11C5">
      <w:pPr>
        <w:spacing w:line="240" w:lineRule="auto"/>
        <w:jc w:val="center"/>
        <w:rPr>
          <w:color w:val="000000"/>
          <w:sz w:val="24"/>
        </w:rPr>
      </w:pPr>
      <w:r w:rsidRPr="00012C17">
        <w:rPr>
          <w:color w:val="000000"/>
          <w:sz w:val="24"/>
        </w:rPr>
        <w:t>Rule</w:t>
      </w:r>
      <w:r w:rsidR="003A3840" w:rsidRPr="00012C17">
        <w:rPr>
          <w:color w:val="000000"/>
          <w:sz w:val="24"/>
        </w:rPr>
        <w:t xml:space="preserve"> 39 </w:t>
      </w:r>
    </w:p>
    <w:p w:rsidR="003A3840" w:rsidRPr="00012C17" w:rsidRDefault="003A3840" w:rsidP="001B11C5">
      <w:pPr>
        <w:spacing w:line="240" w:lineRule="auto"/>
        <w:jc w:val="center"/>
        <w:rPr>
          <w:i/>
          <w:color w:val="000000"/>
          <w:sz w:val="24"/>
        </w:rPr>
      </w:pPr>
      <w:r w:rsidRPr="00012C17">
        <w:rPr>
          <w:color w:val="000000"/>
          <w:sz w:val="24"/>
        </w:rPr>
        <w:t>[</w:t>
      </w:r>
      <w:r w:rsidR="00F92796" w:rsidRPr="00012C17">
        <w:rPr>
          <w:bCs/>
          <w:color w:val="000000"/>
          <w:sz w:val="24"/>
        </w:rPr>
        <w:t>Admissibility Criteria</w:t>
      </w:r>
      <w:r w:rsidRPr="00012C17">
        <w:rPr>
          <w:color w:val="000000"/>
          <w:sz w:val="24"/>
        </w:rPr>
        <w:t xml:space="preserve">] </w:t>
      </w:r>
    </w:p>
    <w:p w:rsidR="003A3840" w:rsidRPr="00012C17" w:rsidRDefault="003A3840" w:rsidP="001B11C5">
      <w:pPr>
        <w:spacing w:line="240" w:lineRule="auto"/>
        <w:ind w:left="851"/>
        <w:rPr>
          <w:i/>
          <w:color w:val="000000"/>
          <w:sz w:val="24"/>
        </w:rPr>
      </w:pPr>
    </w:p>
    <w:p w:rsidR="003A3840" w:rsidRPr="00012C17" w:rsidRDefault="003A3840" w:rsidP="001B11C5">
      <w:pPr>
        <w:autoSpaceDE w:val="0"/>
        <w:autoSpaceDN w:val="0"/>
        <w:adjustRightInd w:val="0"/>
        <w:spacing w:line="240" w:lineRule="auto"/>
        <w:ind w:left="720" w:firstLine="360"/>
        <w:jc w:val="left"/>
        <w:rPr>
          <w:rFonts w:cs="Georgia"/>
          <w:i/>
          <w:color w:val="000000"/>
          <w:sz w:val="24"/>
        </w:rPr>
      </w:pPr>
      <w:r w:rsidRPr="00012C17">
        <w:rPr>
          <w:rFonts w:cs="Georgia"/>
          <w:i/>
          <w:color w:val="000000"/>
          <w:sz w:val="24"/>
        </w:rPr>
        <w:t xml:space="preserve">1. </w:t>
      </w:r>
      <w:r w:rsidR="00312D21" w:rsidRPr="00012C17">
        <w:rPr>
          <w:i/>
          <w:color w:val="000000"/>
          <w:sz w:val="24"/>
        </w:rPr>
        <w:t>The Court may consider a referral as admissible if</w:t>
      </w:r>
      <w:r w:rsidRPr="00012C17">
        <w:rPr>
          <w:rFonts w:cs="Georgia"/>
          <w:i/>
          <w:color w:val="000000"/>
          <w:sz w:val="24"/>
        </w:rPr>
        <w:t xml:space="preserve">: </w:t>
      </w:r>
    </w:p>
    <w:p w:rsidR="003A3840" w:rsidRPr="00012C17" w:rsidRDefault="003A3840" w:rsidP="001B11C5">
      <w:pPr>
        <w:spacing w:line="240" w:lineRule="auto"/>
        <w:ind w:left="990"/>
        <w:rPr>
          <w:i/>
          <w:color w:val="000000"/>
          <w:sz w:val="24"/>
        </w:rPr>
      </w:pPr>
    </w:p>
    <w:p w:rsidR="003A3840" w:rsidRPr="00012C17" w:rsidRDefault="003532BE" w:rsidP="001B11C5">
      <w:pPr>
        <w:spacing w:line="240" w:lineRule="auto"/>
        <w:ind w:left="990" w:firstLine="90"/>
        <w:rPr>
          <w:i/>
          <w:color w:val="000000"/>
          <w:sz w:val="24"/>
        </w:rPr>
      </w:pPr>
      <w:r w:rsidRPr="00012C17">
        <w:rPr>
          <w:i/>
          <w:color w:val="000000"/>
          <w:sz w:val="24"/>
        </w:rPr>
        <w:t>[</w:t>
      </w:r>
      <w:r w:rsidR="003A3840" w:rsidRPr="00012C17">
        <w:rPr>
          <w:i/>
          <w:color w:val="000000"/>
          <w:sz w:val="24"/>
        </w:rPr>
        <w:t>…</w:t>
      </w:r>
      <w:r w:rsidRPr="00012C17">
        <w:rPr>
          <w:i/>
          <w:color w:val="000000"/>
          <w:sz w:val="24"/>
        </w:rPr>
        <w:t>]</w:t>
      </w:r>
    </w:p>
    <w:p w:rsidR="003A3840" w:rsidRPr="00012C17" w:rsidRDefault="003A3840" w:rsidP="001B11C5">
      <w:pPr>
        <w:tabs>
          <w:tab w:val="left" w:pos="851"/>
        </w:tabs>
        <w:spacing w:line="240" w:lineRule="auto"/>
        <w:ind w:left="851"/>
        <w:rPr>
          <w:rFonts w:cs="Fd5851"/>
          <w:i/>
          <w:color w:val="000000"/>
          <w:sz w:val="24"/>
        </w:rPr>
      </w:pPr>
    </w:p>
    <w:p w:rsidR="003A3840" w:rsidRPr="00012C17" w:rsidRDefault="003A3840" w:rsidP="001B11C5">
      <w:pPr>
        <w:autoSpaceDE w:val="0"/>
        <w:autoSpaceDN w:val="0"/>
        <w:adjustRightInd w:val="0"/>
        <w:spacing w:line="240" w:lineRule="auto"/>
        <w:ind w:left="1440"/>
        <w:jc w:val="left"/>
        <w:rPr>
          <w:rFonts w:cs="Georgia"/>
          <w:i/>
          <w:color w:val="000000"/>
          <w:sz w:val="24"/>
        </w:rPr>
      </w:pPr>
      <w:r w:rsidRPr="00012C17">
        <w:rPr>
          <w:rFonts w:cs="Georgia"/>
          <w:i/>
          <w:color w:val="000000"/>
          <w:sz w:val="24"/>
        </w:rPr>
        <w:t xml:space="preserve">(b) </w:t>
      </w:r>
      <w:r w:rsidR="00312D21" w:rsidRPr="00012C17">
        <w:rPr>
          <w:i/>
          <w:color w:val="000000"/>
          <w:sz w:val="24"/>
        </w:rPr>
        <w:t>all effective remedies that</w:t>
      </w:r>
      <w:r w:rsidR="006E52F9" w:rsidRPr="00012C17">
        <w:rPr>
          <w:i/>
          <w:color w:val="000000"/>
          <w:sz w:val="24"/>
        </w:rPr>
        <w:t xml:space="preserve"> </w:t>
      </w:r>
      <w:r w:rsidR="00312D21" w:rsidRPr="00012C17">
        <w:rPr>
          <w:i/>
          <w:color w:val="000000"/>
          <w:sz w:val="24"/>
        </w:rPr>
        <w:t>are available under</w:t>
      </w:r>
      <w:r w:rsidR="006E52F9" w:rsidRPr="00012C17">
        <w:rPr>
          <w:i/>
          <w:color w:val="000000"/>
          <w:sz w:val="24"/>
        </w:rPr>
        <w:t xml:space="preserve"> </w:t>
      </w:r>
      <w:r w:rsidR="00312D21" w:rsidRPr="00012C17">
        <w:rPr>
          <w:i/>
          <w:color w:val="000000"/>
          <w:sz w:val="24"/>
        </w:rPr>
        <w:t>the</w:t>
      </w:r>
      <w:r w:rsidR="006E52F9" w:rsidRPr="00012C17">
        <w:rPr>
          <w:i/>
          <w:color w:val="000000"/>
          <w:sz w:val="24"/>
        </w:rPr>
        <w:t xml:space="preserve"> </w:t>
      </w:r>
      <w:r w:rsidR="00312D21" w:rsidRPr="00012C17">
        <w:rPr>
          <w:i/>
          <w:color w:val="000000"/>
          <w:sz w:val="24"/>
        </w:rPr>
        <w:t>law against the judgment or decision challenged have been exhausted</w:t>
      </w:r>
      <w:r w:rsidR="001777F9" w:rsidRPr="00012C17">
        <w:rPr>
          <w:i/>
          <w:color w:val="000000"/>
          <w:sz w:val="24"/>
        </w:rPr>
        <w:t>.</w:t>
      </w:r>
      <w:r w:rsidRPr="00012C17">
        <w:rPr>
          <w:rFonts w:cs="Georgia"/>
          <w:i/>
          <w:color w:val="000000"/>
          <w:sz w:val="24"/>
        </w:rPr>
        <w:t xml:space="preserve"> </w:t>
      </w:r>
    </w:p>
    <w:p w:rsidR="003A3840" w:rsidRPr="00012C17" w:rsidRDefault="003A3840" w:rsidP="001B11C5">
      <w:pPr>
        <w:pStyle w:val="ListParagraph"/>
        <w:tabs>
          <w:tab w:val="left" w:pos="630"/>
        </w:tabs>
        <w:spacing w:after="0" w:line="240" w:lineRule="auto"/>
        <w:jc w:val="both"/>
        <w:rPr>
          <w:rFonts w:ascii="Georgia" w:hAnsi="Georgia"/>
          <w:bCs/>
          <w:i/>
          <w:color w:val="000000"/>
          <w:sz w:val="24"/>
          <w:szCs w:val="24"/>
          <w:lang w:val="en-US"/>
        </w:rPr>
      </w:pPr>
    </w:p>
    <w:p w:rsidR="00F24759"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i/>
          <w:color w:val="000000"/>
          <w:sz w:val="24"/>
          <w:szCs w:val="24"/>
          <w:lang w:val="en-US"/>
        </w:rPr>
      </w:pPr>
      <w:r w:rsidRPr="00012C17">
        <w:rPr>
          <w:rFonts w:ascii="Georgia" w:hAnsi="Georgia"/>
          <w:bCs/>
          <w:color w:val="000000"/>
          <w:sz w:val="24"/>
          <w:szCs w:val="24"/>
          <w:lang w:val="en-US"/>
        </w:rPr>
        <w:t xml:space="preserve">The Court notes that paragraph 7 of Article 113 of the Constitution provides for </w:t>
      </w:r>
      <w:r w:rsidR="00312D21" w:rsidRPr="00012C17">
        <w:rPr>
          <w:rFonts w:ascii="Georgia" w:hAnsi="Georgia"/>
          <w:bCs/>
          <w:color w:val="000000"/>
          <w:sz w:val="24"/>
          <w:szCs w:val="24"/>
          <w:lang w:val="en-US"/>
        </w:rPr>
        <w:t>the obligation to exhaust</w:t>
      </w:r>
      <w:r w:rsidRPr="00012C17">
        <w:rPr>
          <w:rFonts w:ascii="Georgia" w:hAnsi="Georgia"/>
          <w:bCs/>
          <w:color w:val="000000"/>
          <w:sz w:val="24"/>
          <w:szCs w:val="24"/>
          <w:lang w:val="en-US"/>
        </w:rPr>
        <w:t xml:space="preserve"> </w:t>
      </w:r>
      <w:r w:rsidR="00312D21" w:rsidRPr="00012C17">
        <w:rPr>
          <w:rFonts w:ascii="Georgia" w:hAnsi="Georgia"/>
          <w:bCs/>
          <w:color w:val="000000"/>
          <w:sz w:val="24"/>
          <w:szCs w:val="24"/>
          <w:lang w:val="en-US"/>
        </w:rPr>
        <w:t>“</w:t>
      </w:r>
      <w:r w:rsidRPr="00012C17">
        <w:rPr>
          <w:rFonts w:ascii="Georgia" w:hAnsi="Georgia"/>
          <w:bCs/>
          <w:i/>
          <w:iCs/>
          <w:color w:val="000000"/>
          <w:sz w:val="24"/>
          <w:szCs w:val="24"/>
          <w:lang w:val="en-US"/>
        </w:rPr>
        <w:t>all legal remedies provided by law</w:t>
      </w:r>
      <w:r w:rsidR="00312D21"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This constitutional obligation is also defined by Article 47 of the Law and </w:t>
      </w:r>
      <w:r w:rsidR="00312D21" w:rsidRPr="00012C17">
        <w:rPr>
          <w:rFonts w:ascii="Georgia" w:hAnsi="Georgia"/>
          <w:bCs/>
          <w:color w:val="000000"/>
          <w:sz w:val="24"/>
          <w:szCs w:val="24"/>
          <w:lang w:val="en-US"/>
        </w:rPr>
        <w:t>item</w:t>
      </w:r>
      <w:r w:rsidRPr="00012C17">
        <w:rPr>
          <w:rFonts w:ascii="Georgia" w:hAnsi="Georgia"/>
          <w:bCs/>
          <w:color w:val="000000"/>
          <w:sz w:val="24"/>
          <w:szCs w:val="24"/>
          <w:lang w:val="en-US"/>
        </w:rPr>
        <w:t xml:space="preserve"> (b) of paragraph (</w:t>
      </w:r>
      <w:r w:rsidR="00082E1B" w:rsidRPr="00012C17">
        <w:rPr>
          <w:rFonts w:ascii="Georgia" w:hAnsi="Georgia"/>
          <w:bCs/>
          <w:color w:val="000000"/>
          <w:sz w:val="24"/>
          <w:szCs w:val="24"/>
          <w:lang w:val="en-US"/>
        </w:rPr>
        <w:t>1</w:t>
      </w:r>
      <w:r w:rsidRPr="00012C17">
        <w:rPr>
          <w:rFonts w:ascii="Georgia" w:hAnsi="Georgia"/>
          <w:bCs/>
          <w:color w:val="000000"/>
          <w:sz w:val="24"/>
          <w:szCs w:val="24"/>
          <w:lang w:val="en-US"/>
        </w:rPr>
        <w:t>) of Rule 39 and applies both to natural persons and to legal persons, to the extent applicable</w:t>
      </w:r>
      <w:r w:rsidR="009414E7" w:rsidRPr="00012C17">
        <w:rPr>
          <w:rFonts w:ascii="Georgia" w:hAnsi="Georgia"/>
          <w:bCs/>
          <w:color w:val="000000"/>
          <w:sz w:val="24"/>
          <w:szCs w:val="24"/>
          <w:lang w:val="en-US"/>
        </w:rPr>
        <w:t xml:space="preserve">. </w:t>
      </w:r>
    </w:p>
    <w:p w:rsidR="00D95898" w:rsidRPr="00012C17" w:rsidRDefault="00D95898" w:rsidP="001B11C5">
      <w:pPr>
        <w:pStyle w:val="ListParagraph"/>
        <w:tabs>
          <w:tab w:val="left" w:pos="630"/>
        </w:tabs>
        <w:spacing w:after="0" w:line="240" w:lineRule="auto"/>
        <w:ind w:left="630"/>
        <w:jc w:val="both"/>
        <w:rPr>
          <w:rFonts w:ascii="Georgia" w:hAnsi="Georgia"/>
          <w:bCs/>
          <w:i/>
          <w:color w:val="000000"/>
          <w:sz w:val="24"/>
          <w:szCs w:val="24"/>
          <w:lang w:val="en-US"/>
        </w:rPr>
      </w:pPr>
    </w:p>
    <w:p w:rsidR="0043143B" w:rsidRPr="00012C17" w:rsidRDefault="00F92796" w:rsidP="001B11C5">
      <w:pPr>
        <w:pStyle w:val="ListParagraph"/>
        <w:numPr>
          <w:ilvl w:val="0"/>
          <w:numId w:val="1"/>
        </w:numPr>
        <w:tabs>
          <w:tab w:val="left" w:pos="630"/>
        </w:tabs>
        <w:spacing w:after="0" w:line="240" w:lineRule="auto"/>
        <w:ind w:left="630" w:hanging="720"/>
        <w:jc w:val="both"/>
        <w:rPr>
          <w:rFonts w:ascii="Georgia" w:hAnsi="Georgia"/>
          <w:bCs/>
          <w:i/>
          <w:color w:val="000000"/>
          <w:sz w:val="24"/>
          <w:szCs w:val="24"/>
          <w:lang w:val="en-US"/>
        </w:rPr>
      </w:pPr>
      <w:r w:rsidRPr="00012C17">
        <w:rPr>
          <w:rFonts w:ascii="Georgia" w:hAnsi="Georgia"/>
          <w:bCs/>
          <w:color w:val="000000"/>
          <w:sz w:val="24"/>
          <w:szCs w:val="24"/>
          <w:lang w:val="en-US"/>
        </w:rPr>
        <w:t xml:space="preserve">In this regard, the Court must </w:t>
      </w:r>
      <w:r w:rsidR="00312D21" w:rsidRPr="00012C17">
        <w:rPr>
          <w:rFonts w:ascii="Georgia" w:hAnsi="Georgia"/>
          <w:bCs/>
          <w:color w:val="000000"/>
          <w:sz w:val="24"/>
          <w:szCs w:val="24"/>
          <w:lang w:val="en-US"/>
        </w:rPr>
        <w:t>examine</w:t>
      </w:r>
      <w:r w:rsidRPr="00012C17">
        <w:rPr>
          <w:rFonts w:ascii="Georgia" w:hAnsi="Georgia"/>
          <w:bCs/>
          <w:color w:val="000000"/>
          <w:sz w:val="24"/>
          <w:szCs w:val="24"/>
          <w:lang w:val="en-US"/>
        </w:rPr>
        <w:t xml:space="preserve"> </w:t>
      </w:r>
      <w:r w:rsidR="00312D21" w:rsidRPr="00012C17">
        <w:rPr>
          <w:rFonts w:ascii="Georgia" w:hAnsi="Georgia"/>
          <w:bCs/>
          <w:color w:val="000000"/>
          <w:sz w:val="24"/>
          <w:szCs w:val="24"/>
          <w:lang w:val="en-US"/>
        </w:rPr>
        <w:t>whether</w:t>
      </w:r>
      <w:r w:rsidRPr="00012C17">
        <w:rPr>
          <w:rFonts w:ascii="Georgia" w:hAnsi="Georgia"/>
          <w:bCs/>
          <w:color w:val="000000"/>
          <w:sz w:val="24"/>
          <w:szCs w:val="24"/>
          <w:lang w:val="en-US"/>
        </w:rPr>
        <w:t xml:space="preserve"> all legal remedies have been exhausted by the first Applicant, in the capacity of </w:t>
      </w:r>
      <w:r w:rsidR="00082E1B" w:rsidRPr="00012C17">
        <w:rPr>
          <w:rFonts w:ascii="Georgia" w:hAnsi="Georgia"/>
          <w:bCs/>
          <w:color w:val="000000"/>
          <w:sz w:val="24"/>
          <w:szCs w:val="24"/>
          <w:lang w:val="en-US"/>
        </w:rPr>
        <w:t>an</w:t>
      </w:r>
      <w:r w:rsidRPr="00012C17">
        <w:rPr>
          <w:rFonts w:ascii="Georgia" w:hAnsi="Georgia"/>
          <w:bCs/>
          <w:color w:val="000000"/>
          <w:sz w:val="24"/>
          <w:szCs w:val="24"/>
          <w:lang w:val="en-US"/>
        </w:rPr>
        <w:t xml:space="preserve"> individual as a natural person, and by the second Applicant, in the capacity of the </w:t>
      </w:r>
      <w:r w:rsidR="00312D21" w:rsidRPr="00012C17">
        <w:rPr>
          <w:rFonts w:ascii="Georgia" w:hAnsi="Georgia"/>
          <w:bCs/>
          <w:color w:val="000000"/>
          <w:sz w:val="24"/>
          <w:szCs w:val="24"/>
          <w:lang w:val="en-US"/>
        </w:rPr>
        <w:t xml:space="preserve">political entity </w:t>
      </w:r>
      <w:r w:rsidRPr="00012C17">
        <w:rPr>
          <w:rFonts w:ascii="Georgia" w:hAnsi="Georgia"/>
          <w:bCs/>
          <w:color w:val="000000"/>
          <w:sz w:val="24"/>
          <w:szCs w:val="24"/>
          <w:lang w:val="en-US"/>
        </w:rPr>
        <w:t xml:space="preserve">as a legal person. The criteria for assessing whether that obligation is fulfilled are well established in the case-law of the Court and </w:t>
      </w:r>
      <w:r w:rsidR="00AA5EB5" w:rsidRPr="00012C17">
        <w:rPr>
          <w:rFonts w:ascii="Georgia" w:hAnsi="Georgia"/>
          <w:bCs/>
          <w:color w:val="000000"/>
          <w:sz w:val="24"/>
          <w:szCs w:val="24"/>
          <w:lang w:val="en-US"/>
        </w:rPr>
        <w:t>in</w:t>
      </w:r>
      <w:r w:rsidRPr="00012C17">
        <w:rPr>
          <w:rFonts w:ascii="Georgia" w:hAnsi="Georgia"/>
          <w:bCs/>
          <w:color w:val="000000"/>
          <w:sz w:val="24"/>
          <w:szCs w:val="24"/>
          <w:lang w:val="en-US"/>
        </w:rPr>
        <w:t xml:space="preserve"> the </w:t>
      </w:r>
      <w:r w:rsidR="00312D21" w:rsidRPr="00012C17">
        <w:rPr>
          <w:rFonts w:ascii="Georgia" w:hAnsi="Georgia"/>
          <w:bCs/>
          <w:color w:val="000000"/>
          <w:sz w:val="24"/>
          <w:szCs w:val="24"/>
          <w:lang w:val="en-US"/>
        </w:rPr>
        <w:t>case</w:t>
      </w:r>
      <w:r w:rsidR="00012C17" w:rsidRPr="00012C17">
        <w:rPr>
          <w:rFonts w:ascii="Georgia" w:hAnsi="Georgia"/>
          <w:bCs/>
          <w:color w:val="000000"/>
          <w:sz w:val="24"/>
          <w:szCs w:val="24"/>
          <w:lang w:val="en-US"/>
        </w:rPr>
        <w:t>-</w:t>
      </w:r>
      <w:r w:rsidR="00312D21" w:rsidRPr="00012C17">
        <w:rPr>
          <w:rFonts w:ascii="Georgia" w:hAnsi="Georgia"/>
          <w:bCs/>
          <w:color w:val="000000"/>
          <w:sz w:val="24"/>
          <w:szCs w:val="24"/>
          <w:lang w:val="en-US"/>
        </w:rPr>
        <w:t xml:space="preserve">law of the </w:t>
      </w:r>
      <w:r w:rsidRPr="00012C17">
        <w:rPr>
          <w:rFonts w:ascii="Georgia" w:hAnsi="Georgia"/>
          <w:bCs/>
          <w:color w:val="000000"/>
          <w:sz w:val="24"/>
          <w:szCs w:val="24"/>
          <w:lang w:val="en-US"/>
        </w:rPr>
        <w:t>EC</w:t>
      </w:r>
      <w:r w:rsidR="00082E1B" w:rsidRPr="00012C17">
        <w:rPr>
          <w:rFonts w:ascii="Georgia" w:hAnsi="Georgia"/>
          <w:bCs/>
          <w:color w:val="000000"/>
          <w:sz w:val="24"/>
          <w:szCs w:val="24"/>
          <w:lang w:val="en-US"/>
        </w:rPr>
        <w:t>t</w:t>
      </w:r>
      <w:r w:rsidRPr="00012C17">
        <w:rPr>
          <w:rFonts w:ascii="Georgia" w:hAnsi="Georgia"/>
          <w:bCs/>
          <w:color w:val="000000"/>
          <w:sz w:val="24"/>
          <w:szCs w:val="24"/>
          <w:lang w:val="en-US"/>
        </w:rPr>
        <w:t>HR in accordance with which, pursuant to Article 53 [Interpretation of Human Rights Provisions] of the Constitution, the Court is obliged to interpret human rights and fundamental freedoms guaranteed by the Constitution</w:t>
      </w:r>
      <w:r w:rsidR="00470C8C" w:rsidRPr="00012C17">
        <w:rPr>
          <w:rFonts w:ascii="Georgia" w:hAnsi="Georgia"/>
          <w:bCs/>
          <w:color w:val="000000"/>
          <w:sz w:val="24"/>
          <w:szCs w:val="24"/>
          <w:lang w:val="en-US"/>
        </w:rPr>
        <w:t>.</w:t>
      </w:r>
      <w:r w:rsidR="006E52F9" w:rsidRPr="00012C17">
        <w:rPr>
          <w:rFonts w:ascii="Georgia" w:hAnsi="Georgia"/>
          <w:bCs/>
          <w:color w:val="000000"/>
          <w:sz w:val="24"/>
          <w:szCs w:val="24"/>
          <w:lang w:val="en-US"/>
        </w:rPr>
        <w:t xml:space="preserve"> </w:t>
      </w:r>
    </w:p>
    <w:p w:rsidR="0043143B" w:rsidRPr="00012C17" w:rsidRDefault="0043143B" w:rsidP="001B11C5">
      <w:pPr>
        <w:pStyle w:val="ListParagraph"/>
        <w:spacing w:after="0" w:line="240" w:lineRule="auto"/>
        <w:rPr>
          <w:rFonts w:ascii="Georgia" w:hAnsi="Georgia"/>
          <w:bCs/>
          <w:color w:val="000000"/>
          <w:sz w:val="24"/>
          <w:szCs w:val="24"/>
          <w:lang w:val="en-US"/>
        </w:rPr>
      </w:pPr>
    </w:p>
    <w:p w:rsidR="0043143B" w:rsidRPr="00012C17" w:rsidRDefault="00F92796" w:rsidP="001B11C5">
      <w:pPr>
        <w:pStyle w:val="ListParagraph"/>
        <w:numPr>
          <w:ilvl w:val="0"/>
          <w:numId w:val="1"/>
        </w:numPr>
        <w:tabs>
          <w:tab w:val="left" w:pos="630"/>
        </w:tabs>
        <w:spacing w:after="0" w:line="240" w:lineRule="auto"/>
        <w:ind w:left="630" w:hanging="720"/>
        <w:jc w:val="both"/>
        <w:rPr>
          <w:rFonts w:ascii="Georgia" w:hAnsi="Georgia"/>
          <w:bCs/>
          <w:i/>
          <w:color w:val="000000"/>
          <w:sz w:val="24"/>
          <w:szCs w:val="24"/>
          <w:lang w:val="en-US"/>
        </w:rPr>
      </w:pPr>
      <w:r w:rsidRPr="00012C17">
        <w:rPr>
          <w:rFonts w:ascii="Georgia" w:hAnsi="Georgia"/>
          <w:bCs/>
          <w:color w:val="000000"/>
          <w:sz w:val="24"/>
          <w:szCs w:val="24"/>
          <w:lang w:val="en-US"/>
        </w:rPr>
        <w:t xml:space="preserve">In the circumstances of the </w:t>
      </w:r>
      <w:r w:rsidR="00312D21" w:rsidRPr="00012C17">
        <w:rPr>
          <w:rFonts w:ascii="Georgia" w:hAnsi="Georgia"/>
          <w:bCs/>
          <w:color w:val="000000"/>
          <w:sz w:val="24"/>
          <w:szCs w:val="24"/>
          <w:lang w:val="en-US"/>
        </w:rPr>
        <w:t>present</w:t>
      </w:r>
      <w:r w:rsidRPr="00012C17">
        <w:rPr>
          <w:rFonts w:ascii="Georgia" w:hAnsi="Georgia"/>
          <w:bCs/>
          <w:color w:val="000000"/>
          <w:sz w:val="24"/>
          <w:szCs w:val="24"/>
          <w:lang w:val="en-US"/>
        </w:rPr>
        <w:t xml:space="preserve"> case, the Court recalls that</w:t>
      </w:r>
      <w:r w:rsidR="00082E1B" w:rsidRPr="00012C17">
        <w:rPr>
          <w:rFonts w:ascii="Georgia" w:hAnsi="Georgia"/>
          <w:bCs/>
          <w:color w:val="000000"/>
          <w:sz w:val="24"/>
          <w:szCs w:val="24"/>
          <w:lang w:val="en-US"/>
        </w:rPr>
        <w:t xml:space="preserve"> in</w:t>
      </w:r>
      <w:r w:rsidRPr="00012C17">
        <w:rPr>
          <w:rFonts w:ascii="Georgia" w:hAnsi="Georgia"/>
          <w:bCs/>
          <w:color w:val="000000"/>
          <w:sz w:val="24"/>
          <w:szCs w:val="24"/>
          <w:lang w:val="en-US"/>
        </w:rPr>
        <w:t xml:space="preserve"> </w:t>
      </w:r>
      <w:r w:rsidR="00082E1B" w:rsidRPr="00012C17">
        <w:rPr>
          <w:rFonts w:ascii="Georgia" w:hAnsi="Georgia"/>
          <w:bCs/>
          <w:color w:val="000000"/>
          <w:sz w:val="24"/>
          <w:szCs w:val="24"/>
          <w:lang w:val="en-US"/>
        </w:rPr>
        <w:t xml:space="preserve">the </w:t>
      </w:r>
      <w:r w:rsidR="003B7407" w:rsidRPr="00012C17">
        <w:rPr>
          <w:rFonts w:ascii="Georgia" w:hAnsi="Georgia"/>
          <w:bCs/>
          <w:color w:val="000000"/>
          <w:sz w:val="24"/>
          <w:szCs w:val="24"/>
          <w:lang w:val="en-US"/>
        </w:rPr>
        <w:t>f</w:t>
      </w:r>
      <w:r w:rsidR="00082E1B" w:rsidRPr="00012C17">
        <w:rPr>
          <w:rFonts w:ascii="Georgia" w:hAnsi="Georgia"/>
          <w:bCs/>
          <w:color w:val="000000"/>
          <w:sz w:val="24"/>
          <w:szCs w:val="24"/>
          <w:lang w:val="en-US"/>
        </w:rPr>
        <w:t>irst Decision of the Supreme Court</w:t>
      </w:r>
      <w:r w:rsidR="003532BE" w:rsidRPr="00012C17">
        <w:rPr>
          <w:rFonts w:ascii="Georgia" w:hAnsi="Georgia"/>
          <w:bCs/>
          <w:color w:val="000000"/>
          <w:sz w:val="24"/>
          <w:szCs w:val="24"/>
          <w:lang w:val="en-US"/>
        </w:rPr>
        <w:t>, respectively Decision</w:t>
      </w:r>
      <w:r w:rsidR="00082E1B" w:rsidRPr="00012C17">
        <w:rPr>
          <w:rFonts w:ascii="Georgia" w:hAnsi="Georgia"/>
          <w:bCs/>
          <w:color w:val="000000"/>
          <w:sz w:val="24"/>
          <w:szCs w:val="24"/>
          <w:lang w:val="en-US"/>
        </w:rPr>
        <w:t xml:space="preserve"> [AA. No. 52/2017], </w:t>
      </w:r>
      <w:r w:rsidRPr="00012C17">
        <w:rPr>
          <w:rFonts w:ascii="Georgia" w:hAnsi="Georgia"/>
          <w:bCs/>
          <w:color w:val="000000"/>
          <w:sz w:val="24"/>
          <w:szCs w:val="24"/>
          <w:lang w:val="en-US"/>
        </w:rPr>
        <w:t xml:space="preserve">only the second Applicant, </w:t>
      </w:r>
      <w:r w:rsidR="00312D21" w:rsidRPr="00012C17">
        <w:rPr>
          <w:rFonts w:ascii="Georgia" w:hAnsi="Georgia"/>
          <w:bCs/>
          <w:color w:val="000000"/>
          <w:sz w:val="24"/>
          <w:szCs w:val="24"/>
          <w:lang w:val="en-US"/>
        </w:rPr>
        <w:t>namely the</w:t>
      </w:r>
      <w:r w:rsidRPr="00012C17">
        <w:rPr>
          <w:rFonts w:ascii="Georgia" w:hAnsi="Georgia"/>
          <w:bCs/>
          <w:color w:val="000000"/>
          <w:sz w:val="24"/>
          <w:szCs w:val="24"/>
          <w:lang w:val="en-US"/>
        </w:rPr>
        <w:t xml:space="preserve"> LDK as a </w:t>
      </w:r>
      <w:r w:rsidR="00312D21" w:rsidRPr="00012C17">
        <w:rPr>
          <w:rFonts w:ascii="Georgia" w:hAnsi="Georgia"/>
          <w:bCs/>
          <w:color w:val="000000"/>
          <w:sz w:val="24"/>
          <w:szCs w:val="24"/>
          <w:lang w:val="en-US"/>
        </w:rPr>
        <w:t>political entity</w:t>
      </w:r>
      <w:r w:rsidRPr="00012C17">
        <w:rPr>
          <w:rFonts w:ascii="Georgia" w:hAnsi="Georgia"/>
          <w:bCs/>
          <w:color w:val="000000"/>
          <w:sz w:val="24"/>
          <w:szCs w:val="24"/>
          <w:lang w:val="en-US"/>
        </w:rPr>
        <w:t xml:space="preserve">, specifically, a legal person, was a party to the proceedings before the ECAP and the Supreme Court. The first </w:t>
      </w:r>
      <w:r w:rsidR="00312D21" w:rsidRPr="00012C17">
        <w:rPr>
          <w:rFonts w:ascii="Georgia" w:hAnsi="Georgia"/>
          <w:bCs/>
          <w:color w:val="000000"/>
          <w:sz w:val="24"/>
          <w:szCs w:val="24"/>
          <w:lang w:val="en-US"/>
        </w:rPr>
        <w:t>Applicant</w:t>
      </w:r>
      <w:r w:rsidRPr="00012C17">
        <w:rPr>
          <w:rFonts w:ascii="Georgia" w:hAnsi="Georgia"/>
          <w:bCs/>
          <w:color w:val="000000"/>
          <w:sz w:val="24"/>
          <w:szCs w:val="24"/>
          <w:lang w:val="en-US"/>
        </w:rPr>
        <w:t xml:space="preserve"> </w:t>
      </w:r>
      <w:r w:rsidR="00312D21" w:rsidRPr="00012C17">
        <w:rPr>
          <w:rFonts w:ascii="Georgia" w:hAnsi="Georgia"/>
          <w:bCs/>
          <w:color w:val="000000"/>
          <w:sz w:val="24"/>
          <w:szCs w:val="24"/>
          <w:lang w:val="en-US"/>
        </w:rPr>
        <w:t>was not</w:t>
      </w:r>
      <w:r w:rsidRPr="00012C17">
        <w:rPr>
          <w:rFonts w:ascii="Georgia" w:hAnsi="Georgia"/>
          <w:bCs/>
          <w:color w:val="000000"/>
          <w:sz w:val="24"/>
          <w:szCs w:val="24"/>
          <w:lang w:val="en-US"/>
        </w:rPr>
        <w:t xml:space="preserve"> a procedural party although the applicable law, namely </w:t>
      </w:r>
      <w:r w:rsidR="001363DB" w:rsidRPr="00012C17">
        <w:rPr>
          <w:rFonts w:ascii="Georgia" w:hAnsi="Georgia"/>
          <w:bCs/>
          <w:color w:val="000000"/>
          <w:sz w:val="24"/>
          <w:szCs w:val="24"/>
          <w:lang w:val="en-US"/>
        </w:rPr>
        <w:t>through</w:t>
      </w:r>
      <w:r w:rsidRPr="00012C17">
        <w:rPr>
          <w:rFonts w:ascii="Georgia" w:hAnsi="Georgia"/>
          <w:bCs/>
          <w:color w:val="000000"/>
          <w:sz w:val="24"/>
          <w:szCs w:val="24"/>
          <w:lang w:val="en-US"/>
        </w:rPr>
        <w:t xml:space="preserve"> Article 119.1, foresees </w:t>
      </w:r>
      <w:r w:rsidR="001363DB" w:rsidRPr="00012C17">
        <w:rPr>
          <w:rFonts w:ascii="Georgia" w:hAnsi="Georgia"/>
          <w:bCs/>
          <w:color w:val="000000"/>
          <w:sz w:val="24"/>
          <w:szCs w:val="24"/>
          <w:lang w:val="en-US"/>
        </w:rPr>
        <w:t xml:space="preserve">this </w:t>
      </w:r>
      <w:r w:rsidRPr="00012C17">
        <w:rPr>
          <w:rFonts w:ascii="Georgia" w:hAnsi="Georgia"/>
          <w:bCs/>
          <w:color w:val="000000"/>
          <w:sz w:val="24"/>
          <w:szCs w:val="24"/>
          <w:lang w:val="en-US"/>
        </w:rPr>
        <w:t xml:space="preserve">opportunity for </w:t>
      </w:r>
      <w:r w:rsidR="00C51F8F" w:rsidRPr="00012C17">
        <w:rPr>
          <w:rFonts w:ascii="Georgia" w:hAnsi="Georgia"/>
          <w:bCs/>
          <w:color w:val="000000"/>
          <w:sz w:val="24"/>
          <w:szCs w:val="24"/>
          <w:lang w:val="en-US"/>
        </w:rPr>
        <w:t>legal</w:t>
      </w:r>
      <w:r w:rsidRPr="00012C17">
        <w:rPr>
          <w:rFonts w:ascii="Georgia" w:hAnsi="Georgia"/>
          <w:bCs/>
          <w:color w:val="000000"/>
          <w:sz w:val="24"/>
          <w:szCs w:val="24"/>
          <w:lang w:val="en-US"/>
        </w:rPr>
        <w:t xml:space="preserve"> persons, </w:t>
      </w:r>
      <w:r w:rsidR="00C51F8F" w:rsidRPr="00012C17">
        <w:rPr>
          <w:rFonts w:ascii="Georgia" w:hAnsi="Georgia"/>
          <w:bCs/>
          <w:color w:val="000000"/>
          <w:sz w:val="24"/>
          <w:szCs w:val="24"/>
          <w:lang w:val="en-US"/>
        </w:rPr>
        <w:t>i.e.</w:t>
      </w:r>
      <w:r w:rsidRPr="00012C17">
        <w:rPr>
          <w:rFonts w:ascii="Georgia" w:hAnsi="Georgia"/>
          <w:bCs/>
          <w:color w:val="000000"/>
          <w:sz w:val="24"/>
          <w:szCs w:val="24"/>
          <w:lang w:val="en-US"/>
        </w:rPr>
        <w:t xml:space="preserve"> candidates who have an interest in protecting their fundamental rights and freedoms. Consequently, the Court concludes that</w:t>
      </w:r>
      <w:r w:rsidR="00C51F8F" w:rsidRPr="00012C17">
        <w:rPr>
          <w:rFonts w:ascii="Georgia" w:hAnsi="Georgia"/>
          <w:bCs/>
          <w:color w:val="000000"/>
          <w:sz w:val="24"/>
          <w:szCs w:val="24"/>
          <w:lang w:val="en-US"/>
        </w:rPr>
        <w:t xml:space="preserve"> only</w:t>
      </w:r>
      <w:r w:rsidRPr="00012C17">
        <w:rPr>
          <w:rFonts w:ascii="Georgia" w:hAnsi="Georgia"/>
          <w:bCs/>
          <w:color w:val="000000"/>
          <w:sz w:val="24"/>
          <w:szCs w:val="24"/>
          <w:lang w:val="en-US"/>
        </w:rPr>
        <w:t xml:space="preserve"> the second Applicant has exhausted all </w:t>
      </w:r>
      <w:r w:rsidR="00C51F8F" w:rsidRPr="00012C17">
        <w:rPr>
          <w:rFonts w:ascii="Georgia" w:hAnsi="Georgia"/>
          <w:bCs/>
          <w:color w:val="000000"/>
          <w:sz w:val="24"/>
          <w:szCs w:val="24"/>
          <w:lang w:val="en-US"/>
        </w:rPr>
        <w:t xml:space="preserve">legal </w:t>
      </w:r>
      <w:r w:rsidRPr="00012C17">
        <w:rPr>
          <w:rFonts w:ascii="Georgia" w:hAnsi="Georgia"/>
          <w:bCs/>
          <w:color w:val="000000"/>
          <w:sz w:val="24"/>
          <w:szCs w:val="24"/>
          <w:lang w:val="en-US"/>
        </w:rPr>
        <w:t xml:space="preserve">remedies and the Court will review the constitutionality of </w:t>
      </w:r>
      <w:r w:rsidR="00C51F8F" w:rsidRPr="00012C17">
        <w:rPr>
          <w:rFonts w:ascii="Georgia" w:hAnsi="Georgia"/>
          <w:bCs/>
          <w:color w:val="000000"/>
          <w:sz w:val="24"/>
          <w:szCs w:val="24"/>
          <w:lang w:val="en-US"/>
        </w:rPr>
        <w:t xml:space="preserve">the </w:t>
      </w:r>
      <w:r w:rsidR="003B7407" w:rsidRPr="00012C17">
        <w:rPr>
          <w:rFonts w:ascii="Georgia" w:hAnsi="Georgia"/>
          <w:bCs/>
          <w:color w:val="000000"/>
          <w:sz w:val="24"/>
          <w:szCs w:val="24"/>
          <w:lang w:val="en-US"/>
        </w:rPr>
        <w:t>f</w:t>
      </w:r>
      <w:r w:rsidR="00082E1B" w:rsidRPr="00012C17">
        <w:rPr>
          <w:rFonts w:ascii="Georgia" w:hAnsi="Georgia"/>
          <w:bCs/>
          <w:color w:val="000000"/>
          <w:sz w:val="24"/>
          <w:szCs w:val="24"/>
          <w:lang w:val="en-US"/>
        </w:rPr>
        <w:t xml:space="preserve">irst Decision </w:t>
      </w:r>
      <w:r w:rsidRPr="00012C17">
        <w:rPr>
          <w:rFonts w:ascii="Georgia" w:hAnsi="Georgia"/>
          <w:bCs/>
          <w:color w:val="000000"/>
          <w:sz w:val="24"/>
          <w:szCs w:val="24"/>
          <w:lang w:val="en-US"/>
        </w:rPr>
        <w:t>of the Supreme Court in relation to the rights and freedoms guaranteed by the Constitution belonging to the LDK as a political party and a legal person</w:t>
      </w:r>
      <w:r w:rsidR="007F79AE" w:rsidRPr="00012C17">
        <w:rPr>
          <w:rFonts w:ascii="Georgia" w:hAnsi="Georgia"/>
          <w:bCs/>
          <w:color w:val="000000"/>
          <w:sz w:val="24"/>
          <w:szCs w:val="24"/>
          <w:lang w:val="en-US"/>
        </w:rPr>
        <w:t>.</w:t>
      </w:r>
      <w:r w:rsidR="00C51F8F" w:rsidRPr="00012C17">
        <w:rPr>
          <w:rFonts w:ascii="Georgia" w:hAnsi="Georgia"/>
          <w:bCs/>
          <w:color w:val="000000"/>
          <w:sz w:val="24"/>
          <w:szCs w:val="24"/>
          <w:lang w:val="en-US"/>
        </w:rPr>
        <w:t xml:space="preserve"> </w:t>
      </w:r>
      <w:r w:rsidR="00082E1B" w:rsidRPr="00012C17">
        <w:rPr>
          <w:rFonts w:ascii="Georgia" w:hAnsi="Georgia"/>
          <w:bCs/>
          <w:color w:val="000000"/>
          <w:sz w:val="24"/>
          <w:szCs w:val="24"/>
          <w:lang w:val="en-US"/>
        </w:rPr>
        <w:t xml:space="preserve">(See, </w:t>
      </w:r>
      <w:r w:rsidR="00082E1B" w:rsidRPr="00012C17">
        <w:rPr>
          <w:rFonts w:ascii="Georgia" w:hAnsi="Georgia"/>
          <w:bCs/>
          <w:i/>
          <w:iCs/>
          <w:color w:val="000000"/>
          <w:sz w:val="24"/>
          <w:szCs w:val="24"/>
          <w:lang w:val="en-US"/>
        </w:rPr>
        <w:t>mutatis mutandis</w:t>
      </w:r>
      <w:r w:rsidR="00082E1B" w:rsidRPr="00012C17">
        <w:rPr>
          <w:rFonts w:ascii="Georgia" w:hAnsi="Georgia"/>
          <w:bCs/>
          <w:color w:val="000000"/>
          <w:sz w:val="24"/>
          <w:szCs w:val="24"/>
          <w:lang w:val="en-US"/>
        </w:rPr>
        <w:t xml:space="preserve">, political entities as Applicants before the ECtHR for electoral disputes, </w:t>
      </w:r>
      <w:r w:rsidR="00082E1B" w:rsidRPr="00012C17">
        <w:rPr>
          <w:rFonts w:ascii="Georgia" w:hAnsi="Georgia"/>
          <w:bCs/>
          <w:i/>
          <w:iCs/>
          <w:color w:val="000000"/>
          <w:sz w:val="24"/>
          <w:szCs w:val="24"/>
          <w:lang w:val="en-US"/>
        </w:rPr>
        <w:t>Refah Partisi (Social Welfare Party) and Others v. Turkey</w:t>
      </w:r>
      <w:r w:rsidR="00082E1B" w:rsidRPr="00012C17">
        <w:rPr>
          <w:rFonts w:ascii="Georgia" w:hAnsi="Georgia"/>
          <w:bCs/>
          <w:color w:val="000000"/>
          <w:sz w:val="24"/>
          <w:szCs w:val="24"/>
          <w:lang w:val="en-US"/>
        </w:rPr>
        <w:t xml:space="preserve">, Nos. 41340/98, 41342/98, 41343/98 and 41344/98, See also the case of the </w:t>
      </w:r>
      <w:r w:rsidR="00082E1B" w:rsidRPr="00012C17">
        <w:rPr>
          <w:rFonts w:ascii="Georgia" w:hAnsi="Georgia"/>
          <w:bCs/>
          <w:i/>
          <w:iCs/>
          <w:color w:val="000000"/>
          <w:sz w:val="24"/>
          <w:szCs w:val="24"/>
          <w:lang w:val="en-US"/>
        </w:rPr>
        <w:t>Russian Conservative Party of Entrepreneurs and Others v. Russia</w:t>
      </w:r>
      <w:r w:rsidR="00082E1B" w:rsidRPr="00012C17">
        <w:rPr>
          <w:rFonts w:ascii="Georgia" w:hAnsi="Georgia"/>
          <w:bCs/>
          <w:color w:val="000000"/>
          <w:sz w:val="24"/>
          <w:szCs w:val="24"/>
          <w:lang w:val="en-US"/>
        </w:rPr>
        <w:t>, No. 55066/00 and 55638/00, Judgment of 11 January 2007, where the Applicant was a political entity along with the candidate who competed under the sign of that same political entity).</w:t>
      </w:r>
    </w:p>
    <w:p w:rsidR="00082E1B" w:rsidRPr="00012C17" w:rsidRDefault="00082E1B" w:rsidP="001B11C5">
      <w:pPr>
        <w:pStyle w:val="ListParagraph"/>
        <w:tabs>
          <w:tab w:val="left" w:pos="630"/>
        </w:tabs>
        <w:spacing w:after="0" w:line="240" w:lineRule="auto"/>
        <w:ind w:left="630"/>
        <w:jc w:val="both"/>
        <w:rPr>
          <w:rFonts w:ascii="Georgia" w:hAnsi="Georgia"/>
          <w:bCs/>
          <w:i/>
          <w:color w:val="000000"/>
          <w:sz w:val="24"/>
          <w:szCs w:val="24"/>
          <w:lang w:val="en-US"/>
        </w:rPr>
      </w:pPr>
    </w:p>
    <w:p w:rsidR="0043143B" w:rsidRPr="00012C17" w:rsidRDefault="00C51F8F" w:rsidP="001B11C5">
      <w:pPr>
        <w:pStyle w:val="ListParagraph"/>
        <w:numPr>
          <w:ilvl w:val="0"/>
          <w:numId w:val="1"/>
        </w:numPr>
        <w:tabs>
          <w:tab w:val="left" w:pos="630"/>
        </w:tabs>
        <w:spacing w:after="0" w:line="240" w:lineRule="auto"/>
        <w:ind w:left="630" w:hanging="720"/>
        <w:jc w:val="both"/>
        <w:rPr>
          <w:rFonts w:ascii="Georgia" w:hAnsi="Georgia"/>
          <w:bCs/>
          <w:i/>
          <w:color w:val="000000"/>
          <w:sz w:val="24"/>
          <w:szCs w:val="24"/>
          <w:lang w:val="en-US"/>
        </w:rPr>
      </w:pPr>
      <w:r w:rsidRPr="00012C17">
        <w:rPr>
          <w:rFonts w:ascii="Georgia" w:hAnsi="Georgia"/>
          <w:bCs/>
          <w:color w:val="000000"/>
          <w:sz w:val="24"/>
          <w:szCs w:val="24"/>
          <w:lang w:val="en-US"/>
        </w:rPr>
        <w:lastRenderedPageBreak/>
        <w:t>In addition</w:t>
      </w:r>
      <w:r w:rsidR="00F92796" w:rsidRPr="00012C17">
        <w:rPr>
          <w:rFonts w:ascii="Georgia" w:hAnsi="Georgia"/>
          <w:bCs/>
          <w:color w:val="000000"/>
          <w:sz w:val="24"/>
          <w:szCs w:val="24"/>
          <w:lang w:val="en-US"/>
        </w:rPr>
        <w:t xml:space="preserve">, with regard to the </w:t>
      </w:r>
      <w:r w:rsidR="003B7407" w:rsidRPr="00012C17">
        <w:rPr>
          <w:rFonts w:ascii="Georgia" w:hAnsi="Georgia"/>
          <w:bCs/>
          <w:color w:val="000000"/>
          <w:sz w:val="24"/>
          <w:szCs w:val="24"/>
          <w:lang w:val="en-US"/>
        </w:rPr>
        <w:t>s</w:t>
      </w:r>
      <w:r w:rsidR="00F92796" w:rsidRPr="00012C17">
        <w:rPr>
          <w:rFonts w:ascii="Georgia" w:hAnsi="Georgia"/>
          <w:bCs/>
          <w:color w:val="000000"/>
          <w:sz w:val="24"/>
          <w:szCs w:val="24"/>
          <w:lang w:val="en-US"/>
        </w:rPr>
        <w:t xml:space="preserve">econd and </w:t>
      </w:r>
      <w:r w:rsidR="003532BE" w:rsidRPr="00012C17">
        <w:rPr>
          <w:rFonts w:ascii="Georgia" w:hAnsi="Georgia"/>
          <w:bCs/>
          <w:color w:val="000000"/>
          <w:sz w:val="24"/>
          <w:szCs w:val="24"/>
          <w:lang w:val="en-US"/>
        </w:rPr>
        <w:t xml:space="preserve">the </w:t>
      </w:r>
      <w:r w:rsidRPr="00012C17">
        <w:rPr>
          <w:rFonts w:ascii="Georgia" w:hAnsi="Georgia"/>
          <w:bCs/>
          <w:color w:val="000000"/>
          <w:sz w:val="24"/>
          <w:szCs w:val="24"/>
          <w:lang w:val="en-US"/>
        </w:rPr>
        <w:t>l</w:t>
      </w:r>
      <w:r w:rsidR="00F92796" w:rsidRPr="00012C17">
        <w:rPr>
          <w:rFonts w:ascii="Georgia" w:hAnsi="Georgia"/>
          <w:bCs/>
          <w:color w:val="000000"/>
          <w:sz w:val="24"/>
          <w:szCs w:val="24"/>
          <w:lang w:val="en-US"/>
        </w:rPr>
        <w:t xml:space="preserve">ast </w:t>
      </w:r>
      <w:r w:rsidR="00082E1B" w:rsidRPr="00012C17">
        <w:rPr>
          <w:rFonts w:ascii="Georgia" w:hAnsi="Georgia"/>
          <w:bCs/>
          <w:color w:val="000000"/>
          <w:sz w:val="24"/>
          <w:szCs w:val="24"/>
          <w:lang w:val="en-US"/>
        </w:rPr>
        <w:t>D</w:t>
      </w:r>
      <w:r w:rsidRPr="00012C17">
        <w:rPr>
          <w:rFonts w:ascii="Georgia" w:hAnsi="Georgia"/>
          <w:bCs/>
          <w:color w:val="000000"/>
          <w:sz w:val="24"/>
          <w:szCs w:val="24"/>
          <w:lang w:val="en-US"/>
        </w:rPr>
        <w:t>ecision</w:t>
      </w:r>
      <w:r w:rsidR="00F92796" w:rsidRPr="00012C17">
        <w:rPr>
          <w:rFonts w:ascii="Georgia" w:hAnsi="Georgia"/>
          <w:bCs/>
          <w:color w:val="000000"/>
          <w:sz w:val="24"/>
          <w:szCs w:val="24"/>
          <w:lang w:val="en-US"/>
        </w:rPr>
        <w:t xml:space="preserve"> of the Supreme Court</w:t>
      </w:r>
      <w:r w:rsidR="003532BE" w:rsidRPr="00012C17">
        <w:rPr>
          <w:rFonts w:ascii="Georgia" w:hAnsi="Georgia"/>
          <w:bCs/>
          <w:color w:val="000000"/>
          <w:sz w:val="24"/>
          <w:szCs w:val="24"/>
          <w:lang w:val="en-US"/>
        </w:rPr>
        <w:t>, respectively Judgment</w:t>
      </w:r>
      <w:r w:rsidR="00F92796" w:rsidRPr="00012C17">
        <w:rPr>
          <w:rFonts w:ascii="Georgia" w:hAnsi="Georgia"/>
          <w:bCs/>
          <w:color w:val="000000"/>
          <w:sz w:val="24"/>
          <w:szCs w:val="24"/>
          <w:lang w:val="en-US"/>
        </w:rPr>
        <w:t xml:space="preserve"> [AA.</w:t>
      </w:r>
      <w:r w:rsidR="006634E8" w:rsidRPr="00012C17">
        <w:rPr>
          <w:rFonts w:ascii="Georgia" w:hAnsi="Georgia"/>
          <w:bCs/>
          <w:color w:val="000000"/>
          <w:sz w:val="24"/>
          <w:szCs w:val="24"/>
          <w:lang w:val="en-US"/>
        </w:rPr>
        <w:t xml:space="preserve"> </w:t>
      </w:r>
      <w:r w:rsidR="00F92796" w:rsidRPr="00012C17">
        <w:rPr>
          <w:rFonts w:ascii="Georgia" w:hAnsi="Georgia"/>
          <w:bCs/>
          <w:color w:val="000000"/>
          <w:sz w:val="24"/>
          <w:szCs w:val="24"/>
          <w:lang w:val="en-US"/>
        </w:rPr>
        <w:t>U.ZH.</w:t>
      </w:r>
      <w:r w:rsidRPr="00012C17">
        <w:rPr>
          <w:rFonts w:ascii="Georgia" w:hAnsi="Georgia"/>
          <w:bCs/>
          <w:color w:val="000000"/>
          <w:sz w:val="24"/>
          <w:szCs w:val="24"/>
          <w:lang w:val="en-US"/>
        </w:rPr>
        <w:t xml:space="preserve"> No</w:t>
      </w:r>
      <w:r w:rsidR="00F92796"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62/</w:t>
      </w:r>
      <w:r w:rsidR="00F92796" w:rsidRPr="00012C17">
        <w:rPr>
          <w:rFonts w:ascii="Georgia" w:hAnsi="Georgia"/>
          <w:bCs/>
          <w:color w:val="000000"/>
          <w:sz w:val="24"/>
          <w:szCs w:val="24"/>
          <w:lang w:val="en-US"/>
        </w:rPr>
        <w:t xml:space="preserve">2017], </w:t>
      </w:r>
      <w:r w:rsidR="00460F9F" w:rsidRPr="00012C17">
        <w:rPr>
          <w:rFonts w:ascii="Georgia" w:hAnsi="Georgia"/>
          <w:bCs/>
          <w:color w:val="000000"/>
          <w:sz w:val="24"/>
          <w:szCs w:val="24"/>
          <w:lang w:val="en-US"/>
        </w:rPr>
        <w:t>the Court recalls that parties</w:t>
      </w:r>
      <w:r w:rsidR="00F92796" w:rsidRPr="00012C17">
        <w:rPr>
          <w:rFonts w:ascii="Georgia" w:hAnsi="Georgia"/>
          <w:bCs/>
          <w:color w:val="000000"/>
          <w:sz w:val="24"/>
          <w:szCs w:val="24"/>
          <w:lang w:val="en-US"/>
        </w:rPr>
        <w:t xml:space="preserve"> </w:t>
      </w:r>
      <w:r w:rsidRPr="00012C17">
        <w:rPr>
          <w:rFonts w:ascii="Georgia" w:hAnsi="Georgia"/>
          <w:bCs/>
          <w:color w:val="000000"/>
          <w:sz w:val="24"/>
          <w:szCs w:val="24"/>
          <w:lang w:val="en-US"/>
        </w:rPr>
        <w:t>to</w:t>
      </w:r>
      <w:r w:rsidR="00F92796" w:rsidRPr="00012C17">
        <w:rPr>
          <w:rFonts w:ascii="Georgia" w:hAnsi="Georgia"/>
          <w:bCs/>
          <w:color w:val="000000"/>
          <w:sz w:val="24"/>
          <w:szCs w:val="24"/>
          <w:lang w:val="en-US"/>
        </w:rPr>
        <w:t xml:space="preserve"> the proceedings were both</w:t>
      </w:r>
      <w:r w:rsidR="00460F9F" w:rsidRPr="00012C17">
        <w:rPr>
          <w:rFonts w:ascii="Georgia" w:hAnsi="Georgia"/>
          <w:bCs/>
          <w:color w:val="000000"/>
          <w:sz w:val="24"/>
          <w:szCs w:val="24"/>
          <w:lang w:val="en-US"/>
        </w:rPr>
        <w:t>,</w:t>
      </w:r>
      <w:r w:rsidR="00F92796" w:rsidRPr="00012C17">
        <w:rPr>
          <w:rFonts w:ascii="Georgia" w:hAnsi="Georgia"/>
          <w:bCs/>
          <w:color w:val="000000"/>
          <w:sz w:val="24"/>
          <w:szCs w:val="24"/>
          <w:lang w:val="en-US"/>
        </w:rPr>
        <w:t xml:space="preserve"> the first and the second Applicant. Consequently, the Court finds that both Applicants have exhausted all </w:t>
      </w:r>
      <w:r w:rsidRPr="00012C17">
        <w:rPr>
          <w:rFonts w:ascii="Georgia" w:hAnsi="Georgia"/>
          <w:bCs/>
          <w:color w:val="000000"/>
          <w:sz w:val="24"/>
          <w:szCs w:val="24"/>
          <w:lang w:val="en-US"/>
        </w:rPr>
        <w:t xml:space="preserve">legal </w:t>
      </w:r>
      <w:r w:rsidR="00F92796" w:rsidRPr="00012C17">
        <w:rPr>
          <w:rFonts w:ascii="Georgia" w:hAnsi="Georgia"/>
          <w:bCs/>
          <w:color w:val="000000"/>
          <w:sz w:val="24"/>
          <w:szCs w:val="24"/>
          <w:lang w:val="en-US"/>
        </w:rPr>
        <w:t xml:space="preserve">remedies and the Court will review the constitutionality of the </w:t>
      </w:r>
      <w:r w:rsidR="003B7407" w:rsidRPr="00012C17">
        <w:rPr>
          <w:rFonts w:ascii="Georgia" w:hAnsi="Georgia"/>
          <w:bCs/>
          <w:color w:val="000000"/>
          <w:sz w:val="24"/>
          <w:szCs w:val="24"/>
          <w:lang w:val="en-US"/>
        </w:rPr>
        <w:t>s</w:t>
      </w:r>
      <w:r w:rsidR="00082E1B" w:rsidRPr="00012C17">
        <w:rPr>
          <w:rFonts w:ascii="Georgia" w:hAnsi="Georgia"/>
          <w:bCs/>
          <w:color w:val="000000"/>
          <w:sz w:val="24"/>
          <w:szCs w:val="24"/>
          <w:lang w:val="en-US"/>
        </w:rPr>
        <w:t xml:space="preserve">econd Decision </w:t>
      </w:r>
      <w:r w:rsidRPr="00012C17">
        <w:rPr>
          <w:rFonts w:ascii="Georgia" w:hAnsi="Georgia"/>
          <w:bCs/>
          <w:color w:val="000000"/>
          <w:sz w:val="24"/>
          <w:szCs w:val="24"/>
          <w:lang w:val="en-US"/>
        </w:rPr>
        <w:t xml:space="preserve">of the </w:t>
      </w:r>
      <w:r w:rsidR="00F92796" w:rsidRPr="00012C17">
        <w:rPr>
          <w:rFonts w:ascii="Georgia" w:hAnsi="Georgia"/>
          <w:bCs/>
          <w:color w:val="000000"/>
          <w:sz w:val="24"/>
          <w:szCs w:val="24"/>
          <w:lang w:val="en-US"/>
        </w:rPr>
        <w:t>Supreme Court [AA.</w:t>
      </w:r>
      <w:r w:rsidR="006634E8" w:rsidRPr="00012C17">
        <w:rPr>
          <w:rFonts w:ascii="Georgia" w:hAnsi="Georgia"/>
          <w:bCs/>
          <w:color w:val="000000"/>
          <w:sz w:val="24"/>
          <w:szCs w:val="24"/>
          <w:lang w:val="en-US"/>
        </w:rPr>
        <w:t xml:space="preserve"> </w:t>
      </w:r>
      <w:r w:rsidR="00F92796" w:rsidRPr="00012C17">
        <w:rPr>
          <w:rFonts w:ascii="Georgia" w:hAnsi="Georgia"/>
          <w:bCs/>
          <w:color w:val="000000"/>
          <w:sz w:val="24"/>
          <w:szCs w:val="24"/>
          <w:lang w:val="en-US"/>
        </w:rPr>
        <w:t>U.ZH.</w:t>
      </w:r>
      <w:r w:rsidRPr="00012C17">
        <w:rPr>
          <w:rFonts w:ascii="Georgia" w:hAnsi="Georgia"/>
          <w:bCs/>
          <w:color w:val="000000"/>
          <w:sz w:val="24"/>
          <w:szCs w:val="24"/>
          <w:lang w:val="en-US"/>
        </w:rPr>
        <w:t xml:space="preserve"> No</w:t>
      </w:r>
      <w:r w:rsidR="00F92796" w:rsidRPr="00012C17">
        <w:rPr>
          <w:rFonts w:ascii="Georgia" w:hAnsi="Georgia"/>
          <w:bCs/>
          <w:color w:val="000000"/>
          <w:sz w:val="24"/>
          <w:szCs w:val="24"/>
          <w:lang w:val="en-US"/>
        </w:rPr>
        <w:t>.</w:t>
      </w:r>
      <w:r w:rsidRPr="00012C17">
        <w:rPr>
          <w:rFonts w:ascii="Georgia" w:hAnsi="Georgia"/>
          <w:bCs/>
          <w:color w:val="000000"/>
          <w:sz w:val="24"/>
          <w:szCs w:val="24"/>
          <w:lang w:val="en-US"/>
        </w:rPr>
        <w:t xml:space="preserve"> 62/</w:t>
      </w:r>
      <w:r w:rsidR="00F92796" w:rsidRPr="00012C17">
        <w:rPr>
          <w:rFonts w:ascii="Georgia" w:hAnsi="Georgia"/>
          <w:bCs/>
          <w:color w:val="000000"/>
          <w:sz w:val="24"/>
          <w:szCs w:val="24"/>
          <w:lang w:val="en-US"/>
        </w:rPr>
        <w:t xml:space="preserve">2017] in relation to the rights and fundamental freedoms guaranteed by the Constitution that belong to the first Applicant as an individual, </w:t>
      </w:r>
      <w:r w:rsidRPr="00012C17">
        <w:rPr>
          <w:rFonts w:ascii="Georgia" w:hAnsi="Georgia"/>
          <w:bCs/>
          <w:color w:val="000000"/>
          <w:sz w:val="24"/>
          <w:szCs w:val="24"/>
          <w:lang w:val="en-US"/>
        </w:rPr>
        <w:t>namely as a natural</w:t>
      </w:r>
      <w:r w:rsidR="00F92796" w:rsidRPr="00012C17">
        <w:rPr>
          <w:rFonts w:ascii="Georgia" w:hAnsi="Georgia"/>
          <w:bCs/>
          <w:color w:val="000000"/>
          <w:sz w:val="24"/>
          <w:szCs w:val="24"/>
          <w:lang w:val="en-US"/>
        </w:rPr>
        <w:t xml:space="preserve"> person, as well as the second Applicant as a </w:t>
      </w:r>
      <w:r w:rsidRPr="00012C17">
        <w:rPr>
          <w:rFonts w:ascii="Georgia" w:hAnsi="Georgia"/>
          <w:bCs/>
          <w:color w:val="000000"/>
          <w:sz w:val="24"/>
          <w:szCs w:val="24"/>
          <w:lang w:val="en-US"/>
        </w:rPr>
        <w:t>political entity</w:t>
      </w:r>
      <w:r w:rsidR="00F92796" w:rsidRPr="00012C17">
        <w:rPr>
          <w:rFonts w:ascii="Georgia" w:hAnsi="Georgia"/>
          <w:bCs/>
          <w:color w:val="000000"/>
          <w:sz w:val="24"/>
          <w:szCs w:val="24"/>
          <w:lang w:val="en-US"/>
        </w:rPr>
        <w:t>, namely a legal person</w:t>
      </w:r>
      <w:r w:rsidR="00550971" w:rsidRPr="00012C17">
        <w:rPr>
          <w:rFonts w:ascii="Georgia" w:hAnsi="Georgia"/>
          <w:bCs/>
          <w:color w:val="000000"/>
          <w:sz w:val="24"/>
          <w:szCs w:val="24"/>
          <w:lang w:val="en-US"/>
        </w:rPr>
        <w:t>.</w:t>
      </w:r>
    </w:p>
    <w:p w:rsidR="0043143B" w:rsidRPr="00012C17" w:rsidRDefault="0043143B" w:rsidP="001B11C5">
      <w:pPr>
        <w:pStyle w:val="ListParagraph"/>
        <w:spacing w:after="0" w:line="240" w:lineRule="auto"/>
        <w:rPr>
          <w:rFonts w:ascii="Georgia" w:hAnsi="Georgia"/>
          <w:bCs/>
          <w:color w:val="000000"/>
          <w:sz w:val="24"/>
          <w:szCs w:val="24"/>
          <w:lang w:val="en-US"/>
        </w:rPr>
      </w:pPr>
    </w:p>
    <w:p w:rsidR="00417559" w:rsidRPr="00012C17" w:rsidRDefault="00C51F8F" w:rsidP="001B11C5">
      <w:pPr>
        <w:pStyle w:val="ListParagraph"/>
        <w:numPr>
          <w:ilvl w:val="0"/>
          <w:numId w:val="1"/>
        </w:numPr>
        <w:tabs>
          <w:tab w:val="left" w:pos="630"/>
        </w:tabs>
        <w:spacing w:after="0" w:line="240" w:lineRule="auto"/>
        <w:ind w:left="630" w:hanging="720"/>
        <w:jc w:val="both"/>
        <w:rPr>
          <w:rFonts w:ascii="Georgia" w:hAnsi="Georgia"/>
          <w:bCs/>
          <w:i/>
          <w:color w:val="000000"/>
          <w:sz w:val="24"/>
          <w:szCs w:val="24"/>
          <w:lang w:val="en-US"/>
        </w:rPr>
      </w:pPr>
      <w:r w:rsidRPr="00012C17">
        <w:rPr>
          <w:rFonts w:ascii="Georgia" w:hAnsi="Georgia"/>
          <w:bCs/>
          <w:color w:val="000000"/>
          <w:sz w:val="24"/>
          <w:szCs w:val="24"/>
          <w:lang w:val="en-US"/>
        </w:rPr>
        <w:t>Therefore</w:t>
      </w:r>
      <w:r w:rsidR="00F92796" w:rsidRPr="00012C17">
        <w:rPr>
          <w:rFonts w:ascii="Georgia" w:hAnsi="Georgia"/>
          <w:bCs/>
          <w:color w:val="000000"/>
          <w:sz w:val="24"/>
          <w:szCs w:val="24"/>
          <w:lang w:val="en-US"/>
        </w:rPr>
        <w:t xml:space="preserve">, </w:t>
      </w:r>
      <w:r w:rsidR="00A54CE2" w:rsidRPr="00012C17">
        <w:rPr>
          <w:rFonts w:ascii="Georgia" w:hAnsi="Georgia"/>
          <w:bCs/>
          <w:color w:val="000000"/>
          <w:sz w:val="24"/>
          <w:szCs w:val="24"/>
          <w:lang w:val="en-US"/>
        </w:rPr>
        <w:t xml:space="preserve">emphasizing that in the case under consideration the Applicants' allegations are identical, </w:t>
      </w:r>
      <w:r w:rsidR="00F92796" w:rsidRPr="00012C17">
        <w:rPr>
          <w:rFonts w:ascii="Georgia" w:hAnsi="Georgia"/>
          <w:bCs/>
          <w:color w:val="000000"/>
          <w:sz w:val="24"/>
          <w:szCs w:val="24"/>
          <w:lang w:val="en-US"/>
        </w:rPr>
        <w:t xml:space="preserve">the Court </w:t>
      </w:r>
      <w:r w:rsidR="00A54CE2" w:rsidRPr="00012C17">
        <w:rPr>
          <w:rFonts w:ascii="Georgia" w:hAnsi="Georgia"/>
          <w:bCs/>
          <w:color w:val="000000"/>
          <w:sz w:val="24"/>
          <w:szCs w:val="24"/>
          <w:lang w:val="en-US"/>
        </w:rPr>
        <w:t xml:space="preserve">notes </w:t>
      </w:r>
      <w:r w:rsidR="00F92796" w:rsidRPr="00012C17">
        <w:rPr>
          <w:rFonts w:ascii="Georgia" w:hAnsi="Georgia"/>
          <w:bCs/>
          <w:color w:val="000000"/>
          <w:sz w:val="24"/>
          <w:szCs w:val="24"/>
          <w:lang w:val="en-US"/>
        </w:rPr>
        <w:t xml:space="preserve">that the second Applicant has exhausted all legal remedies to challenge before this Court the </w:t>
      </w:r>
      <w:r w:rsidR="003B7407" w:rsidRPr="00012C17">
        <w:rPr>
          <w:rFonts w:ascii="Georgia" w:hAnsi="Georgia"/>
          <w:bCs/>
          <w:color w:val="000000"/>
          <w:sz w:val="24"/>
          <w:szCs w:val="24"/>
          <w:lang w:val="en-US"/>
        </w:rPr>
        <w:t>f</w:t>
      </w:r>
      <w:r w:rsidR="00E84FF8" w:rsidRPr="00012C17">
        <w:rPr>
          <w:rFonts w:ascii="Georgia" w:hAnsi="Georgia"/>
          <w:bCs/>
          <w:color w:val="000000"/>
          <w:sz w:val="24"/>
          <w:szCs w:val="24"/>
          <w:lang w:val="en-US"/>
        </w:rPr>
        <w:t xml:space="preserve">irst Decision </w:t>
      </w:r>
      <w:r w:rsidR="00F92796" w:rsidRPr="00012C17">
        <w:rPr>
          <w:rFonts w:ascii="Georgia" w:hAnsi="Georgia"/>
          <w:bCs/>
          <w:color w:val="000000"/>
          <w:sz w:val="24"/>
          <w:szCs w:val="24"/>
          <w:lang w:val="en-US"/>
        </w:rPr>
        <w:t xml:space="preserve">of the Supreme Court; whereas as far as the </w:t>
      </w:r>
      <w:r w:rsidRPr="00012C17">
        <w:rPr>
          <w:rFonts w:ascii="Georgia" w:hAnsi="Georgia"/>
          <w:bCs/>
          <w:color w:val="000000"/>
          <w:sz w:val="24"/>
          <w:szCs w:val="24"/>
          <w:lang w:val="en-US"/>
        </w:rPr>
        <w:t>s</w:t>
      </w:r>
      <w:r w:rsidR="00F92796" w:rsidRPr="00012C17">
        <w:rPr>
          <w:rFonts w:ascii="Georgia" w:hAnsi="Georgia"/>
          <w:bCs/>
          <w:color w:val="000000"/>
          <w:sz w:val="24"/>
          <w:szCs w:val="24"/>
          <w:lang w:val="en-US"/>
        </w:rPr>
        <w:t xml:space="preserve">econd </w:t>
      </w:r>
      <w:r w:rsidR="003B7407" w:rsidRPr="00012C17">
        <w:rPr>
          <w:rFonts w:ascii="Georgia" w:hAnsi="Georgia"/>
          <w:bCs/>
          <w:color w:val="000000"/>
          <w:sz w:val="24"/>
          <w:szCs w:val="24"/>
          <w:lang w:val="en-US"/>
        </w:rPr>
        <w:t>D</w:t>
      </w:r>
      <w:r w:rsidRPr="00012C17">
        <w:rPr>
          <w:rFonts w:ascii="Georgia" w:hAnsi="Georgia"/>
          <w:bCs/>
          <w:color w:val="000000"/>
          <w:sz w:val="24"/>
          <w:szCs w:val="24"/>
          <w:lang w:val="en-US"/>
        </w:rPr>
        <w:t xml:space="preserve">ecision of the </w:t>
      </w:r>
      <w:r w:rsidR="00F92796" w:rsidRPr="00012C17">
        <w:rPr>
          <w:rFonts w:ascii="Georgia" w:hAnsi="Georgia"/>
          <w:bCs/>
          <w:color w:val="000000"/>
          <w:sz w:val="24"/>
          <w:szCs w:val="24"/>
          <w:lang w:val="en-US"/>
        </w:rPr>
        <w:t>Supreme Court is concerned, both Applicants have exhausted all legal remedies</w:t>
      </w:r>
      <w:r w:rsidR="00417559" w:rsidRPr="00012C17">
        <w:rPr>
          <w:rFonts w:ascii="Georgia" w:hAnsi="Georgia"/>
          <w:bCs/>
          <w:color w:val="000000"/>
          <w:sz w:val="24"/>
          <w:szCs w:val="24"/>
          <w:lang w:val="en-US"/>
        </w:rPr>
        <w:t>.</w:t>
      </w:r>
    </w:p>
    <w:p w:rsidR="001777F9" w:rsidRPr="00012C17" w:rsidRDefault="001777F9" w:rsidP="001B11C5">
      <w:pPr>
        <w:tabs>
          <w:tab w:val="left" w:pos="630"/>
        </w:tabs>
        <w:spacing w:line="240" w:lineRule="auto"/>
        <w:rPr>
          <w:bCs/>
          <w:i/>
          <w:color w:val="000000"/>
          <w:sz w:val="24"/>
        </w:rPr>
      </w:pPr>
    </w:p>
    <w:p w:rsidR="00A2232E" w:rsidRPr="00012C17" w:rsidRDefault="00F92796" w:rsidP="001B11C5">
      <w:pPr>
        <w:tabs>
          <w:tab w:val="left" w:pos="630"/>
        </w:tabs>
        <w:spacing w:line="240" w:lineRule="auto"/>
        <w:rPr>
          <w:bCs/>
          <w:i/>
          <w:color w:val="000000"/>
          <w:sz w:val="24"/>
        </w:rPr>
      </w:pPr>
      <w:r w:rsidRPr="00012C17">
        <w:rPr>
          <w:bCs/>
          <w:i/>
          <w:color w:val="000000"/>
          <w:sz w:val="24"/>
        </w:rPr>
        <w:t>Regarding the accuracy of the Referral and deadline</w:t>
      </w:r>
    </w:p>
    <w:p w:rsidR="000A4224" w:rsidRPr="00012C17" w:rsidRDefault="000A4224" w:rsidP="001B11C5">
      <w:pPr>
        <w:tabs>
          <w:tab w:val="left" w:pos="720"/>
        </w:tabs>
        <w:spacing w:line="240" w:lineRule="auto"/>
        <w:rPr>
          <w:bCs/>
          <w:i/>
          <w:color w:val="000000"/>
          <w:sz w:val="24"/>
        </w:rPr>
      </w:pPr>
    </w:p>
    <w:p w:rsidR="004C6ACE"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i/>
          <w:color w:val="000000"/>
          <w:sz w:val="24"/>
          <w:szCs w:val="24"/>
          <w:lang w:val="en-US"/>
        </w:rPr>
      </w:pPr>
      <w:r w:rsidRPr="00012C17">
        <w:rPr>
          <w:rFonts w:ascii="Georgia" w:hAnsi="Georgia"/>
          <w:bCs/>
          <w:color w:val="000000"/>
          <w:sz w:val="24"/>
          <w:szCs w:val="24"/>
          <w:lang w:val="en-US"/>
        </w:rPr>
        <w:t xml:space="preserve">In addition, the Court also examines whether the Applicants have </w:t>
      </w:r>
      <w:r w:rsidR="003B7407" w:rsidRPr="00012C17">
        <w:rPr>
          <w:rFonts w:ascii="Georgia" w:hAnsi="Georgia"/>
          <w:bCs/>
          <w:color w:val="000000"/>
          <w:sz w:val="24"/>
          <w:szCs w:val="24"/>
          <w:lang w:val="en-US"/>
        </w:rPr>
        <w:t>fulfilled</w:t>
      </w:r>
      <w:r w:rsidRPr="00012C17">
        <w:rPr>
          <w:rFonts w:ascii="Georgia" w:hAnsi="Georgia"/>
          <w:bCs/>
          <w:color w:val="000000"/>
          <w:sz w:val="24"/>
          <w:szCs w:val="24"/>
          <w:lang w:val="en-US"/>
        </w:rPr>
        <w:t xml:space="preserve"> other </w:t>
      </w:r>
      <w:r w:rsidR="00C51F8F" w:rsidRPr="00012C17">
        <w:rPr>
          <w:rFonts w:ascii="Georgia" w:hAnsi="Georgia"/>
          <w:bCs/>
          <w:color w:val="000000"/>
          <w:sz w:val="24"/>
          <w:szCs w:val="24"/>
          <w:lang w:val="en-US"/>
        </w:rPr>
        <w:t>admissibility</w:t>
      </w:r>
      <w:r w:rsidRPr="00012C17">
        <w:rPr>
          <w:rFonts w:ascii="Georgia" w:hAnsi="Georgia"/>
          <w:bCs/>
          <w:color w:val="000000"/>
          <w:sz w:val="24"/>
          <w:szCs w:val="24"/>
          <w:lang w:val="en-US"/>
        </w:rPr>
        <w:t xml:space="preserve"> criteria, further </w:t>
      </w:r>
      <w:r w:rsidR="00C51F8F" w:rsidRPr="00012C17">
        <w:rPr>
          <w:rFonts w:ascii="Georgia" w:hAnsi="Georgia"/>
          <w:bCs/>
          <w:color w:val="000000"/>
          <w:sz w:val="24"/>
          <w:szCs w:val="24"/>
          <w:lang w:val="en-US"/>
        </w:rPr>
        <w:t>specified</w:t>
      </w:r>
      <w:r w:rsidRPr="00012C17">
        <w:rPr>
          <w:rFonts w:ascii="Georgia" w:hAnsi="Georgia"/>
          <w:bCs/>
          <w:color w:val="000000"/>
          <w:sz w:val="24"/>
          <w:szCs w:val="24"/>
          <w:lang w:val="en-US"/>
        </w:rPr>
        <w:t xml:space="preserve"> in the Law and the Rules of Procedure. In this regard, the Court first refers to Article 48 [Accuracy of Referral] and Article 49 [Deadlines] of the Law, which provide</w:t>
      </w:r>
      <w:r w:rsidR="004C6ACE" w:rsidRPr="00012C17">
        <w:rPr>
          <w:rFonts w:ascii="Georgia" w:hAnsi="Georgia"/>
          <w:bCs/>
          <w:color w:val="000000"/>
          <w:sz w:val="24"/>
          <w:szCs w:val="24"/>
          <w:lang w:val="en-US"/>
        </w:rPr>
        <w:t>:</w:t>
      </w:r>
    </w:p>
    <w:p w:rsidR="003B7407" w:rsidRPr="00012C17" w:rsidRDefault="003B7407" w:rsidP="001B11C5">
      <w:pPr>
        <w:spacing w:line="240" w:lineRule="auto"/>
        <w:ind w:left="630"/>
        <w:jc w:val="center"/>
        <w:rPr>
          <w:bCs/>
          <w:color w:val="000000"/>
          <w:sz w:val="24"/>
        </w:rPr>
      </w:pPr>
    </w:p>
    <w:p w:rsidR="004C6ACE" w:rsidRPr="00012C17" w:rsidRDefault="00F92796" w:rsidP="001B11C5">
      <w:pPr>
        <w:spacing w:line="240" w:lineRule="auto"/>
        <w:ind w:left="630"/>
        <w:jc w:val="center"/>
        <w:rPr>
          <w:bCs/>
          <w:color w:val="000000"/>
          <w:sz w:val="24"/>
        </w:rPr>
      </w:pPr>
      <w:r w:rsidRPr="00012C17">
        <w:rPr>
          <w:bCs/>
          <w:color w:val="000000"/>
          <w:sz w:val="24"/>
        </w:rPr>
        <w:t>Article</w:t>
      </w:r>
      <w:r w:rsidR="004C6ACE" w:rsidRPr="00012C17">
        <w:rPr>
          <w:bCs/>
          <w:color w:val="000000"/>
          <w:sz w:val="24"/>
        </w:rPr>
        <w:t xml:space="preserve"> 48</w:t>
      </w:r>
    </w:p>
    <w:p w:rsidR="004C6ACE" w:rsidRPr="00012C17" w:rsidRDefault="004C6ACE" w:rsidP="001B11C5">
      <w:pPr>
        <w:spacing w:line="240" w:lineRule="auto"/>
        <w:ind w:left="630"/>
        <w:jc w:val="center"/>
        <w:rPr>
          <w:bCs/>
          <w:color w:val="000000"/>
          <w:sz w:val="24"/>
        </w:rPr>
      </w:pPr>
      <w:r w:rsidRPr="00012C17">
        <w:rPr>
          <w:bCs/>
          <w:color w:val="000000"/>
          <w:sz w:val="24"/>
        </w:rPr>
        <w:t>[</w:t>
      </w:r>
      <w:r w:rsidR="00F92796" w:rsidRPr="00012C17">
        <w:rPr>
          <w:bCs/>
          <w:color w:val="000000"/>
          <w:sz w:val="24"/>
        </w:rPr>
        <w:t>Accuracy of the Referral</w:t>
      </w:r>
      <w:r w:rsidRPr="00012C17">
        <w:rPr>
          <w:bCs/>
          <w:color w:val="000000"/>
          <w:sz w:val="24"/>
        </w:rPr>
        <w:t>]</w:t>
      </w:r>
    </w:p>
    <w:p w:rsidR="004C6ACE" w:rsidRPr="00012C17" w:rsidRDefault="004C6ACE" w:rsidP="001B11C5">
      <w:pPr>
        <w:spacing w:line="240" w:lineRule="auto"/>
        <w:ind w:left="630"/>
        <w:rPr>
          <w:bCs/>
          <w:iCs/>
          <w:color w:val="000000"/>
          <w:sz w:val="24"/>
        </w:rPr>
      </w:pPr>
    </w:p>
    <w:p w:rsidR="004C6ACE" w:rsidRPr="00012C17" w:rsidRDefault="00C51F8F" w:rsidP="001B11C5">
      <w:pPr>
        <w:autoSpaceDE w:val="0"/>
        <w:autoSpaceDN w:val="0"/>
        <w:adjustRightInd w:val="0"/>
        <w:spacing w:line="240" w:lineRule="auto"/>
        <w:ind w:left="990"/>
        <w:rPr>
          <w:iCs/>
          <w:color w:val="000000"/>
          <w:sz w:val="24"/>
        </w:rPr>
      </w:pPr>
      <w:r w:rsidRPr="00012C17">
        <w:rPr>
          <w:i/>
          <w:color w:val="000000"/>
          <w:sz w:val="24"/>
        </w:rPr>
        <w:t>In his/her referral, the claimant should accurately clarify what rights and freedoms he/she claims to have been violated and what concrete act of public authority is subject to challenge</w:t>
      </w:r>
      <w:r w:rsidR="004C6ACE" w:rsidRPr="00012C17">
        <w:rPr>
          <w:bCs/>
          <w:iCs/>
          <w:color w:val="000000"/>
          <w:sz w:val="24"/>
        </w:rPr>
        <w:t>.</w:t>
      </w:r>
    </w:p>
    <w:p w:rsidR="004C6ACE" w:rsidRPr="00012C17" w:rsidRDefault="004C6ACE" w:rsidP="001B11C5">
      <w:pPr>
        <w:spacing w:line="240" w:lineRule="auto"/>
        <w:ind w:left="630"/>
        <w:rPr>
          <w:bCs/>
          <w:iCs/>
          <w:color w:val="000000"/>
          <w:sz w:val="24"/>
        </w:rPr>
      </w:pPr>
    </w:p>
    <w:p w:rsidR="004C6ACE" w:rsidRPr="00012C17" w:rsidRDefault="00F92796" w:rsidP="001B11C5">
      <w:pPr>
        <w:spacing w:line="240" w:lineRule="auto"/>
        <w:ind w:left="630"/>
        <w:jc w:val="center"/>
        <w:rPr>
          <w:bCs/>
          <w:color w:val="000000"/>
          <w:sz w:val="24"/>
        </w:rPr>
      </w:pPr>
      <w:r w:rsidRPr="00012C17">
        <w:rPr>
          <w:bCs/>
          <w:color w:val="000000"/>
          <w:sz w:val="24"/>
        </w:rPr>
        <w:t>Article</w:t>
      </w:r>
      <w:r w:rsidR="004C6ACE" w:rsidRPr="00012C17">
        <w:rPr>
          <w:bCs/>
          <w:color w:val="000000"/>
          <w:sz w:val="24"/>
        </w:rPr>
        <w:t xml:space="preserve"> 49</w:t>
      </w:r>
    </w:p>
    <w:p w:rsidR="004C6ACE" w:rsidRPr="00012C17" w:rsidRDefault="004C6ACE" w:rsidP="001B11C5">
      <w:pPr>
        <w:spacing w:line="240" w:lineRule="auto"/>
        <w:ind w:left="630"/>
        <w:jc w:val="center"/>
        <w:rPr>
          <w:bCs/>
          <w:color w:val="000000"/>
          <w:sz w:val="24"/>
        </w:rPr>
      </w:pPr>
      <w:r w:rsidRPr="00012C17">
        <w:rPr>
          <w:bCs/>
          <w:color w:val="000000"/>
          <w:sz w:val="24"/>
        </w:rPr>
        <w:t>[</w:t>
      </w:r>
      <w:r w:rsidR="00F92796" w:rsidRPr="00012C17">
        <w:rPr>
          <w:bCs/>
          <w:color w:val="000000"/>
          <w:sz w:val="24"/>
        </w:rPr>
        <w:t>Deadlines</w:t>
      </w:r>
      <w:r w:rsidRPr="00012C17">
        <w:rPr>
          <w:bCs/>
          <w:color w:val="000000"/>
          <w:sz w:val="24"/>
        </w:rPr>
        <w:t>]</w:t>
      </w:r>
    </w:p>
    <w:p w:rsidR="004C6ACE" w:rsidRPr="00012C17" w:rsidRDefault="004C6ACE" w:rsidP="001B11C5">
      <w:pPr>
        <w:spacing w:line="240" w:lineRule="auto"/>
        <w:ind w:left="630"/>
        <w:jc w:val="center"/>
        <w:rPr>
          <w:bCs/>
          <w:i/>
          <w:color w:val="000000"/>
          <w:sz w:val="24"/>
        </w:rPr>
      </w:pPr>
    </w:p>
    <w:p w:rsidR="004C6ACE" w:rsidRPr="00012C17" w:rsidRDefault="00C51F8F" w:rsidP="001B11C5">
      <w:pPr>
        <w:autoSpaceDE w:val="0"/>
        <w:autoSpaceDN w:val="0"/>
        <w:adjustRightInd w:val="0"/>
        <w:spacing w:line="240" w:lineRule="auto"/>
        <w:ind w:left="990"/>
        <w:rPr>
          <w:i/>
          <w:iCs/>
          <w:color w:val="000000"/>
          <w:sz w:val="24"/>
        </w:rPr>
      </w:pPr>
      <w:r w:rsidRPr="00012C17">
        <w:rPr>
          <w:i/>
          <w:iCs/>
          <w:color w:val="000000"/>
          <w:sz w:val="24"/>
        </w:rPr>
        <w:t xml:space="preserve"> The referral should be submitted within a period of four (4) months. The deadline shall be</w:t>
      </w:r>
      <w:r w:rsidR="00E2136F" w:rsidRPr="00012C17">
        <w:rPr>
          <w:i/>
          <w:iCs/>
          <w:color w:val="000000"/>
          <w:sz w:val="24"/>
        </w:rPr>
        <w:t xml:space="preserve"> </w:t>
      </w:r>
      <w:r w:rsidRPr="00012C17">
        <w:rPr>
          <w:i/>
          <w:iCs/>
          <w:color w:val="000000"/>
          <w:sz w:val="24"/>
        </w:rPr>
        <w:t xml:space="preserve">counted from the day upon which the claimant has been served with a court </w:t>
      </w:r>
      <w:r w:rsidRPr="00012C17">
        <w:rPr>
          <w:i/>
          <w:iCs/>
          <w:color w:val="000000"/>
          <w:sz w:val="24"/>
        </w:rPr>
        <w:tab/>
        <w:t>decision</w:t>
      </w:r>
      <w:r w:rsidRPr="00012C17">
        <w:rPr>
          <w:bCs/>
          <w:i/>
          <w:iCs/>
          <w:color w:val="000000"/>
          <w:sz w:val="24"/>
        </w:rPr>
        <w:t xml:space="preserve"> </w:t>
      </w:r>
      <w:r w:rsidR="004C6ACE" w:rsidRPr="00012C17">
        <w:rPr>
          <w:bCs/>
          <w:i/>
          <w:iCs/>
          <w:color w:val="000000"/>
          <w:sz w:val="24"/>
        </w:rPr>
        <w:t>(...)</w:t>
      </w:r>
    </w:p>
    <w:p w:rsidR="004C6ACE" w:rsidRPr="00012C17" w:rsidRDefault="004C6ACE" w:rsidP="001B11C5">
      <w:pPr>
        <w:tabs>
          <w:tab w:val="left" w:pos="630"/>
        </w:tabs>
        <w:spacing w:line="240" w:lineRule="auto"/>
        <w:rPr>
          <w:bCs/>
          <w:i/>
          <w:color w:val="000000"/>
          <w:sz w:val="24"/>
        </w:rPr>
      </w:pPr>
    </w:p>
    <w:p w:rsidR="00263F49" w:rsidRPr="00012C17" w:rsidRDefault="00F92796" w:rsidP="001B11C5">
      <w:pPr>
        <w:numPr>
          <w:ilvl w:val="0"/>
          <w:numId w:val="1"/>
        </w:numPr>
        <w:tabs>
          <w:tab w:val="left" w:pos="630"/>
        </w:tabs>
        <w:spacing w:line="240" w:lineRule="auto"/>
        <w:ind w:left="630" w:hanging="630"/>
        <w:rPr>
          <w:rFonts w:cs="Georgia"/>
          <w:b/>
          <w:bCs/>
          <w:color w:val="000000"/>
          <w:sz w:val="24"/>
        </w:rPr>
      </w:pPr>
      <w:r w:rsidRPr="00012C17">
        <w:rPr>
          <w:bCs/>
          <w:color w:val="000000"/>
          <w:sz w:val="24"/>
        </w:rPr>
        <w:t xml:space="preserve">The Court recalls that the same </w:t>
      </w:r>
      <w:r w:rsidR="00C51F8F" w:rsidRPr="00012C17">
        <w:rPr>
          <w:bCs/>
          <w:color w:val="000000"/>
          <w:sz w:val="24"/>
        </w:rPr>
        <w:t>requirements</w:t>
      </w:r>
      <w:r w:rsidRPr="00012C17">
        <w:rPr>
          <w:bCs/>
          <w:color w:val="000000"/>
          <w:sz w:val="24"/>
        </w:rPr>
        <w:t xml:space="preserve"> are further </w:t>
      </w:r>
      <w:r w:rsidR="00C51F8F" w:rsidRPr="00012C17">
        <w:rPr>
          <w:bCs/>
          <w:color w:val="000000"/>
          <w:sz w:val="24"/>
        </w:rPr>
        <w:t>provided</w:t>
      </w:r>
      <w:r w:rsidRPr="00012C17">
        <w:rPr>
          <w:bCs/>
          <w:color w:val="000000"/>
          <w:sz w:val="24"/>
        </w:rPr>
        <w:t xml:space="preserve"> in </w:t>
      </w:r>
      <w:r w:rsidR="00C51F8F" w:rsidRPr="00012C17">
        <w:rPr>
          <w:bCs/>
          <w:color w:val="000000"/>
          <w:sz w:val="24"/>
        </w:rPr>
        <w:t>items</w:t>
      </w:r>
      <w:r w:rsidRPr="00012C17">
        <w:rPr>
          <w:bCs/>
          <w:color w:val="000000"/>
          <w:sz w:val="24"/>
        </w:rPr>
        <w:t xml:space="preserve"> c and d of paragraph 1 of Rule 39 [</w:t>
      </w:r>
      <w:r w:rsidR="00C51F8F" w:rsidRPr="00012C17">
        <w:rPr>
          <w:bCs/>
          <w:color w:val="000000"/>
          <w:sz w:val="24"/>
        </w:rPr>
        <w:t>Admissibility</w:t>
      </w:r>
      <w:r w:rsidRPr="00012C17">
        <w:rPr>
          <w:bCs/>
          <w:color w:val="000000"/>
          <w:sz w:val="24"/>
        </w:rPr>
        <w:t xml:space="preserve"> Criteria] and paragraphs 2 and 4 of the </w:t>
      </w:r>
      <w:r w:rsidR="00C51F8F" w:rsidRPr="00012C17">
        <w:rPr>
          <w:bCs/>
          <w:color w:val="000000"/>
          <w:sz w:val="24"/>
        </w:rPr>
        <w:t>Rule</w:t>
      </w:r>
      <w:r w:rsidRPr="00012C17">
        <w:rPr>
          <w:bCs/>
          <w:color w:val="000000"/>
          <w:sz w:val="24"/>
        </w:rPr>
        <w:t xml:space="preserve"> 76 [</w:t>
      </w:r>
      <w:r w:rsidR="00B711CC" w:rsidRPr="00012C17">
        <w:rPr>
          <w:bCs/>
          <w:color w:val="000000"/>
          <w:sz w:val="24"/>
        </w:rPr>
        <w:t>Referral pursuant to Article 113.7 of the Constitution and Articles 46, 47, 48, 49 and 50 of the Law</w:t>
      </w:r>
      <w:r w:rsidRPr="00012C17">
        <w:rPr>
          <w:bCs/>
          <w:color w:val="000000"/>
          <w:sz w:val="24"/>
        </w:rPr>
        <w:t>] of the Rules of Procedure</w:t>
      </w:r>
      <w:r w:rsidR="00117155" w:rsidRPr="00012C17">
        <w:rPr>
          <w:bCs/>
          <w:color w:val="000000"/>
          <w:sz w:val="24"/>
        </w:rPr>
        <w:t xml:space="preserve">. </w:t>
      </w:r>
    </w:p>
    <w:p w:rsidR="00263F49" w:rsidRPr="00012C17" w:rsidRDefault="00263F49" w:rsidP="001B11C5">
      <w:pPr>
        <w:tabs>
          <w:tab w:val="left" w:pos="630"/>
        </w:tabs>
        <w:spacing w:line="240" w:lineRule="auto"/>
        <w:rPr>
          <w:bCs/>
          <w:i/>
          <w:color w:val="000000"/>
          <w:sz w:val="24"/>
        </w:rPr>
      </w:pPr>
    </w:p>
    <w:p w:rsidR="00A2232E" w:rsidRPr="00012C17" w:rsidRDefault="00F92796" w:rsidP="001B11C5">
      <w:pPr>
        <w:pStyle w:val="ListParagraph"/>
        <w:numPr>
          <w:ilvl w:val="0"/>
          <w:numId w:val="1"/>
        </w:numPr>
        <w:tabs>
          <w:tab w:val="left" w:pos="630"/>
        </w:tabs>
        <w:spacing w:after="0" w:line="240" w:lineRule="auto"/>
        <w:ind w:left="630" w:hanging="630"/>
        <w:jc w:val="both"/>
        <w:rPr>
          <w:rFonts w:ascii="Georgia" w:hAnsi="Georgia"/>
          <w:bCs/>
          <w:color w:val="000000"/>
          <w:sz w:val="24"/>
          <w:szCs w:val="24"/>
          <w:lang w:val="en-US"/>
        </w:rPr>
      </w:pPr>
      <w:r w:rsidRPr="00012C17">
        <w:rPr>
          <w:rFonts w:ascii="Georgia" w:hAnsi="Georgia"/>
          <w:bCs/>
          <w:color w:val="000000"/>
          <w:sz w:val="24"/>
          <w:szCs w:val="24"/>
          <w:lang w:val="en-US"/>
        </w:rPr>
        <w:t xml:space="preserve">As to the fulfillment of these </w:t>
      </w:r>
      <w:r w:rsidR="00B711CC" w:rsidRPr="00012C17">
        <w:rPr>
          <w:rFonts w:ascii="Georgia" w:hAnsi="Georgia"/>
          <w:bCs/>
          <w:color w:val="000000"/>
          <w:sz w:val="24"/>
          <w:szCs w:val="24"/>
          <w:lang w:val="en-US"/>
        </w:rPr>
        <w:t>requirements</w:t>
      </w:r>
      <w:r w:rsidRPr="00012C17">
        <w:rPr>
          <w:rFonts w:ascii="Georgia" w:hAnsi="Georgia"/>
          <w:bCs/>
          <w:color w:val="000000"/>
          <w:sz w:val="24"/>
          <w:szCs w:val="24"/>
          <w:lang w:val="en-US"/>
        </w:rPr>
        <w:t xml:space="preserve">, the Court notes that the Applicants have clearly specified </w:t>
      </w:r>
      <w:r w:rsidR="00B711CC" w:rsidRPr="00012C17">
        <w:rPr>
          <w:rFonts w:ascii="Georgia" w:hAnsi="Georgia"/>
          <w:bCs/>
          <w:color w:val="000000"/>
          <w:sz w:val="24"/>
          <w:szCs w:val="24"/>
          <w:lang w:val="en-US"/>
        </w:rPr>
        <w:t>what</w:t>
      </w:r>
      <w:r w:rsidRPr="00012C17">
        <w:rPr>
          <w:rFonts w:ascii="Georgia" w:hAnsi="Georgia"/>
          <w:bCs/>
          <w:color w:val="000000"/>
          <w:sz w:val="24"/>
          <w:szCs w:val="24"/>
          <w:lang w:val="en-US"/>
        </w:rPr>
        <w:t xml:space="preserve"> fundamental rights and freedoms </w:t>
      </w:r>
      <w:r w:rsidR="00B711CC" w:rsidRPr="00012C17">
        <w:rPr>
          <w:rFonts w:ascii="Georgia" w:hAnsi="Georgia"/>
          <w:bCs/>
          <w:color w:val="000000"/>
          <w:sz w:val="24"/>
          <w:szCs w:val="24"/>
          <w:lang w:val="en-US"/>
        </w:rPr>
        <w:t xml:space="preserve">guaranteed by the Constitution </w:t>
      </w:r>
      <w:r w:rsidRPr="00012C17">
        <w:rPr>
          <w:rFonts w:ascii="Georgia" w:hAnsi="Georgia"/>
          <w:bCs/>
          <w:color w:val="000000"/>
          <w:sz w:val="24"/>
          <w:szCs w:val="24"/>
          <w:lang w:val="en-US"/>
        </w:rPr>
        <w:t xml:space="preserve">have </w:t>
      </w:r>
      <w:r w:rsidR="00E84FF8" w:rsidRPr="00012C17">
        <w:rPr>
          <w:rFonts w:ascii="Georgia" w:hAnsi="Georgia"/>
          <w:bCs/>
          <w:color w:val="000000"/>
          <w:sz w:val="24"/>
          <w:szCs w:val="24"/>
          <w:lang w:val="en-US"/>
        </w:rPr>
        <w:t xml:space="preserve">allegedly </w:t>
      </w:r>
      <w:r w:rsidRPr="00012C17">
        <w:rPr>
          <w:rFonts w:ascii="Georgia" w:hAnsi="Georgia"/>
          <w:bCs/>
          <w:color w:val="000000"/>
          <w:sz w:val="24"/>
          <w:szCs w:val="24"/>
          <w:lang w:val="en-US"/>
        </w:rPr>
        <w:t xml:space="preserve">been violated and have specified the act of the public authority which they </w:t>
      </w:r>
      <w:r w:rsidR="00B711CC" w:rsidRPr="00012C17">
        <w:rPr>
          <w:rFonts w:ascii="Georgia" w:hAnsi="Georgia"/>
          <w:bCs/>
          <w:color w:val="000000"/>
          <w:sz w:val="24"/>
          <w:szCs w:val="24"/>
          <w:lang w:val="en-US"/>
        </w:rPr>
        <w:t>challenge</w:t>
      </w:r>
      <w:r w:rsidRPr="00012C17">
        <w:rPr>
          <w:rFonts w:ascii="Georgia" w:hAnsi="Georgia"/>
          <w:bCs/>
          <w:color w:val="000000"/>
          <w:sz w:val="24"/>
          <w:szCs w:val="24"/>
          <w:lang w:val="en-US"/>
        </w:rPr>
        <w:t xml:space="preserve"> in accordance with Article 48 of the Law and </w:t>
      </w:r>
      <w:r w:rsidR="00E84FF8" w:rsidRPr="00012C17">
        <w:rPr>
          <w:rFonts w:ascii="Georgia" w:hAnsi="Georgia"/>
          <w:bCs/>
          <w:color w:val="000000"/>
          <w:sz w:val="24"/>
          <w:szCs w:val="24"/>
          <w:lang w:val="en-US"/>
        </w:rPr>
        <w:t>relevant</w:t>
      </w:r>
      <w:r w:rsidRPr="00012C17">
        <w:rPr>
          <w:rFonts w:ascii="Georgia" w:hAnsi="Georgia"/>
          <w:bCs/>
          <w:color w:val="000000"/>
          <w:sz w:val="24"/>
          <w:szCs w:val="24"/>
          <w:lang w:val="en-US"/>
        </w:rPr>
        <w:t xml:space="preserve"> provisions of the Rules of Procedure and have filed </w:t>
      </w:r>
      <w:r w:rsidR="00B711CC" w:rsidRPr="00012C17">
        <w:rPr>
          <w:rFonts w:ascii="Georgia" w:hAnsi="Georgia"/>
          <w:bCs/>
          <w:color w:val="000000"/>
          <w:sz w:val="24"/>
          <w:szCs w:val="24"/>
          <w:lang w:val="en-US"/>
        </w:rPr>
        <w:t>the Referral</w:t>
      </w:r>
      <w:r w:rsidRPr="00012C17">
        <w:rPr>
          <w:rFonts w:ascii="Georgia" w:hAnsi="Georgia"/>
          <w:bCs/>
          <w:color w:val="000000"/>
          <w:sz w:val="24"/>
          <w:szCs w:val="24"/>
          <w:lang w:val="en-US"/>
        </w:rPr>
        <w:t xml:space="preserve"> within the deadline of four (4) months stipulated in Article 49 of the Law and the provisions of the Rules of Procedure</w:t>
      </w:r>
      <w:r w:rsidR="001C3E98" w:rsidRPr="00012C17">
        <w:rPr>
          <w:rFonts w:ascii="Georgia" w:hAnsi="Georgia"/>
          <w:bCs/>
          <w:color w:val="000000"/>
          <w:sz w:val="24"/>
          <w:szCs w:val="24"/>
          <w:lang w:val="en-US"/>
        </w:rPr>
        <w:t xml:space="preserve">. </w:t>
      </w:r>
    </w:p>
    <w:p w:rsidR="006A4D44" w:rsidRPr="00012C17" w:rsidRDefault="006A4D44" w:rsidP="001B11C5">
      <w:pPr>
        <w:tabs>
          <w:tab w:val="left" w:pos="630"/>
        </w:tabs>
        <w:spacing w:line="240" w:lineRule="auto"/>
        <w:rPr>
          <w:bCs/>
          <w:i/>
          <w:color w:val="000000"/>
          <w:sz w:val="24"/>
        </w:rPr>
      </w:pPr>
    </w:p>
    <w:p w:rsidR="00A2232E" w:rsidRPr="00012C17" w:rsidRDefault="00525C50" w:rsidP="001B11C5">
      <w:pPr>
        <w:tabs>
          <w:tab w:val="left" w:pos="630"/>
        </w:tabs>
        <w:spacing w:line="240" w:lineRule="auto"/>
        <w:rPr>
          <w:bCs/>
          <w:i/>
          <w:color w:val="000000"/>
          <w:sz w:val="24"/>
        </w:rPr>
      </w:pPr>
      <w:r w:rsidRPr="00012C17">
        <w:rPr>
          <w:bCs/>
          <w:i/>
          <w:color w:val="000000"/>
          <w:sz w:val="24"/>
        </w:rPr>
        <w:lastRenderedPageBreak/>
        <w:t>Regarding other admissibility requirements</w:t>
      </w:r>
    </w:p>
    <w:p w:rsidR="00A2232E" w:rsidRPr="00012C17" w:rsidRDefault="00A2232E" w:rsidP="001B11C5">
      <w:pPr>
        <w:tabs>
          <w:tab w:val="left" w:pos="630"/>
        </w:tabs>
        <w:spacing w:line="240" w:lineRule="auto"/>
        <w:rPr>
          <w:bCs/>
          <w:color w:val="000000"/>
          <w:sz w:val="24"/>
        </w:rPr>
      </w:pPr>
    </w:p>
    <w:p w:rsidR="00892A1F" w:rsidRPr="00012C17" w:rsidRDefault="00525C50" w:rsidP="001B11C5">
      <w:pPr>
        <w:numPr>
          <w:ilvl w:val="0"/>
          <w:numId w:val="1"/>
        </w:numPr>
        <w:spacing w:line="240" w:lineRule="auto"/>
        <w:ind w:left="630" w:hanging="630"/>
        <w:rPr>
          <w:rFonts w:cs="Tahoma"/>
          <w:bCs/>
          <w:color w:val="000000"/>
          <w:sz w:val="24"/>
        </w:rPr>
      </w:pPr>
      <w:r w:rsidRPr="00012C17">
        <w:rPr>
          <w:bCs/>
          <w:color w:val="000000"/>
          <w:sz w:val="24"/>
        </w:rPr>
        <w:t xml:space="preserve">Finally and after considering the </w:t>
      </w:r>
      <w:r w:rsidR="00B711CC" w:rsidRPr="00012C17">
        <w:rPr>
          <w:bCs/>
          <w:color w:val="000000"/>
          <w:sz w:val="24"/>
        </w:rPr>
        <w:t>Applicants’</w:t>
      </w:r>
      <w:r w:rsidRPr="00012C17">
        <w:rPr>
          <w:bCs/>
          <w:color w:val="000000"/>
          <w:sz w:val="24"/>
        </w:rPr>
        <w:t xml:space="preserve"> constitutional complaint, the Court </w:t>
      </w:r>
      <w:r w:rsidR="00B711CC" w:rsidRPr="00012C17">
        <w:rPr>
          <w:bCs/>
          <w:color w:val="000000"/>
          <w:sz w:val="24"/>
        </w:rPr>
        <w:t>considers that the Referral can</w:t>
      </w:r>
      <w:r w:rsidRPr="00012C17">
        <w:rPr>
          <w:bCs/>
          <w:color w:val="000000"/>
          <w:sz w:val="24"/>
        </w:rPr>
        <w:t>not be considered manifestly ill-founded within</w:t>
      </w:r>
      <w:r w:rsidR="00B711CC" w:rsidRPr="00012C17">
        <w:rPr>
          <w:bCs/>
          <w:color w:val="000000"/>
          <w:sz w:val="24"/>
        </w:rPr>
        <w:t xml:space="preserve"> the meaning of</w:t>
      </w:r>
      <w:r w:rsidRPr="00012C17">
        <w:rPr>
          <w:bCs/>
          <w:color w:val="000000"/>
          <w:sz w:val="24"/>
        </w:rPr>
        <w:t xml:space="preserve"> Rule 39 (2) of the Rules of Procedure and there is no other groun</w:t>
      </w:r>
      <w:r w:rsidR="00B0462A" w:rsidRPr="00012C17">
        <w:rPr>
          <w:bCs/>
          <w:color w:val="000000"/>
          <w:sz w:val="24"/>
        </w:rPr>
        <w:t>d for declaring it inadmissible</w:t>
      </w:r>
      <w:r w:rsidRPr="00012C17">
        <w:rPr>
          <w:bCs/>
          <w:color w:val="000000"/>
          <w:sz w:val="24"/>
        </w:rPr>
        <w:t xml:space="preserve">, </w:t>
      </w:r>
      <w:r w:rsidR="00B711CC" w:rsidRPr="00012C17">
        <w:rPr>
          <w:bCs/>
          <w:color w:val="000000"/>
          <w:sz w:val="24"/>
        </w:rPr>
        <w:t>as</w:t>
      </w:r>
      <w:r w:rsidRPr="00012C17">
        <w:rPr>
          <w:bCs/>
          <w:color w:val="000000"/>
          <w:sz w:val="24"/>
        </w:rPr>
        <w:t xml:space="preserve"> none of the </w:t>
      </w:r>
      <w:r w:rsidR="00B711CC" w:rsidRPr="00012C17">
        <w:rPr>
          <w:bCs/>
          <w:color w:val="000000"/>
          <w:sz w:val="24"/>
        </w:rPr>
        <w:t>requirements</w:t>
      </w:r>
      <w:r w:rsidRPr="00012C17">
        <w:rPr>
          <w:bCs/>
          <w:color w:val="000000"/>
          <w:sz w:val="24"/>
        </w:rPr>
        <w:t xml:space="preserve"> </w:t>
      </w:r>
      <w:r w:rsidR="00B711CC" w:rsidRPr="00012C17">
        <w:rPr>
          <w:bCs/>
          <w:color w:val="000000"/>
          <w:sz w:val="24"/>
        </w:rPr>
        <w:t>established</w:t>
      </w:r>
      <w:r w:rsidRPr="00012C17">
        <w:rPr>
          <w:bCs/>
          <w:color w:val="000000"/>
          <w:sz w:val="24"/>
        </w:rPr>
        <w:t xml:space="preserve"> in Rule 39 (3) of the Rules of Procedure </w:t>
      </w:r>
      <w:r w:rsidR="00B711CC" w:rsidRPr="00012C17">
        <w:rPr>
          <w:bCs/>
          <w:color w:val="000000"/>
          <w:sz w:val="24"/>
        </w:rPr>
        <w:t>is</w:t>
      </w:r>
      <w:r w:rsidRPr="00012C17">
        <w:rPr>
          <w:bCs/>
          <w:color w:val="000000"/>
          <w:sz w:val="24"/>
        </w:rPr>
        <w:t xml:space="preserve"> applicable in the present case. (See, </w:t>
      </w:r>
      <w:r w:rsidRPr="00012C17">
        <w:rPr>
          <w:bCs/>
          <w:i/>
          <w:iCs/>
          <w:color w:val="000000"/>
          <w:sz w:val="24"/>
        </w:rPr>
        <w:t>inter alia</w:t>
      </w:r>
      <w:r w:rsidRPr="00012C17">
        <w:rPr>
          <w:bCs/>
          <w:color w:val="000000"/>
          <w:sz w:val="24"/>
        </w:rPr>
        <w:t xml:space="preserve">, ECHR case </w:t>
      </w:r>
      <w:r w:rsidRPr="00012C17">
        <w:rPr>
          <w:bCs/>
          <w:i/>
          <w:iCs/>
          <w:color w:val="000000"/>
          <w:sz w:val="24"/>
        </w:rPr>
        <w:t>Alimuçaj v. Albania</w:t>
      </w:r>
      <w:r w:rsidRPr="00012C17">
        <w:rPr>
          <w:bCs/>
          <w:color w:val="000000"/>
          <w:sz w:val="24"/>
        </w:rPr>
        <w:t>, Application No. 20134/05, Judgment of 9 July 2012, paragraph 144, see also</w:t>
      </w:r>
      <w:r w:rsidR="00B711CC" w:rsidRPr="00012C17">
        <w:rPr>
          <w:bCs/>
          <w:color w:val="000000"/>
          <w:sz w:val="24"/>
        </w:rPr>
        <w:t xml:space="preserve">: </w:t>
      </w:r>
      <w:r w:rsidR="00E84FF8" w:rsidRPr="00012C17">
        <w:rPr>
          <w:bCs/>
          <w:color w:val="000000"/>
          <w:sz w:val="24"/>
        </w:rPr>
        <w:t xml:space="preserve">the case of the </w:t>
      </w:r>
      <w:r w:rsidR="00AA5EB5" w:rsidRPr="00012C17">
        <w:rPr>
          <w:bCs/>
          <w:color w:val="000000"/>
          <w:sz w:val="24"/>
        </w:rPr>
        <w:t xml:space="preserve">Constitutional </w:t>
      </w:r>
      <w:r w:rsidR="00E84FF8" w:rsidRPr="00012C17">
        <w:rPr>
          <w:bCs/>
          <w:color w:val="000000"/>
          <w:sz w:val="24"/>
        </w:rPr>
        <w:t>Court</w:t>
      </w:r>
      <w:r w:rsidR="00B711CC" w:rsidRPr="00012C17">
        <w:rPr>
          <w:bCs/>
          <w:color w:val="000000"/>
          <w:sz w:val="24"/>
        </w:rPr>
        <w:t xml:space="preserve"> No. KO73/</w:t>
      </w:r>
      <w:r w:rsidRPr="00012C17">
        <w:rPr>
          <w:bCs/>
          <w:color w:val="000000"/>
          <w:sz w:val="24"/>
        </w:rPr>
        <w:t xml:space="preserve">16, </w:t>
      </w:r>
      <w:r w:rsidRPr="00012C17">
        <w:rPr>
          <w:bCs/>
          <w:i/>
          <w:iCs/>
          <w:color w:val="000000"/>
          <w:sz w:val="24"/>
        </w:rPr>
        <w:t>Applicant</w:t>
      </w:r>
      <w:r w:rsidR="00B711CC" w:rsidRPr="00012C17">
        <w:rPr>
          <w:bCs/>
          <w:i/>
          <w:iCs/>
          <w:color w:val="000000"/>
          <w:sz w:val="24"/>
        </w:rPr>
        <w:t>:</w:t>
      </w:r>
      <w:r w:rsidRPr="00012C17">
        <w:rPr>
          <w:bCs/>
          <w:i/>
          <w:iCs/>
          <w:color w:val="000000"/>
          <w:sz w:val="24"/>
        </w:rPr>
        <w:t xml:space="preserve"> Ombuds</w:t>
      </w:r>
      <w:r w:rsidR="00B711CC" w:rsidRPr="00012C17">
        <w:rPr>
          <w:bCs/>
          <w:i/>
          <w:iCs/>
          <w:color w:val="000000"/>
          <w:sz w:val="24"/>
        </w:rPr>
        <w:t>person</w:t>
      </w:r>
      <w:r w:rsidRPr="00012C17">
        <w:rPr>
          <w:bCs/>
          <w:color w:val="000000"/>
          <w:sz w:val="24"/>
        </w:rPr>
        <w:t xml:space="preserve">, Judgment of 8 December 2016, </w:t>
      </w:r>
      <w:r w:rsidR="007C43F3" w:rsidRPr="00012C17">
        <w:rPr>
          <w:bCs/>
          <w:color w:val="000000"/>
          <w:sz w:val="24"/>
        </w:rPr>
        <w:t>paragraph</w:t>
      </w:r>
      <w:r w:rsidR="007C43F3" w:rsidRPr="00012C17" w:rsidDel="007C43F3">
        <w:rPr>
          <w:bCs/>
          <w:color w:val="000000"/>
          <w:sz w:val="24"/>
        </w:rPr>
        <w:t xml:space="preserve"> </w:t>
      </w:r>
      <w:r w:rsidR="00892A1F" w:rsidRPr="00012C17">
        <w:rPr>
          <w:rFonts w:cs="Tahoma"/>
          <w:bCs/>
          <w:color w:val="000000"/>
          <w:sz w:val="24"/>
        </w:rPr>
        <w:t>4</w:t>
      </w:r>
      <w:r w:rsidR="0043143B" w:rsidRPr="00012C17">
        <w:rPr>
          <w:rFonts w:cs="Tahoma"/>
          <w:bCs/>
          <w:color w:val="000000"/>
          <w:sz w:val="24"/>
        </w:rPr>
        <w:t>9).</w:t>
      </w:r>
    </w:p>
    <w:p w:rsidR="00A2232E" w:rsidRPr="00012C17" w:rsidRDefault="00A2232E" w:rsidP="001B11C5">
      <w:pPr>
        <w:spacing w:line="240" w:lineRule="auto"/>
        <w:rPr>
          <w:rFonts w:cs="Tahoma"/>
          <w:bCs/>
          <w:color w:val="000000"/>
          <w:sz w:val="24"/>
        </w:rPr>
      </w:pPr>
    </w:p>
    <w:p w:rsidR="00A2232E" w:rsidRPr="00012C17" w:rsidRDefault="00525C50" w:rsidP="001B11C5">
      <w:pPr>
        <w:spacing w:line="240" w:lineRule="auto"/>
        <w:rPr>
          <w:rFonts w:cs="Tahoma"/>
          <w:b/>
          <w:bCs/>
          <w:color w:val="000000"/>
          <w:sz w:val="24"/>
        </w:rPr>
      </w:pPr>
      <w:r w:rsidRPr="00012C17">
        <w:rPr>
          <w:rFonts w:cs="Tahoma"/>
          <w:b/>
          <w:bCs/>
          <w:color w:val="000000"/>
          <w:sz w:val="24"/>
        </w:rPr>
        <w:t>Conclusion regarding the admissibility of the Referral</w:t>
      </w:r>
    </w:p>
    <w:p w:rsidR="00892A1F" w:rsidRPr="00012C17" w:rsidRDefault="00892A1F" w:rsidP="001B11C5">
      <w:pPr>
        <w:spacing w:line="240" w:lineRule="auto"/>
        <w:rPr>
          <w:rFonts w:cs="Tahoma"/>
          <w:bCs/>
          <w:color w:val="000000"/>
          <w:sz w:val="24"/>
        </w:rPr>
      </w:pPr>
    </w:p>
    <w:p w:rsidR="00E84FF8" w:rsidRPr="00012C17" w:rsidRDefault="00525C50"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The Court concludes that the Applicants are authorized parties; challenge decisions of public authorities; </w:t>
      </w:r>
      <w:r w:rsidR="00B711CC" w:rsidRPr="00012C17">
        <w:rPr>
          <w:rFonts w:cs="Tahoma"/>
          <w:bCs/>
          <w:color w:val="000000"/>
          <w:sz w:val="24"/>
        </w:rPr>
        <w:t xml:space="preserve">have </w:t>
      </w:r>
      <w:r w:rsidRPr="00012C17">
        <w:rPr>
          <w:rFonts w:cs="Tahoma"/>
          <w:bCs/>
          <w:color w:val="000000"/>
          <w:sz w:val="24"/>
        </w:rPr>
        <w:t xml:space="preserve">exhausted </w:t>
      </w:r>
      <w:r w:rsidR="00B711CC" w:rsidRPr="00012C17">
        <w:rPr>
          <w:rFonts w:cs="Tahoma"/>
          <w:bCs/>
          <w:color w:val="000000"/>
          <w:sz w:val="24"/>
        </w:rPr>
        <w:t xml:space="preserve">legal </w:t>
      </w:r>
      <w:r w:rsidRPr="00012C17">
        <w:rPr>
          <w:rFonts w:cs="Tahoma"/>
          <w:bCs/>
          <w:color w:val="000000"/>
          <w:sz w:val="24"/>
        </w:rPr>
        <w:t>remedies</w:t>
      </w:r>
      <w:r w:rsidR="00E84FF8" w:rsidRPr="00012C17">
        <w:rPr>
          <w:rFonts w:cs="Tahoma"/>
          <w:bCs/>
          <w:color w:val="000000"/>
          <w:sz w:val="24"/>
        </w:rPr>
        <w:t xml:space="preserve"> as specifically elaborated above</w:t>
      </w:r>
      <w:r w:rsidRPr="00012C17">
        <w:rPr>
          <w:rFonts w:cs="Tahoma"/>
          <w:bCs/>
          <w:color w:val="000000"/>
          <w:sz w:val="24"/>
        </w:rPr>
        <w:t xml:space="preserve">; have specified the rights and freedoms that claim to have been violated; have submitted the </w:t>
      </w:r>
      <w:r w:rsidR="00B711CC" w:rsidRPr="00012C17">
        <w:rPr>
          <w:rFonts w:cs="Tahoma"/>
          <w:bCs/>
          <w:color w:val="000000"/>
          <w:sz w:val="24"/>
        </w:rPr>
        <w:t>referral</w:t>
      </w:r>
      <w:r w:rsidRPr="00012C17">
        <w:rPr>
          <w:rFonts w:cs="Tahoma"/>
          <w:bCs/>
          <w:color w:val="000000"/>
          <w:sz w:val="24"/>
        </w:rPr>
        <w:t xml:space="preserve"> within the deadline; the </w:t>
      </w:r>
      <w:r w:rsidR="00B711CC" w:rsidRPr="00012C17">
        <w:rPr>
          <w:rFonts w:cs="Tahoma"/>
          <w:bCs/>
          <w:color w:val="000000"/>
          <w:sz w:val="24"/>
        </w:rPr>
        <w:t>referral</w:t>
      </w:r>
      <w:r w:rsidRPr="00012C17">
        <w:rPr>
          <w:rFonts w:cs="Tahoma"/>
          <w:bCs/>
          <w:color w:val="000000"/>
          <w:sz w:val="24"/>
        </w:rPr>
        <w:t xml:space="preserve"> is not manifestly ill-founded; and there is no other </w:t>
      </w:r>
      <w:r w:rsidR="00B711CC" w:rsidRPr="00012C17">
        <w:rPr>
          <w:rFonts w:cs="Tahoma"/>
          <w:bCs/>
          <w:color w:val="000000"/>
          <w:sz w:val="24"/>
        </w:rPr>
        <w:t>admissibility requirement</w:t>
      </w:r>
      <w:r w:rsidRPr="00012C17">
        <w:rPr>
          <w:rFonts w:cs="Tahoma"/>
          <w:bCs/>
          <w:color w:val="000000"/>
          <w:sz w:val="24"/>
        </w:rPr>
        <w:t xml:space="preserve"> which is not fulfilled. </w:t>
      </w:r>
    </w:p>
    <w:p w:rsidR="00E84FF8" w:rsidRPr="00012C17" w:rsidRDefault="00E84FF8" w:rsidP="001B11C5">
      <w:pPr>
        <w:spacing w:line="240" w:lineRule="auto"/>
        <w:ind w:left="630"/>
        <w:rPr>
          <w:rFonts w:cs="Tahoma"/>
          <w:bCs/>
          <w:color w:val="000000"/>
          <w:sz w:val="24"/>
        </w:rPr>
      </w:pPr>
    </w:p>
    <w:p w:rsidR="004C6ACE" w:rsidRPr="00012C17" w:rsidRDefault="00B711CC" w:rsidP="001B11C5">
      <w:pPr>
        <w:numPr>
          <w:ilvl w:val="0"/>
          <w:numId w:val="1"/>
        </w:numPr>
        <w:spacing w:line="240" w:lineRule="auto"/>
        <w:ind w:left="630" w:hanging="630"/>
        <w:rPr>
          <w:rFonts w:cs="Tahoma"/>
          <w:bCs/>
          <w:color w:val="000000"/>
          <w:sz w:val="24"/>
        </w:rPr>
      </w:pPr>
      <w:r w:rsidRPr="00012C17">
        <w:rPr>
          <w:rFonts w:cs="Tahoma"/>
          <w:bCs/>
          <w:color w:val="000000"/>
          <w:sz w:val="24"/>
        </w:rPr>
        <w:t>Therefore</w:t>
      </w:r>
      <w:r w:rsidR="00525C50" w:rsidRPr="00012C17">
        <w:rPr>
          <w:rFonts w:cs="Tahoma"/>
          <w:bCs/>
          <w:color w:val="000000"/>
          <w:sz w:val="24"/>
        </w:rPr>
        <w:t xml:space="preserve">, the Court declares the </w:t>
      </w:r>
      <w:r w:rsidRPr="00012C17">
        <w:rPr>
          <w:rFonts w:cs="Tahoma"/>
          <w:bCs/>
          <w:color w:val="000000"/>
          <w:sz w:val="24"/>
        </w:rPr>
        <w:t>Referral</w:t>
      </w:r>
      <w:r w:rsidR="00525C50" w:rsidRPr="00012C17">
        <w:rPr>
          <w:rFonts w:cs="Tahoma"/>
          <w:bCs/>
          <w:color w:val="000000"/>
          <w:sz w:val="24"/>
        </w:rPr>
        <w:t xml:space="preserve"> admissible</w:t>
      </w:r>
      <w:r w:rsidR="00892A1F" w:rsidRPr="00012C17">
        <w:rPr>
          <w:rFonts w:cs="Tahoma"/>
          <w:bCs/>
          <w:color w:val="000000"/>
          <w:sz w:val="24"/>
        </w:rPr>
        <w:t xml:space="preserve">. </w:t>
      </w:r>
    </w:p>
    <w:p w:rsidR="001363DB" w:rsidRPr="00012C17" w:rsidRDefault="001363DB" w:rsidP="001B11C5">
      <w:pPr>
        <w:spacing w:line="240" w:lineRule="auto"/>
        <w:rPr>
          <w:rFonts w:cs="Arial"/>
          <w:b/>
          <w:color w:val="000000"/>
          <w:sz w:val="24"/>
        </w:rPr>
      </w:pPr>
    </w:p>
    <w:p w:rsidR="00E84FF8" w:rsidRPr="00012C17" w:rsidRDefault="00E84FF8" w:rsidP="001B11C5">
      <w:pPr>
        <w:spacing w:line="240" w:lineRule="auto"/>
        <w:rPr>
          <w:rFonts w:cs="Arial"/>
          <w:b/>
          <w:color w:val="000000"/>
          <w:sz w:val="24"/>
        </w:rPr>
      </w:pPr>
      <w:r w:rsidRPr="00012C17">
        <w:rPr>
          <w:rFonts w:cs="Arial"/>
          <w:b/>
          <w:color w:val="000000"/>
          <w:sz w:val="24"/>
        </w:rPr>
        <w:t>Merits of the Referral</w:t>
      </w:r>
    </w:p>
    <w:p w:rsidR="00E84FF8" w:rsidRPr="00012C17" w:rsidRDefault="00E84FF8" w:rsidP="001B11C5">
      <w:pPr>
        <w:spacing w:line="240" w:lineRule="auto"/>
        <w:rPr>
          <w:rFonts w:cs="Arial"/>
          <w:b/>
          <w:color w:val="000000"/>
          <w:sz w:val="24"/>
        </w:rPr>
      </w:pPr>
    </w:p>
    <w:p w:rsidR="00E84FF8" w:rsidRPr="00012C17" w:rsidRDefault="00E84FF8" w:rsidP="001B11C5">
      <w:pPr>
        <w:numPr>
          <w:ilvl w:val="0"/>
          <w:numId w:val="33"/>
        </w:numPr>
        <w:spacing w:line="240" w:lineRule="auto"/>
        <w:rPr>
          <w:rFonts w:cs="Arial"/>
          <w:b/>
          <w:color w:val="000000"/>
          <w:sz w:val="24"/>
        </w:rPr>
      </w:pPr>
      <w:r w:rsidRPr="00012C17">
        <w:rPr>
          <w:rFonts w:cs="Arial"/>
          <w:b/>
          <w:color w:val="000000"/>
          <w:sz w:val="24"/>
        </w:rPr>
        <w:t xml:space="preserve">Introduction </w:t>
      </w:r>
    </w:p>
    <w:p w:rsidR="00E84FF8" w:rsidRPr="00012C17" w:rsidRDefault="00E84FF8" w:rsidP="001B11C5">
      <w:pPr>
        <w:spacing w:line="240" w:lineRule="auto"/>
        <w:rPr>
          <w:rFonts w:cs="Arial"/>
          <w:color w:val="000000"/>
          <w:sz w:val="24"/>
        </w:rPr>
      </w:pPr>
    </w:p>
    <w:p w:rsidR="00E84FF8" w:rsidRPr="00012C17" w:rsidRDefault="00E84FF8" w:rsidP="001B11C5">
      <w:pPr>
        <w:numPr>
          <w:ilvl w:val="0"/>
          <w:numId w:val="1"/>
        </w:numPr>
        <w:spacing w:line="240" w:lineRule="auto"/>
        <w:ind w:left="630" w:hanging="630"/>
        <w:rPr>
          <w:rFonts w:cs="Tahoma"/>
          <w:bCs/>
          <w:color w:val="000000"/>
          <w:sz w:val="24"/>
        </w:rPr>
      </w:pPr>
      <w:r w:rsidRPr="00012C17">
        <w:rPr>
          <w:color w:val="000000"/>
          <w:sz w:val="24"/>
        </w:rPr>
        <w:t xml:space="preserve">The Court first recalls that the Applicants allege violation of their rights guaranteed by Article 45 [Freedom of Election and Participation] and Article 54 [Judicial Protection of Rights] of the Constitution. </w:t>
      </w:r>
    </w:p>
    <w:p w:rsidR="00E84FF8" w:rsidRPr="00012C17" w:rsidRDefault="00E84FF8" w:rsidP="001B11C5">
      <w:pPr>
        <w:spacing w:line="240" w:lineRule="auto"/>
        <w:ind w:left="630"/>
        <w:rPr>
          <w:rFonts w:cs="Tahoma"/>
          <w:bCs/>
          <w:color w:val="000000"/>
          <w:sz w:val="24"/>
        </w:rPr>
      </w:pPr>
    </w:p>
    <w:p w:rsidR="00E84FF8" w:rsidRPr="00012C17" w:rsidRDefault="00E84FF8"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In substance, the Applicants mainly allege that the Supreme Court, but also the ECAP, in the proceedings conducted for the review of their complaints and appeals, have failed to provide judicial protection of their rights guaranteed by Article 54 of the Constitution and, consequently, these public authorities have violated their rights to election and participation guaranteed by Article 45 of the Constitution. </w:t>
      </w:r>
    </w:p>
    <w:p w:rsidR="00E84FF8" w:rsidRPr="00012C17" w:rsidRDefault="00E84FF8" w:rsidP="001B11C5">
      <w:pPr>
        <w:pStyle w:val="ListParagraph"/>
        <w:spacing w:after="0" w:line="240" w:lineRule="auto"/>
        <w:rPr>
          <w:rFonts w:cs="Tahoma"/>
          <w:bCs/>
          <w:color w:val="000000"/>
          <w:sz w:val="24"/>
          <w:lang w:val="en-US"/>
        </w:rPr>
      </w:pPr>
    </w:p>
    <w:p w:rsidR="00E84FF8" w:rsidRPr="00012C17" w:rsidRDefault="00E84FF8"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In dealing with the allegations of the Applicants, the Court will first deal with issues relating to the jurisdiction of the Court with regard to election disputes. Subsequently, the Court will deal separately with all allegations of the Applicants starting with the category of allegations relating to the violation of the right to judicial protection of rights guaranteed by Article 54 of the Constitution, to continue with the category of the allegations related to violations of the rights of election and participation guaranteed by Article 45 of the Constitution. </w:t>
      </w:r>
    </w:p>
    <w:p w:rsidR="00E84FF8" w:rsidRPr="00012C17" w:rsidRDefault="00E84FF8" w:rsidP="001B11C5">
      <w:pPr>
        <w:pStyle w:val="ListParagraph"/>
        <w:spacing w:after="0" w:line="240" w:lineRule="auto"/>
        <w:rPr>
          <w:rFonts w:cs="Tahoma"/>
          <w:bCs/>
          <w:color w:val="000000"/>
          <w:sz w:val="24"/>
          <w:lang w:val="en-US"/>
        </w:rPr>
      </w:pPr>
    </w:p>
    <w:p w:rsidR="00E84FF8" w:rsidRPr="00012C17" w:rsidRDefault="00E84FF8"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The Court, beyond the application of constitutional guarantees related to the respective rights, in dealing with these allegations during the review of all allegations, will </w:t>
      </w:r>
      <w:r w:rsidR="001363DB" w:rsidRPr="00012C17">
        <w:rPr>
          <w:rFonts w:cs="Tahoma"/>
          <w:bCs/>
          <w:color w:val="000000"/>
          <w:sz w:val="24"/>
        </w:rPr>
        <w:t xml:space="preserve">also </w:t>
      </w:r>
      <w:r w:rsidRPr="00012C17">
        <w:rPr>
          <w:rFonts w:cs="Tahoma"/>
          <w:bCs/>
          <w:color w:val="000000"/>
          <w:sz w:val="24"/>
        </w:rPr>
        <w:t>apply: (i) the case</w:t>
      </w:r>
      <w:r w:rsidR="00012C17" w:rsidRPr="00012C17">
        <w:rPr>
          <w:rFonts w:cs="Tahoma"/>
          <w:bCs/>
          <w:color w:val="000000"/>
          <w:sz w:val="24"/>
        </w:rPr>
        <w:t>-</w:t>
      </w:r>
      <w:r w:rsidRPr="00012C17">
        <w:rPr>
          <w:rFonts w:cs="Tahoma"/>
          <w:bCs/>
          <w:color w:val="000000"/>
          <w:sz w:val="24"/>
        </w:rPr>
        <w:t xml:space="preserve">law of the ECtHR in interpreting Article 3 (Right to free election) of </w:t>
      </w:r>
      <w:r w:rsidR="00C40D12" w:rsidRPr="00012C17">
        <w:rPr>
          <w:rFonts w:cs="Tahoma"/>
          <w:bCs/>
          <w:color w:val="000000"/>
          <w:sz w:val="24"/>
        </w:rPr>
        <w:t>Protocol no.</w:t>
      </w:r>
      <w:r w:rsidR="00AA5EB5" w:rsidRPr="00012C17">
        <w:rPr>
          <w:rFonts w:cs="Tahoma"/>
          <w:bCs/>
          <w:color w:val="000000"/>
          <w:sz w:val="24"/>
        </w:rPr>
        <w:t xml:space="preserve"> </w:t>
      </w:r>
      <w:r w:rsidR="00C40D12" w:rsidRPr="00012C17">
        <w:rPr>
          <w:rFonts w:cs="Tahoma"/>
          <w:bCs/>
          <w:color w:val="000000"/>
          <w:sz w:val="24"/>
        </w:rPr>
        <w:t>1</w:t>
      </w:r>
      <w:r w:rsidRPr="00012C17">
        <w:rPr>
          <w:rFonts w:cs="Tahoma"/>
          <w:bCs/>
          <w:color w:val="000000"/>
          <w:sz w:val="24"/>
        </w:rPr>
        <w:t xml:space="preserve"> to the ECHR in accordance with which </w:t>
      </w:r>
      <w:r w:rsidRPr="00012C17">
        <w:rPr>
          <w:rFonts w:cs="Tahoma"/>
          <w:bCs/>
          <w:color w:val="000000"/>
          <w:sz w:val="24"/>
        </w:rPr>
        <w:lastRenderedPageBreak/>
        <w:t xml:space="preserve">the Court, based on Article 53 [Interpretation of Human Rights Provisions] of the Constitution, is obliged to interpret fundamental rights and freedoms guaranteed by the Constitution; and (ii) the fundamental and common principles of European heritage for free and democratic elections, summarized in the Venice Commission Opinions, namely the Code of Good Practice in Electoral Matters and Explanatory Report, Opinion No. 190/2002, CDL-AD (2002) 023rev2-cor, adopted at the 51st plenary session by the Venice Commission of 5-6 July 2002 and subsequently approved by the Parliamentary Assembly of the Council of Europe in the first part of the 2003 session (hereinafter: Code of Good Practice and/or Explanatory Report). </w:t>
      </w:r>
    </w:p>
    <w:p w:rsidR="00186AD2" w:rsidRPr="00012C17" w:rsidRDefault="00186AD2" w:rsidP="001B11C5">
      <w:pPr>
        <w:pStyle w:val="ListParagraph"/>
        <w:spacing w:after="0" w:line="240" w:lineRule="auto"/>
        <w:rPr>
          <w:rFonts w:cs="Tahoma"/>
          <w:bCs/>
          <w:color w:val="000000"/>
          <w:sz w:val="24"/>
          <w:lang w:val="en-US"/>
        </w:rPr>
      </w:pPr>
    </w:p>
    <w:p w:rsidR="00E84FF8" w:rsidRPr="00012C17" w:rsidRDefault="00E84FF8" w:rsidP="001B11C5">
      <w:pPr>
        <w:numPr>
          <w:ilvl w:val="0"/>
          <w:numId w:val="1"/>
        </w:numPr>
        <w:spacing w:line="240" w:lineRule="auto"/>
        <w:ind w:left="630" w:hanging="630"/>
        <w:rPr>
          <w:rFonts w:cs="Tahoma"/>
          <w:bCs/>
          <w:color w:val="000000"/>
          <w:sz w:val="24"/>
        </w:rPr>
      </w:pPr>
      <w:r w:rsidRPr="00012C17">
        <w:rPr>
          <w:rFonts w:cs="Tahoma"/>
          <w:bCs/>
          <w:color w:val="000000"/>
          <w:sz w:val="24"/>
        </w:rPr>
        <w:t>The Court emphasizes that the Code of Good Practice is based on the underlying principles of European electoral heritage, which constitute</w:t>
      </w:r>
      <w:r w:rsidR="00AA5EB5" w:rsidRPr="00012C17">
        <w:rPr>
          <w:rFonts w:cs="Tahoma"/>
          <w:bCs/>
          <w:color w:val="000000"/>
          <w:sz w:val="24"/>
        </w:rPr>
        <w:t>s</w:t>
      </w:r>
      <w:r w:rsidRPr="00012C17">
        <w:rPr>
          <w:rFonts w:cs="Tahoma"/>
          <w:bCs/>
          <w:color w:val="000000"/>
          <w:sz w:val="24"/>
        </w:rPr>
        <w:t xml:space="preserve"> the basis of a good practice in electoral m</w:t>
      </w:r>
      <w:r w:rsidR="00590226" w:rsidRPr="00012C17">
        <w:rPr>
          <w:rFonts w:cs="Tahoma"/>
          <w:bCs/>
          <w:color w:val="000000"/>
          <w:sz w:val="24"/>
        </w:rPr>
        <w:t>atters. Under this Code, the</w:t>
      </w:r>
      <w:r w:rsidRPr="00012C17">
        <w:rPr>
          <w:rFonts w:cs="Tahoma"/>
          <w:bCs/>
          <w:color w:val="000000"/>
          <w:sz w:val="24"/>
        </w:rPr>
        <w:t xml:space="preserve"> electoral </w:t>
      </w:r>
      <w:r w:rsidR="00A23392" w:rsidRPr="00012C17">
        <w:rPr>
          <w:rFonts w:cs="Tahoma"/>
          <w:bCs/>
          <w:color w:val="000000"/>
          <w:sz w:val="24"/>
        </w:rPr>
        <w:t>heritage</w:t>
      </w:r>
      <w:r w:rsidRPr="00012C17">
        <w:rPr>
          <w:rFonts w:cs="Tahoma"/>
          <w:bCs/>
          <w:color w:val="000000"/>
          <w:sz w:val="24"/>
        </w:rPr>
        <w:t xml:space="preserve"> </w:t>
      </w:r>
      <w:r w:rsidR="00590226" w:rsidRPr="00012C17">
        <w:rPr>
          <w:rFonts w:cs="Tahoma"/>
          <w:bCs/>
          <w:color w:val="000000"/>
          <w:sz w:val="24"/>
        </w:rPr>
        <w:t xml:space="preserve">of Europe </w:t>
      </w:r>
      <w:r w:rsidRPr="00012C17">
        <w:rPr>
          <w:rFonts w:cs="Tahoma"/>
          <w:bCs/>
          <w:color w:val="000000"/>
          <w:sz w:val="24"/>
        </w:rPr>
        <w:t xml:space="preserve">consists of five underlining principles and they are: (1) universal </w:t>
      </w:r>
      <w:r w:rsidR="00873C8A" w:rsidRPr="00012C17">
        <w:rPr>
          <w:bCs/>
          <w:iCs/>
          <w:color w:val="000000"/>
          <w:sz w:val="24"/>
        </w:rPr>
        <w:t>suffrage</w:t>
      </w:r>
      <w:r w:rsidRPr="00012C17">
        <w:rPr>
          <w:rFonts w:cs="Tahoma"/>
          <w:bCs/>
          <w:color w:val="000000"/>
          <w:sz w:val="24"/>
        </w:rPr>
        <w:t xml:space="preserve">; (2) equal </w:t>
      </w:r>
      <w:r w:rsidR="00873C8A" w:rsidRPr="00012C17">
        <w:rPr>
          <w:bCs/>
          <w:iCs/>
          <w:color w:val="000000"/>
          <w:sz w:val="24"/>
        </w:rPr>
        <w:t>suffrage</w:t>
      </w:r>
      <w:r w:rsidRPr="00012C17">
        <w:rPr>
          <w:rFonts w:cs="Tahoma"/>
          <w:bCs/>
          <w:color w:val="000000"/>
          <w:sz w:val="24"/>
        </w:rPr>
        <w:t xml:space="preserve">; (3) free </w:t>
      </w:r>
      <w:r w:rsidR="00873C8A" w:rsidRPr="00012C17">
        <w:rPr>
          <w:bCs/>
          <w:iCs/>
          <w:color w:val="000000"/>
          <w:sz w:val="24"/>
        </w:rPr>
        <w:t>suffrage</w:t>
      </w:r>
      <w:r w:rsidRPr="00012C17">
        <w:rPr>
          <w:rFonts w:cs="Tahoma"/>
          <w:bCs/>
          <w:color w:val="000000"/>
          <w:sz w:val="24"/>
        </w:rPr>
        <w:t xml:space="preserve">; (4) secret </w:t>
      </w:r>
      <w:r w:rsidR="00873C8A" w:rsidRPr="00012C17">
        <w:rPr>
          <w:bCs/>
          <w:iCs/>
          <w:color w:val="000000"/>
          <w:sz w:val="24"/>
        </w:rPr>
        <w:t>suffrage</w:t>
      </w:r>
      <w:r w:rsidRPr="00012C17">
        <w:rPr>
          <w:rFonts w:cs="Tahoma"/>
          <w:bCs/>
          <w:color w:val="000000"/>
          <w:sz w:val="24"/>
        </w:rPr>
        <w:t xml:space="preserve">; </w:t>
      </w:r>
      <w:r w:rsidR="0053563A" w:rsidRPr="00012C17">
        <w:rPr>
          <w:rFonts w:cs="Tahoma"/>
          <w:bCs/>
          <w:color w:val="000000"/>
          <w:sz w:val="24"/>
        </w:rPr>
        <w:t xml:space="preserve">and </w:t>
      </w:r>
      <w:r w:rsidRPr="00012C17">
        <w:rPr>
          <w:rFonts w:cs="Tahoma"/>
          <w:bCs/>
          <w:color w:val="000000"/>
          <w:sz w:val="24"/>
        </w:rPr>
        <w:t xml:space="preserve">(5) direct </w:t>
      </w:r>
      <w:r w:rsidR="00873C8A" w:rsidRPr="00012C17">
        <w:rPr>
          <w:bCs/>
          <w:iCs/>
          <w:color w:val="000000"/>
          <w:sz w:val="24"/>
        </w:rPr>
        <w:t>suffrage</w:t>
      </w:r>
      <w:r w:rsidRPr="00012C17">
        <w:rPr>
          <w:rFonts w:cs="Tahoma"/>
          <w:bCs/>
          <w:color w:val="000000"/>
          <w:sz w:val="24"/>
        </w:rPr>
        <w:t xml:space="preserve">. Beyond these principles, the Code of Good Practice also sets three </w:t>
      </w:r>
      <w:r w:rsidR="0053563A" w:rsidRPr="00012C17">
        <w:rPr>
          <w:rFonts w:cs="Tahoma"/>
          <w:bCs/>
          <w:color w:val="000000"/>
          <w:sz w:val="24"/>
        </w:rPr>
        <w:t>requirements</w:t>
      </w:r>
      <w:r w:rsidRPr="00012C17">
        <w:rPr>
          <w:rFonts w:cs="Tahoma"/>
          <w:bCs/>
          <w:color w:val="000000"/>
          <w:sz w:val="24"/>
        </w:rPr>
        <w:t xml:space="preserve">, the fulfillment of which is a prerequisite for the proper implementation of the underlying principles of this Code and they are: (1) respect for fundamental rights; (2) the level of regulation and stability of the election law; and (3) procedural guarantees. </w:t>
      </w:r>
    </w:p>
    <w:p w:rsidR="0053563A" w:rsidRPr="00012C17" w:rsidRDefault="0053563A" w:rsidP="001B11C5">
      <w:pPr>
        <w:pStyle w:val="ListParagraph"/>
        <w:spacing w:after="0" w:line="240" w:lineRule="auto"/>
        <w:rPr>
          <w:rFonts w:cs="Tahoma"/>
          <w:bCs/>
          <w:color w:val="000000"/>
          <w:sz w:val="24"/>
          <w:lang w:val="en-US"/>
        </w:rPr>
      </w:pPr>
    </w:p>
    <w:p w:rsidR="00E84FF8" w:rsidRPr="00012C17" w:rsidRDefault="00E84FF8" w:rsidP="001B11C5">
      <w:pPr>
        <w:numPr>
          <w:ilvl w:val="0"/>
          <w:numId w:val="1"/>
        </w:numPr>
        <w:spacing w:line="240" w:lineRule="auto"/>
        <w:ind w:left="630" w:hanging="630"/>
        <w:rPr>
          <w:rFonts w:cs="Tahoma"/>
          <w:bCs/>
          <w:color w:val="000000"/>
          <w:sz w:val="24"/>
        </w:rPr>
      </w:pPr>
      <w:r w:rsidRPr="00012C17">
        <w:rPr>
          <w:rFonts w:cs="Arial"/>
          <w:color w:val="000000"/>
          <w:sz w:val="24"/>
        </w:rPr>
        <w:t xml:space="preserve">Beyond this, the Court will also apply in the circumstances of the present case, the Opinions and Reports adopted by the Venice Commission over the years regarding best practices for resolving </w:t>
      </w:r>
      <w:r w:rsidR="004A66EA" w:rsidRPr="00012C17">
        <w:rPr>
          <w:rFonts w:cs="Arial"/>
          <w:color w:val="000000"/>
          <w:sz w:val="24"/>
        </w:rPr>
        <w:t>election</w:t>
      </w:r>
      <w:r w:rsidRPr="00012C17">
        <w:rPr>
          <w:rFonts w:cs="Arial"/>
          <w:color w:val="000000"/>
          <w:sz w:val="24"/>
        </w:rPr>
        <w:t xml:space="preserve"> disputes, summarized in a separate document, namely the document </w:t>
      </w:r>
      <w:r w:rsidR="00590226" w:rsidRPr="00012C17">
        <w:rPr>
          <w:rFonts w:cs="Arial"/>
          <w:color w:val="000000"/>
          <w:sz w:val="24"/>
        </w:rPr>
        <w:t xml:space="preserve">of the </w:t>
      </w:r>
      <w:r w:rsidRPr="00012C17">
        <w:rPr>
          <w:rFonts w:cs="Arial"/>
          <w:color w:val="000000"/>
          <w:sz w:val="24"/>
        </w:rPr>
        <w:t>Venice Commission, known as “</w:t>
      </w:r>
      <w:r w:rsidRPr="00012C17">
        <w:rPr>
          <w:rFonts w:cs="Arial"/>
          <w:i/>
          <w:iCs/>
          <w:color w:val="000000"/>
          <w:sz w:val="24"/>
        </w:rPr>
        <w:t>Summary of Reports and Opinions of the Venice Commission on Election Dispute Resolution</w:t>
      </w:r>
      <w:r w:rsidRPr="00012C17">
        <w:rPr>
          <w:rFonts w:cs="Arial"/>
          <w:color w:val="000000"/>
          <w:sz w:val="24"/>
        </w:rPr>
        <w:t xml:space="preserve">”, CDL-PI (2017) 007, dated 9 October 2017 (hereinafter: Report on </w:t>
      </w:r>
      <w:r w:rsidR="004A66EA" w:rsidRPr="00012C17">
        <w:rPr>
          <w:rFonts w:cs="Arial"/>
          <w:color w:val="000000"/>
          <w:sz w:val="24"/>
        </w:rPr>
        <w:t>Election</w:t>
      </w:r>
      <w:r w:rsidRPr="00012C17">
        <w:rPr>
          <w:rFonts w:cs="Arial"/>
          <w:color w:val="000000"/>
          <w:sz w:val="24"/>
        </w:rPr>
        <w:t xml:space="preserve"> Dispute Resolution) and the Venice Commission Report on the Cancellation of Election Results, CDL-AD (2009) 054, adopted by the Council for Democratic Elections at its 31st meeting and adopted by the Venice Commission at its 81st plenary meeting, on 11-12 December 2009 (hereinafter: Report on the Cancellation of the Election Results). </w:t>
      </w:r>
    </w:p>
    <w:p w:rsidR="006A4D44" w:rsidRPr="00012C17" w:rsidRDefault="006A4D44" w:rsidP="001B11C5">
      <w:pPr>
        <w:pStyle w:val="ListParagraph"/>
        <w:spacing w:after="0" w:line="240" w:lineRule="auto"/>
        <w:ind w:left="0"/>
        <w:rPr>
          <w:rFonts w:ascii="Georgia" w:hAnsi="Georgia" w:cs="Tahoma"/>
          <w:bCs/>
          <w:color w:val="000000"/>
          <w:sz w:val="24"/>
          <w:szCs w:val="24"/>
          <w:lang w:val="en-US" w:eastAsia="en-US"/>
        </w:rPr>
      </w:pPr>
    </w:p>
    <w:p w:rsidR="00E84FF8" w:rsidRPr="00012C17" w:rsidRDefault="001363DB" w:rsidP="00FB004D">
      <w:pPr>
        <w:pStyle w:val="ListParagraph"/>
        <w:numPr>
          <w:ilvl w:val="0"/>
          <w:numId w:val="33"/>
        </w:numPr>
        <w:spacing w:after="0" w:line="240" w:lineRule="auto"/>
        <w:ind w:hanging="810"/>
        <w:rPr>
          <w:rFonts w:ascii="Georgia" w:hAnsi="Georgia" w:cs="Tahoma"/>
          <w:b/>
          <w:bCs/>
          <w:color w:val="000000"/>
          <w:sz w:val="24"/>
          <w:szCs w:val="24"/>
          <w:lang w:val="en-US"/>
        </w:rPr>
      </w:pPr>
      <w:r w:rsidRPr="00012C17">
        <w:rPr>
          <w:rFonts w:ascii="Georgia" w:hAnsi="Georgia" w:cs="Tahoma"/>
          <w:b/>
          <w:bCs/>
          <w:color w:val="000000"/>
          <w:sz w:val="24"/>
          <w:szCs w:val="24"/>
          <w:lang w:val="en-US"/>
        </w:rPr>
        <w:t>J</w:t>
      </w:r>
      <w:r w:rsidR="00E84FF8" w:rsidRPr="00012C17">
        <w:rPr>
          <w:rFonts w:ascii="Georgia" w:hAnsi="Georgia" w:cs="Tahoma"/>
          <w:b/>
          <w:bCs/>
          <w:color w:val="000000"/>
          <w:sz w:val="24"/>
          <w:szCs w:val="24"/>
          <w:lang w:val="en-US"/>
        </w:rPr>
        <w:t>urisdiction of the Court</w:t>
      </w:r>
    </w:p>
    <w:p w:rsidR="00E84FF8" w:rsidRPr="00012C17" w:rsidRDefault="00E84FF8" w:rsidP="001B11C5">
      <w:pPr>
        <w:pStyle w:val="CommentText"/>
        <w:spacing w:line="240" w:lineRule="auto"/>
        <w:rPr>
          <w:color w:val="000000"/>
          <w:sz w:val="24"/>
          <w:szCs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rFonts w:cs="Arial"/>
          <w:color w:val="000000"/>
          <w:sz w:val="24"/>
        </w:rPr>
        <w:t>The Court recalls that the question of</w:t>
      </w:r>
      <w:r w:rsidR="00590226" w:rsidRPr="00012C17">
        <w:rPr>
          <w:rFonts w:cs="Arial"/>
          <w:color w:val="000000"/>
          <w:sz w:val="24"/>
        </w:rPr>
        <w:t xml:space="preserve"> its</w:t>
      </w:r>
      <w:r w:rsidRPr="00012C17">
        <w:rPr>
          <w:rFonts w:cs="Arial"/>
          <w:color w:val="000000"/>
          <w:sz w:val="24"/>
        </w:rPr>
        <w:t xml:space="preserve"> jurisdiction in the assessment of the </w:t>
      </w:r>
      <w:r w:rsidR="004A66EA" w:rsidRPr="00012C17">
        <w:rPr>
          <w:rFonts w:cs="Arial"/>
          <w:color w:val="000000"/>
          <w:sz w:val="24"/>
        </w:rPr>
        <w:t>election</w:t>
      </w:r>
      <w:r w:rsidRPr="00012C17">
        <w:rPr>
          <w:rFonts w:cs="Arial"/>
          <w:color w:val="000000"/>
          <w:sz w:val="24"/>
        </w:rPr>
        <w:t xml:space="preserve"> disputes was </w:t>
      </w:r>
      <w:r w:rsidR="00590226" w:rsidRPr="00012C17">
        <w:rPr>
          <w:rFonts w:cs="Arial"/>
          <w:color w:val="000000"/>
          <w:sz w:val="24"/>
        </w:rPr>
        <w:t>raised</w:t>
      </w:r>
      <w:r w:rsidRPr="00012C17">
        <w:rPr>
          <w:rFonts w:cs="Arial"/>
          <w:color w:val="000000"/>
          <w:sz w:val="24"/>
        </w:rPr>
        <w:t xml:space="preserve"> by the Applicants, who allege that the Court should “</w:t>
      </w:r>
      <w:r w:rsidRPr="00012C17">
        <w:rPr>
          <w:rFonts w:cs="Arial"/>
          <w:i/>
          <w:iCs/>
          <w:color w:val="000000"/>
          <w:sz w:val="24"/>
        </w:rPr>
        <w:t>assess the constitutionality of the entire election process</w:t>
      </w:r>
      <w:r w:rsidRPr="00012C17">
        <w:rPr>
          <w:rFonts w:cs="Arial"/>
          <w:color w:val="000000"/>
          <w:sz w:val="24"/>
        </w:rPr>
        <w:t>”, assessing both the facts and the procedure conducted and not limited only “</w:t>
      </w:r>
      <w:r w:rsidRPr="00012C17">
        <w:rPr>
          <w:rFonts w:cs="Arial"/>
          <w:i/>
          <w:iCs/>
          <w:color w:val="000000"/>
          <w:sz w:val="24"/>
        </w:rPr>
        <w:t>in the nature of the protect</w:t>
      </w:r>
      <w:r w:rsidR="00FB004D" w:rsidRPr="00012C17">
        <w:rPr>
          <w:rFonts w:cs="Arial"/>
          <w:i/>
          <w:iCs/>
          <w:color w:val="000000"/>
          <w:sz w:val="24"/>
        </w:rPr>
        <w:t>ion</w:t>
      </w:r>
      <w:r w:rsidRPr="00012C17">
        <w:rPr>
          <w:rFonts w:cs="Arial"/>
          <w:i/>
          <w:iCs/>
          <w:color w:val="000000"/>
          <w:sz w:val="24"/>
        </w:rPr>
        <w:t xml:space="preserve"> of fundamental freedoms and rights</w:t>
      </w:r>
      <w:r w:rsidRPr="00012C17">
        <w:rPr>
          <w:rFonts w:cs="Arial"/>
          <w:color w:val="000000"/>
          <w:sz w:val="24"/>
        </w:rPr>
        <w:t>”. In support of this argument, the Applicants refer to the Opinion of t</w:t>
      </w:r>
      <w:r w:rsidR="00590226" w:rsidRPr="00012C17">
        <w:rPr>
          <w:rFonts w:cs="Arial"/>
          <w:color w:val="000000"/>
          <w:sz w:val="24"/>
        </w:rPr>
        <w:t>he Venice Commission (CDL-PI (2017) 007)</w:t>
      </w:r>
      <w:r w:rsidRPr="00012C17">
        <w:rPr>
          <w:rFonts w:cs="Arial"/>
          <w:color w:val="000000"/>
          <w:sz w:val="24"/>
        </w:rPr>
        <w:t xml:space="preserve"> and Decision of the C</w:t>
      </w:r>
      <w:r w:rsidR="00590226" w:rsidRPr="00012C17">
        <w:rPr>
          <w:rFonts w:cs="Arial"/>
          <w:color w:val="000000"/>
          <w:sz w:val="24"/>
        </w:rPr>
        <w:t>onstitutional Court of Austria (E 17/2016-20)</w:t>
      </w:r>
      <w:r w:rsidRPr="00012C17">
        <w:rPr>
          <w:rFonts w:cs="Arial"/>
          <w:color w:val="000000"/>
          <w:sz w:val="24"/>
        </w:rPr>
        <w:t xml:space="preserve"> of 1 July 2016. These allegations have been challenged through the comments submitted to the Court, by Mr. Shpend Ahmeti, who claims that under Article 113.7 of the Constitution, the Court “</w:t>
      </w:r>
      <w:r w:rsidRPr="00012C17">
        <w:rPr>
          <w:rFonts w:cs="Arial"/>
          <w:i/>
          <w:iCs/>
          <w:color w:val="000000"/>
          <w:sz w:val="24"/>
        </w:rPr>
        <w:t>does not have the jurisdiction to assess the constitutionality of the election process</w:t>
      </w:r>
      <w:r w:rsidRPr="00012C17">
        <w:rPr>
          <w:rFonts w:cs="Arial"/>
          <w:color w:val="000000"/>
          <w:sz w:val="24"/>
        </w:rPr>
        <w:t>”</w:t>
      </w:r>
      <w:r w:rsidR="0053563A" w:rsidRPr="00012C17">
        <w:rPr>
          <w:rFonts w:cs="Arial"/>
          <w:color w:val="000000"/>
          <w:sz w:val="24"/>
        </w:rPr>
        <w:t>.</w:t>
      </w:r>
    </w:p>
    <w:p w:rsidR="0053563A" w:rsidRPr="00012C17" w:rsidRDefault="0053563A" w:rsidP="001B11C5">
      <w:pPr>
        <w:spacing w:line="240" w:lineRule="auto"/>
        <w:ind w:left="630"/>
        <w:rPr>
          <w:color w:val="000000"/>
          <w:sz w:val="24"/>
        </w:rPr>
      </w:pPr>
    </w:p>
    <w:p w:rsidR="00196A95" w:rsidRPr="00012C17" w:rsidRDefault="00196A95" w:rsidP="001B11C5">
      <w:pPr>
        <w:numPr>
          <w:ilvl w:val="0"/>
          <w:numId w:val="1"/>
        </w:numPr>
        <w:spacing w:line="240" w:lineRule="auto"/>
        <w:ind w:left="630" w:hanging="630"/>
        <w:rPr>
          <w:color w:val="000000"/>
          <w:sz w:val="24"/>
        </w:rPr>
      </w:pPr>
      <w:r w:rsidRPr="00012C17">
        <w:rPr>
          <w:color w:val="000000"/>
          <w:sz w:val="24"/>
        </w:rPr>
        <w:t xml:space="preserve">In this regard, the Court recalls that its jurisdiction is clearly defined by Article 113 [Jurisdiction and the Authorized Parties] of the Constitution. This article </w:t>
      </w:r>
      <w:r w:rsidRPr="00012C17">
        <w:rPr>
          <w:color w:val="000000"/>
          <w:sz w:val="24"/>
        </w:rPr>
        <w:lastRenderedPageBreak/>
        <w:t>contains the entire 10 items with their respective sub-items describing the parties authorized to submit referrals to the Court, as well as issues which they may submit to the Court. In addition to Article 113 of the Constitution, the latter also defines a jurisdictional competence of the Court specifically described in paragraph 4 of Article 62 [Representation in the Institutions of Local Government] of the Constitution. Therefore, the Court emphasizes that its sole jurisdiction derives from the aforementioned Articles of the Constitution, while no additional jurisdiction is assigned by law under paragraph 10 of Article 113 of the Constitution.</w:t>
      </w:r>
    </w:p>
    <w:p w:rsidR="00196A95" w:rsidRPr="00012C17" w:rsidRDefault="00196A95" w:rsidP="001B11C5">
      <w:pPr>
        <w:spacing w:line="240" w:lineRule="auto"/>
        <w:ind w:left="630"/>
        <w:rPr>
          <w:color w:val="000000"/>
          <w:sz w:val="24"/>
        </w:rPr>
      </w:pPr>
    </w:p>
    <w:p w:rsidR="001C6C09" w:rsidRPr="00012C17" w:rsidRDefault="001C6C09" w:rsidP="001B11C5">
      <w:pPr>
        <w:numPr>
          <w:ilvl w:val="0"/>
          <w:numId w:val="1"/>
        </w:numPr>
        <w:spacing w:line="240" w:lineRule="auto"/>
        <w:ind w:left="630" w:hanging="630"/>
        <w:rPr>
          <w:color w:val="000000"/>
          <w:sz w:val="24"/>
        </w:rPr>
      </w:pPr>
      <w:r w:rsidRPr="00012C17">
        <w:rPr>
          <w:color w:val="000000"/>
          <w:sz w:val="24"/>
        </w:rPr>
        <w:t xml:space="preserve">In this regard, the Court emphasizes that the Constitution of the Republic of Kosovo through paragraph (5) of item 3 of Article 113 explicitly defines the jurisdiction of the Court to assess whether the Constitution was violated during the election of the Assembly, if such a matter is raised by the Assembly Kosovo, the President of the Republic of Kosovo </w:t>
      </w:r>
      <w:r w:rsidR="003532BE" w:rsidRPr="00012C17">
        <w:rPr>
          <w:color w:val="000000"/>
          <w:sz w:val="24"/>
        </w:rPr>
        <w:t>or</w:t>
      </w:r>
      <w:r w:rsidRPr="00012C17">
        <w:rPr>
          <w:color w:val="000000"/>
          <w:sz w:val="24"/>
        </w:rPr>
        <w:t xml:space="preserve"> the Government.</w:t>
      </w:r>
    </w:p>
    <w:p w:rsidR="00E84FF8" w:rsidRPr="00012C17" w:rsidRDefault="00E84FF8" w:rsidP="001B11C5">
      <w:pPr>
        <w:pStyle w:val="CommentText"/>
        <w:spacing w:line="240" w:lineRule="auto"/>
        <w:rPr>
          <w:color w:val="000000"/>
          <w:sz w:val="24"/>
          <w:szCs w:val="24"/>
          <w:lang w:val="en-US"/>
        </w:rPr>
      </w:pPr>
    </w:p>
    <w:p w:rsidR="00E84FF8" w:rsidRPr="00012C17" w:rsidRDefault="001C6C09" w:rsidP="001B11C5">
      <w:pPr>
        <w:pStyle w:val="CommentText"/>
        <w:numPr>
          <w:ilvl w:val="0"/>
          <w:numId w:val="1"/>
        </w:numPr>
        <w:spacing w:line="240" w:lineRule="auto"/>
        <w:ind w:left="634" w:hanging="634"/>
        <w:rPr>
          <w:color w:val="000000"/>
          <w:sz w:val="24"/>
          <w:szCs w:val="24"/>
          <w:lang w:val="en-US"/>
        </w:rPr>
      </w:pPr>
      <w:r w:rsidRPr="00012C17">
        <w:rPr>
          <w:color w:val="000000"/>
          <w:sz w:val="24"/>
          <w:szCs w:val="24"/>
          <w:lang w:val="en-US"/>
        </w:rPr>
        <w:t>Beyond this provision</w:t>
      </w:r>
      <w:r w:rsidR="00E84FF8" w:rsidRPr="00012C17">
        <w:rPr>
          <w:color w:val="000000"/>
          <w:sz w:val="24"/>
          <w:szCs w:val="24"/>
          <w:lang w:val="en-US"/>
        </w:rPr>
        <w:t xml:space="preserve">, the Court emphasizes that it has no special jurisdiction to assess the constitutionality of an electoral process. Such jurisdiction is not </w:t>
      </w:r>
      <w:r w:rsidR="004A66EA" w:rsidRPr="00012C17">
        <w:rPr>
          <w:color w:val="000000"/>
          <w:sz w:val="24"/>
          <w:szCs w:val="24"/>
          <w:lang w:val="en-US"/>
        </w:rPr>
        <w:t>established</w:t>
      </w:r>
      <w:r w:rsidR="00E84FF8" w:rsidRPr="00012C17">
        <w:rPr>
          <w:color w:val="000000"/>
          <w:sz w:val="24"/>
          <w:szCs w:val="24"/>
          <w:lang w:val="en-US"/>
        </w:rPr>
        <w:t xml:space="preserve"> by the Constitution, either by law or by applicable election legislation, which could constitute additional jurisdiction based on paragraph 10 of Article 113 of the Constitution. </w:t>
      </w:r>
    </w:p>
    <w:p w:rsidR="00D8252E" w:rsidRPr="00012C17" w:rsidRDefault="00D8252E" w:rsidP="001B11C5">
      <w:pPr>
        <w:pStyle w:val="ListParagraph"/>
        <w:spacing w:after="0" w:line="240" w:lineRule="auto"/>
        <w:rPr>
          <w:color w:val="000000"/>
          <w:sz w:val="24"/>
          <w:szCs w:val="24"/>
          <w:lang w:val="en-US"/>
        </w:rPr>
      </w:pPr>
    </w:p>
    <w:p w:rsidR="00D8252E" w:rsidRPr="00012C17" w:rsidRDefault="00D8252E" w:rsidP="001B11C5">
      <w:pPr>
        <w:pStyle w:val="CommentText"/>
        <w:numPr>
          <w:ilvl w:val="0"/>
          <w:numId w:val="1"/>
        </w:numPr>
        <w:spacing w:line="240" w:lineRule="auto"/>
        <w:ind w:left="634" w:hanging="634"/>
        <w:rPr>
          <w:color w:val="000000"/>
          <w:sz w:val="24"/>
          <w:szCs w:val="24"/>
          <w:lang w:val="en-US"/>
        </w:rPr>
      </w:pPr>
      <w:r w:rsidRPr="00012C17">
        <w:rPr>
          <w:color w:val="000000"/>
          <w:sz w:val="24"/>
          <w:szCs w:val="24"/>
          <w:lang w:val="en-US"/>
        </w:rPr>
        <w:t>The</w:t>
      </w:r>
      <w:r w:rsidR="00E84FF8" w:rsidRPr="00012C17">
        <w:rPr>
          <w:color w:val="000000"/>
          <w:sz w:val="24"/>
          <w:szCs w:val="24"/>
          <w:lang w:val="en-US"/>
        </w:rPr>
        <w:t xml:space="preserve"> jurisdiction of the Court to review </w:t>
      </w:r>
      <w:r w:rsidR="004A66EA" w:rsidRPr="00012C17">
        <w:rPr>
          <w:color w:val="000000"/>
          <w:sz w:val="24"/>
          <w:szCs w:val="24"/>
          <w:lang w:val="en-US"/>
        </w:rPr>
        <w:t>electio</w:t>
      </w:r>
      <w:r w:rsidR="00FB004D" w:rsidRPr="00012C17">
        <w:rPr>
          <w:color w:val="000000"/>
          <w:sz w:val="24"/>
          <w:szCs w:val="24"/>
          <w:lang w:val="en-US"/>
        </w:rPr>
        <w:t>n</w:t>
      </w:r>
      <w:r w:rsidR="00E84FF8" w:rsidRPr="00012C17">
        <w:rPr>
          <w:color w:val="000000"/>
          <w:sz w:val="24"/>
          <w:szCs w:val="24"/>
          <w:lang w:val="en-US"/>
        </w:rPr>
        <w:t xml:space="preserve"> disputes</w:t>
      </w:r>
      <w:r w:rsidR="001C6C09" w:rsidRPr="00012C17">
        <w:rPr>
          <w:color w:val="000000"/>
          <w:sz w:val="24"/>
          <w:szCs w:val="24"/>
          <w:lang w:val="en-US"/>
        </w:rPr>
        <w:t xml:space="preserve">, as is the present case </w:t>
      </w:r>
      <w:r w:rsidR="004A66EA" w:rsidRPr="00012C17">
        <w:rPr>
          <w:color w:val="000000"/>
          <w:sz w:val="24"/>
          <w:szCs w:val="24"/>
          <w:lang w:val="en-US"/>
        </w:rPr>
        <w:t>under</w:t>
      </w:r>
      <w:r w:rsidR="001C6C09" w:rsidRPr="00012C17">
        <w:rPr>
          <w:color w:val="000000"/>
          <w:sz w:val="24"/>
          <w:szCs w:val="24"/>
          <w:lang w:val="en-US"/>
        </w:rPr>
        <w:t xml:space="preserve"> review,</w:t>
      </w:r>
      <w:r w:rsidR="00E84FF8" w:rsidRPr="00012C17">
        <w:rPr>
          <w:color w:val="000000"/>
          <w:sz w:val="24"/>
          <w:szCs w:val="24"/>
          <w:lang w:val="en-US"/>
        </w:rPr>
        <w:t xml:space="preserve"> is limited to paragraph 7 of Article 113 of the Constitution. In this regard, the Court notes that complaints relating to </w:t>
      </w:r>
      <w:r w:rsidR="004A66EA" w:rsidRPr="00012C17">
        <w:rPr>
          <w:color w:val="000000"/>
          <w:sz w:val="24"/>
          <w:szCs w:val="24"/>
          <w:lang w:val="en-US"/>
        </w:rPr>
        <w:t>election</w:t>
      </w:r>
      <w:r w:rsidR="00E84FF8" w:rsidRPr="00012C17">
        <w:rPr>
          <w:color w:val="000000"/>
          <w:sz w:val="24"/>
          <w:szCs w:val="24"/>
          <w:lang w:val="en-US"/>
        </w:rPr>
        <w:t xml:space="preserve"> disputes may be considered by the Court after they have been filed by the authorized parties which challenge an act of a public authority which allegedly infringed the relevant fundamental individual rights and freedoms and after exhaustion of all legal remedies provided by law.</w:t>
      </w:r>
    </w:p>
    <w:p w:rsidR="00D8252E" w:rsidRPr="00012C17" w:rsidRDefault="00D8252E" w:rsidP="001B11C5">
      <w:pPr>
        <w:pStyle w:val="ListParagraph"/>
        <w:spacing w:after="0" w:line="240" w:lineRule="auto"/>
        <w:rPr>
          <w:color w:val="000000"/>
          <w:sz w:val="24"/>
          <w:szCs w:val="24"/>
          <w:lang w:val="en-US"/>
        </w:rPr>
      </w:pPr>
    </w:p>
    <w:p w:rsidR="00E84FF8" w:rsidRPr="00012C17" w:rsidRDefault="00E84FF8" w:rsidP="001B11C5">
      <w:pPr>
        <w:pStyle w:val="CommentText"/>
        <w:numPr>
          <w:ilvl w:val="0"/>
          <w:numId w:val="1"/>
        </w:numPr>
        <w:spacing w:line="240" w:lineRule="auto"/>
        <w:ind w:left="634" w:hanging="634"/>
        <w:rPr>
          <w:color w:val="000000"/>
          <w:sz w:val="24"/>
          <w:szCs w:val="24"/>
          <w:lang w:val="en-US"/>
        </w:rPr>
      </w:pPr>
      <w:r w:rsidRPr="00012C17">
        <w:rPr>
          <w:color w:val="000000"/>
          <w:sz w:val="24"/>
          <w:szCs w:val="24"/>
          <w:lang w:val="en-US"/>
        </w:rPr>
        <w:t>The Constitutional Court</w:t>
      </w:r>
      <w:r w:rsidR="00590226" w:rsidRPr="00012C17">
        <w:rPr>
          <w:color w:val="000000"/>
          <w:sz w:val="24"/>
          <w:szCs w:val="24"/>
          <w:lang w:val="en-US"/>
        </w:rPr>
        <w:t>,</w:t>
      </w:r>
      <w:r w:rsidRPr="00012C17">
        <w:rPr>
          <w:color w:val="000000"/>
          <w:sz w:val="24"/>
          <w:szCs w:val="24"/>
          <w:lang w:val="en-US"/>
        </w:rPr>
        <w:t xml:space="preserve"> in this respect, serves as the last instance which assesses the constitutionality of the decisions of the public authorities specialized for </w:t>
      </w:r>
      <w:r w:rsidR="004A66EA" w:rsidRPr="00012C17">
        <w:rPr>
          <w:color w:val="000000"/>
          <w:sz w:val="24"/>
          <w:szCs w:val="24"/>
          <w:lang w:val="en-US"/>
        </w:rPr>
        <w:t>election</w:t>
      </w:r>
      <w:r w:rsidRPr="00012C17">
        <w:rPr>
          <w:color w:val="000000"/>
          <w:sz w:val="24"/>
          <w:szCs w:val="24"/>
          <w:lang w:val="en-US"/>
        </w:rPr>
        <w:t xml:space="preserve"> complaints. According to the </w:t>
      </w:r>
      <w:r w:rsidR="004A66EA" w:rsidRPr="00012C17">
        <w:rPr>
          <w:color w:val="000000"/>
          <w:sz w:val="24"/>
          <w:szCs w:val="24"/>
          <w:lang w:val="en-US"/>
        </w:rPr>
        <w:t>LGE</w:t>
      </w:r>
      <w:r w:rsidRPr="00012C17">
        <w:rPr>
          <w:color w:val="000000"/>
          <w:sz w:val="24"/>
          <w:szCs w:val="24"/>
          <w:lang w:val="en-US"/>
        </w:rPr>
        <w:t xml:space="preserve">, the ECAP serves as the first authority </w:t>
      </w:r>
      <w:r w:rsidR="00D8252E" w:rsidRPr="00012C17">
        <w:rPr>
          <w:color w:val="000000"/>
          <w:sz w:val="24"/>
          <w:szCs w:val="24"/>
          <w:lang w:val="en-US"/>
        </w:rPr>
        <w:t>before</w:t>
      </w:r>
      <w:r w:rsidRPr="00012C17">
        <w:rPr>
          <w:color w:val="000000"/>
          <w:sz w:val="24"/>
          <w:szCs w:val="24"/>
          <w:lang w:val="en-US"/>
        </w:rPr>
        <w:t xml:space="preserve"> which </w:t>
      </w:r>
      <w:r w:rsidR="00B15CD1" w:rsidRPr="00012C17">
        <w:rPr>
          <w:color w:val="000000"/>
          <w:sz w:val="24"/>
          <w:szCs w:val="24"/>
          <w:lang w:val="en-US"/>
        </w:rPr>
        <w:t xml:space="preserve">the </w:t>
      </w:r>
      <w:r w:rsidRPr="00012C17">
        <w:rPr>
          <w:color w:val="000000"/>
          <w:sz w:val="24"/>
          <w:szCs w:val="24"/>
          <w:lang w:val="en-US"/>
        </w:rPr>
        <w:t xml:space="preserve">first instance complaints can be filed, whereas the Supreme Court serves as the second instance </w:t>
      </w:r>
      <w:r w:rsidR="00D8252E" w:rsidRPr="00012C17">
        <w:rPr>
          <w:color w:val="000000"/>
          <w:sz w:val="24"/>
          <w:szCs w:val="24"/>
          <w:lang w:val="en-US"/>
        </w:rPr>
        <w:t>for the latter</w:t>
      </w:r>
      <w:r w:rsidRPr="00012C17">
        <w:rPr>
          <w:color w:val="000000"/>
          <w:sz w:val="24"/>
          <w:szCs w:val="24"/>
          <w:lang w:val="en-US"/>
        </w:rPr>
        <w:t xml:space="preserve">. This institutional two-instance system of decision-making meets the institutional requirements that the bodies that decide on </w:t>
      </w:r>
      <w:r w:rsidR="00B15CD1" w:rsidRPr="00012C17">
        <w:rPr>
          <w:color w:val="000000"/>
          <w:sz w:val="24"/>
          <w:szCs w:val="24"/>
          <w:lang w:val="en-US"/>
        </w:rPr>
        <w:t>election</w:t>
      </w:r>
      <w:r w:rsidRPr="00012C17">
        <w:rPr>
          <w:color w:val="000000"/>
          <w:sz w:val="24"/>
          <w:szCs w:val="24"/>
          <w:lang w:val="en-US"/>
        </w:rPr>
        <w:t xml:space="preserve"> disputes should have </w:t>
      </w:r>
      <w:r w:rsidR="00590226" w:rsidRPr="00012C17">
        <w:rPr>
          <w:color w:val="000000"/>
          <w:sz w:val="24"/>
          <w:szCs w:val="24"/>
          <w:lang w:val="en-US"/>
        </w:rPr>
        <w:t xml:space="preserve">based </w:t>
      </w:r>
      <w:r w:rsidRPr="00012C17">
        <w:rPr>
          <w:color w:val="000000"/>
          <w:sz w:val="24"/>
          <w:szCs w:val="24"/>
          <w:lang w:val="en-US"/>
        </w:rPr>
        <w:t xml:space="preserve">on the criteria set out in the Code of Good Practice. </w:t>
      </w:r>
    </w:p>
    <w:p w:rsidR="00E84FF8" w:rsidRPr="00012C17" w:rsidRDefault="00E84FF8" w:rsidP="001B11C5">
      <w:pPr>
        <w:pStyle w:val="CommentText"/>
        <w:spacing w:line="240" w:lineRule="auto"/>
        <w:rPr>
          <w:color w:val="000000"/>
          <w:sz w:val="24"/>
          <w:szCs w:val="24"/>
          <w:lang w:val="en-US"/>
        </w:rPr>
      </w:pPr>
    </w:p>
    <w:p w:rsidR="00E84FF8" w:rsidRPr="00012C17" w:rsidRDefault="00C4596B" w:rsidP="001B11C5">
      <w:pPr>
        <w:pStyle w:val="CommentText"/>
        <w:numPr>
          <w:ilvl w:val="0"/>
          <w:numId w:val="1"/>
        </w:numPr>
        <w:spacing w:line="240" w:lineRule="auto"/>
        <w:ind w:left="630" w:hanging="630"/>
        <w:rPr>
          <w:color w:val="000000"/>
          <w:sz w:val="24"/>
          <w:szCs w:val="24"/>
          <w:lang w:val="en-US"/>
        </w:rPr>
      </w:pPr>
      <w:r w:rsidRPr="00012C17">
        <w:rPr>
          <w:color w:val="000000"/>
          <w:sz w:val="24"/>
          <w:szCs w:val="24"/>
          <w:lang w:val="en-US"/>
        </w:rPr>
        <w:t>Accordingly, t</w:t>
      </w:r>
      <w:r w:rsidR="00E84FF8" w:rsidRPr="00012C17">
        <w:rPr>
          <w:color w:val="000000"/>
          <w:sz w:val="24"/>
          <w:szCs w:val="24"/>
          <w:lang w:val="en-US"/>
        </w:rPr>
        <w:t xml:space="preserve">he jurisdiction of this Court, in the context of </w:t>
      </w:r>
      <w:r w:rsidR="00B15CD1" w:rsidRPr="00012C17">
        <w:rPr>
          <w:color w:val="000000"/>
          <w:sz w:val="24"/>
          <w:szCs w:val="24"/>
          <w:lang w:val="en-US"/>
        </w:rPr>
        <w:t>election</w:t>
      </w:r>
      <w:r w:rsidR="00E84FF8" w:rsidRPr="00012C17">
        <w:rPr>
          <w:color w:val="000000"/>
          <w:sz w:val="24"/>
          <w:szCs w:val="24"/>
          <w:lang w:val="en-US"/>
        </w:rPr>
        <w:t xml:space="preserve"> disputes, </w:t>
      </w:r>
      <w:r w:rsidR="001C6C09" w:rsidRPr="00012C17">
        <w:rPr>
          <w:color w:val="000000"/>
          <w:sz w:val="24"/>
          <w:szCs w:val="24"/>
          <w:lang w:val="en-US"/>
        </w:rPr>
        <w:t xml:space="preserve">beyond the issues falling within the scope of paragraph (5) of </w:t>
      </w:r>
      <w:r w:rsidR="00B15CD1" w:rsidRPr="00012C17">
        <w:rPr>
          <w:color w:val="000000"/>
          <w:sz w:val="24"/>
          <w:szCs w:val="24"/>
          <w:lang w:val="en-US"/>
        </w:rPr>
        <w:t>item</w:t>
      </w:r>
      <w:r w:rsidR="001C6C09" w:rsidRPr="00012C17">
        <w:rPr>
          <w:color w:val="000000"/>
          <w:sz w:val="24"/>
          <w:szCs w:val="24"/>
          <w:lang w:val="en-US"/>
        </w:rPr>
        <w:t xml:space="preserve"> 3 of Article 113 of the Constitution, </w:t>
      </w:r>
      <w:r w:rsidR="00E84FF8" w:rsidRPr="00012C17">
        <w:rPr>
          <w:color w:val="000000"/>
          <w:sz w:val="24"/>
          <w:szCs w:val="24"/>
          <w:lang w:val="en-US"/>
        </w:rPr>
        <w:t xml:space="preserve">is limited to assessing the constitutionality of the decisions of these public authorities, namely in assessing whether they have been subject to compliance with the fundamental rights and freedoms guaranteed by the Constitution and relevant </w:t>
      </w:r>
      <w:r w:rsidR="00B15CD1" w:rsidRPr="00012C17">
        <w:rPr>
          <w:color w:val="000000"/>
          <w:sz w:val="24"/>
          <w:szCs w:val="24"/>
          <w:lang w:val="en-US"/>
        </w:rPr>
        <w:t xml:space="preserve">international instruments </w:t>
      </w:r>
      <w:r w:rsidR="00E84FF8" w:rsidRPr="00012C17">
        <w:rPr>
          <w:color w:val="000000"/>
          <w:sz w:val="24"/>
          <w:szCs w:val="24"/>
          <w:lang w:val="en-US"/>
        </w:rPr>
        <w:t xml:space="preserve">set forth in Article 22 [Direct Applicability of International Agreements and Instruments] of the Constitution, which the Court, based </w:t>
      </w:r>
      <w:r w:rsidRPr="00012C17">
        <w:rPr>
          <w:color w:val="000000"/>
          <w:sz w:val="24"/>
          <w:szCs w:val="24"/>
          <w:lang w:val="en-US"/>
        </w:rPr>
        <w:t xml:space="preserve">on </w:t>
      </w:r>
      <w:r w:rsidR="00E84FF8" w:rsidRPr="00012C17">
        <w:rPr>
          <w:color w:val="000000"/>
          <w:sz w:val="24"/>
          <w:szCs w:val="24"/>
          <w:lang w:val="en-US"/>
        </w:rPr>
        <w:t xml:space="preserve">Article 53 [Interpretation of Human Rights Provisions], interprets the alleged violation of these rights in accordance with </w:t>
      </w:r>
      <w:r w:rsidR="00FB004D" w:rsidRPr="00012C17">
        <w:rPr>
          <w:color w:val="000000"/>
          <w:sz w:val="24"/>
          <w:szCs w:val="24"/>
          <w:lang w:val="en-US"/>
        </w:rPr>
        <w:t xml:space="preserve">the </w:t>
      </w:r>
      <w:r w:rsidR="00E84FF8" w:rsidRPr="00012C17">
        <w:rPr>
          <w:color w:val="000000"/>
          <w:sz w:val="24"/>
          <w:szCs w:val="24"/>
          <w:lang w:val="en-US"/>
        </w:rPr>
        <w:t>ECtHR decisions.</w:t>
      </w:r>
    </w:p>
    <w:p w:rsidR="00C4596B" w:rsidRPr="00012C17" w:rsidRDefault="00C4596B" w:rsidP="001B11C5">
      <w:pPr>
        <w:pStyle w:val="ListParagraph"/>
        <w:spacing w:after="0" w:line="240" w:lineRule="auto"/>
        <w:rPr>
          <w:color w:val="000000"/>
          <w:sz w:val="24"/>
          <w:szCs w:val="24"/>
          <w:lang w:val="en-US"/>
        </w:rPr>
      </w:pPr>
    </w:p>
    <w:p w:rsidR="00C4596B" w:rsidRPr="00012C17" w:rsidRDefault="00C4596B" w:rsidP="001B11C5">
      <w:pPr>
        <w:pStyle w:val="CommentText"/>
        <w:numPr>
          <w:ilvl w:val="0"/>
          <w:numId w:val="1"/>
        </w:numPr>
        <w:spacing w:line="240" w:lineRule="auto"/>
        <w:ind w:left="630" w:hanging="630"/>
        <w:rPr>
          <w:rFonts w:cs="Tahoma"/>
          <w:bCs/>
          <w:color w:val="000000"/>
          <w:sz w:val="24"/>
          <w:szCs w:val="24"/>
          <w:lang w:val="en-US"/>
        </w:rPr>
      </w:pPr>
      <w:r w:rsidRPr="00012C17">
        <w:rPr>
          <w:color w:val="000000"/>
          <w:sz w:val="24"/>
          <w:szCs w:val="24"/>
          <w:lang w:val="en-US"/>
        </w:rPr>
        <w:lastRenderedPageBreak/>
        <w:t>The Court also notes that the Opinion of the Venice Commission, to which the Applicants refer, namely the Code of Good Practice, does not support the arguments of the Applicants. In fact, in elaborating the international standards related to an “</w:t>
      </w:r>
      <w:r w:rsidRPr="00012C17">
        <w:rPr>
          <w:i/>
          <w:iCs/>
          <w:color w:val="000000"/>
          <w:sz w:val="24"/>
          <w:szCs w:val="24"/>
          <w:lang w:val="en-US"/>
        </w:rPr>
        <w:t>effective complaint system</w:t>
      </w:r>
      <w:r w:rsidRPr="00012C17">
        <w:rPr>
          <w:color w:val="000000"/>
          <w:sz w:val="24"/>
          <w:szCs w:val="24"/>
          <w:lang w:val="en-US"/>
        </w:rPr>
        <w:t xml:space="preserve">”, the Code of Good Practice establishes constitutional courts only as one of the options to deal with complaints related to </w:t>
      </w:r>
      <w:r w:rsidR="00B15CD1" w:rsidRPr="00012C17">
        <w:rPr>
          <w:color w:val="000000"/>
          <w:sz w:val="24"/>
          <w:szCs w:val="24"/>
          <w:lang w:val="en-US"/>
        </w:rPr>
        <w:t xml:space="preserve">election </w:t>
      </w:r>
      <w:r w:rsidR="00012C17" w:rsidRPr="00012C17">
        <w:rPr>
          <w:color w:val="000000"/>
          <w:sz w:val="24"/>
          <w:szCs w:val="24"/>
          <w:lang w:val="en-US"/>
        </w:rPr>
        <w:t>disputes. (S</w:t>
      </w:r>
      <w:r w:rsidRPr="00012C17">
        <w:rPr>
          <w:color w:val="000000"/>
          <w:sz w:val="24"/>
          <w:szCs w:val="24"/>
          <w:lang w:val="en-US"/>
        </w:rPr>
        <w:t xml:space="preserve">ee item 3.3., paragraph 93 of the </w:t>
      </w:r>
      <w:r w:rsidR="001C6C09" w:rsidRPr="00012C17">
        <w:rPr>
          <w:color w:val="000000"/>
          <w:sz w:val="24"/>
          <w:szCs w:val="24"/>
          <w:lang w:val="en-US"/>
        </w:rPr>
        <w:t>Explanatory Report</w:t>
      </w:r>
      <w:r w:rsidRPr="00012C17">
        <w:rPr>
          <w:color w:val="000000"/>
          <w:sz w:val="24"/>
          <w:szCs w:val="24"/>
          <w:lang w:val="en-US"/>
        </w:rPr>
        <w:t xml:space="preserve">). According to the Code of Good Practice, </w:t>
      </w:r>
      <w:r w:rsidR="008778F0" w:rsidRPr="00012C17">
        <w:rPr>
          <w:color w:val="000000"/>
          <w:sz w:val="24"/>
          <w:szCs w:val="24"/>
          <w:lang w:val="en-US"/>
        </w:rPr>
        <w:t xml:space="preserve">the </w:t>
      </w:r>
      <w:r w:rsidRPr="00012C17">
        <w:rPr>
          <w:color w:val="000000"/>
          <w:sz w:val="24"/>
          <w:szCs w:val="24"/>
          <w:lang w:val="en-US"/>
        </w:rPr>
        <w:t>states are free to choose the mechanisms that review these complaints in accordance with the respective constitutions, insofar as they respect the general principles related to electoral rights. This is a</w:t>
      </w:r>
      <w:r w:rsidR="00012C17" w:rsidRPr="00012C17">
        <w:rPr>
          <w:color w:val="000000"/>
          <w:sz w:val="24"/>
          <w:szCs w:val="24"/>
          <w:lang w:val="en-US"/>
        </w:rPr>
        <w:t>lso in line with the ECtHR case-</w:t>
      </w:r>
      <w:r w:rsidRPr="00012C17">
        <w:rPr>
          <w:color w:val="000000"/>
          <w:sz w:val="24"/>
          <w:szCs w:val="24"/>
          <w:lang w:val="en-US"/>
        </w:rPr>
        <w:t xml:space="preserve">law in interpreting Article 3 of </w:t>
      </w:r>
      <w:r w:rsidR="00C40D12" w:rsidRPr="00012C17">
        <w:rPr>
          <w:color w:val="000000"/>
          <w:sz w:val="24"/>
          <w:szCs w:val="24"/>
          <w:lang w:val="en-US"/>
        </w:rPr>
        <w:t>Protocol no.</w:t>
      </w:r>
      <w:r w:rsidR="00FB004D" w:rsidRPr="00012C17">
        <w:rPr>
          <w:color w:val="000000"/>
          <w:sz w:val="24"/>
          <w:szCs w:val="24"/>
          <w:lang w:val="en-US"/>
        </w:rPr>
        <w:t xml:space="preserve"> </w:t>
      </w:r>
      <w:r w:rsidR="00C40D12" w:rsidRPr="00012C17">
        <w:rPr>
          <w:color w:val="000000"/>
          <w:sz w:val="24"/>
          <w:szCs w:val="24"/>
          <w:lang w:val="en-US"/>
        </w:rPr>
        <w:t>1</w:t>
      </w:r>
      <w:r w:rsidRPr="00012C17">
        <w:rPr>
          <w:color w:val="000000"/>
          <w:sz w:val="24"/>
          <w:szCs w:val="24"/>
          <w:lang w:val="en-US"/>
        </w:rPr>
        <w:t xml:space="preserve"> to the ECHR.</w:t>
      </w:r>
    </w:p>
    <w:p w:rsidR="00C4596B" w:rsidRPr="00012C17" w:rsidRDefault="00C4596B" w:rsidP="001B11C5">
      <w:pPr>
        <w:pStyle w:val="ListParagraph"/>
        <w:spacing w:after="0" w:line="240" w:lineRule="auto"/>
        <w:rPr>
          <w:rFonts w:cs="Tahoma"/>
          <w:bCs/>
          <w:color w:val="000000"/>
          <w:sz w:val="24"/>
          <w:szCs w:val="24"/>
          <w:lang w:val="en-US"/>
        </w:rPr>
      </w:pPr>
    </w:p>
    <w:p w:rsidR="00E84FF8" w:rsidRPr="00012C17" w:rsidRDefault="00C4596B" w:rsidP="001B11C5">
      <w:pPr>
        <w:pStyle w:val="CommentText"/>
        <w:numPr>
          <w:ilvl w:val="0"/>
          <w:numId w:val="1"/>
        </w:numPr>
        <w:spacing w:line="240" w:lineRule="auto"/>
        <w:ind w:left="630" w:hanging="630"/>
        <w:rPr>
          <w:rFonts w:cs="Tahoma"/>
          <w:bCs/>
          <w:color w:val="000000"/>
          <w:sz w:val="24"/>
          <w:lang w:val="en-US"/>
        </w:rPr>
      </w:pPr>
      <w:r w:rsidRPr="00012C17">
        <w:rPr>
          <w:color w:val="000000"/>
          <w:sz w:val="24"/>
          <w:szCs w:val="24"/>
          <w:lang w:val="en-US"/>
        </w:rPr>
        <w:t xml:space="preserve">For comparative issues, it is important to note that unlike the Constitution of the Republic of Kosovo, in all countries (Germany, Austria, Switzerland), which decisions the Applicants refer to the Court, have separate and specific jurisdiction to deal with </w:t>
      </w:r>
      <w:r w:rsidR="00B15CD1" w:rsidRPr="00012C17">
        <w:rPr>
          <w:color w:val="000000"/>
          <w:sz w:val="24"/>
          <w:szCs w:val="24"/>
          <w:lang w:val="en-US"/>
        </w:rPr>
        <w:t>the election</w:t>
      </w:r>
      <w:r w:rsidRPr="00012C17">
        <w:rPr>
          <w:color w:val="000000"/>
          <w:sz w:val="24"/>
          <w:szCs w:val="24"/>
          <w:lang w:val="en-US"/>
        </w:rPr>
        <w:t xml:space="preserve"> disputes. (See Article 93 of the Basic Law of Germany, which defines the competence of the Federal Constitutional Court for electoral complaints, see Article 80 [Appeal to the Federal Supreme Court] of the Federal Law on Swiss Political Rights</w:t>
      </w:r>
      <w:r w:rsidR="0066767B" w:rsidRPr="00012C17">
        <w:rPr>
          <w:color w:val="000000"/>
          <w:sz w:val="24"/>
          <w:szCs w:val="24"/>
          <w:lang w:val="en-US"/>
        </w:rPr>
        <w:t>; and</w:t>
      </w:r>
      <w:r w:rsidRPr="00012C17">
        <w:rPr>
          <w:color w:val="000000"/>
          <w:sz w:val="24"/>
          <w:szCs w:val="24"/>
          <w:lang w:val="en-US"/>
        </w:rPr>
        <w:t xml:space="preserve"> see Article 141 of the Constitution</w:t>
      </w:r>
      <w:r w:rsidR="00243877" w:rsidRPr="00012C17">
        <w:rPr>
          <w:color w:val="000000"/>
          <w:sz w:val="24"/>
          <w:szCs w:val="24"/>
          <w:lang w:val="en-US"/>
        </w:rPr>
        <w:t xml:space="preserve"> of Austria</w:t>
      </w:r>
      <w:r w:rsidRPr="00012C17">
        <w:rPr>
          <w:color w:val="000000"/>
          <w:sz w:val="24"/>
          <w:szCs w:val="24"/>
          <w:lang w:val="en-US"/>
        </w:rPr>
        <w:t xml:space="preserve">). </w:t>
      </w:r>
    </w:p>
    <w:p w:rsidR="00E84FF8" w:rsidRPr="00012C17" w:rsidRDefault="00E84FF8" w:rsidP="001B11C5">
      <w:pPr>
        <w:spacing w:line="240" w:lineRule="auto"/>
        <w:rPr>
          <w:rFonts w:cs="Tahoma"/>
          <w:bCs/>
          <w:color w:val="000000"/>
          <w:sz w:val="24"/>
        </w:rPr>
      </w:pPr>
    </w:p>
    <w:p w:rsidR="00E84FF8" w:rsidRPr="00012C17" w:rsidRDefault="00E84FF8" w:rsidP="001B11C5">
      <w:pPr>
        <w:spacing w:line="240" w:lineRule="auto"/>
        <w:rPr>
          <w:rFonts w:cs="Tahoma"/>
          <w:b/>
          <w:bCs/>
          <w:color w:val="000000"/>
          <w:sz w:val="24"/>
        </w:rPr>
      </w:pPr>
      <w:r w:rsidRPr="00012C17">
        <w:rPr>
          <w:rFonts w:cs="Tahoma"/>
          <w:b/>
          <w:color w:val="000000"/>
          <w:sz w:val="24"/>
        </w:rPr>
        <w:t>II</w:t>
      </w:r>
      <w:r w:rsidR="00243877" w:rsidRPr="00012C17">
        <w:rPr>
          <w:rFonts w:cs="Tahoma"/>
          <w:b/>
          <w:color w:val="000000"/>
          <w:sz w:val="24"/>
        </w:rPr>
        <w:t>I</w:t>
      </w:r>
      <w:r w:rsidRPr="00012C17">
        <w:rPr>
          <w:rFonts w:cs="Tahoma"/>
          <w:bCs/>
          <w:color w:val="000000"/>
          <w:sz w:val="24"/>
        </w:rPr>
        <w:t xml:space="preserve">. </w:t>
      </w:r>
      <w:r w:rsidR="001C6C09" w:rsidRPr="00012C17">
        <w:rPr>
          <w:rFonts w:cs="Tahoma"/>
          <w:b/>
          <w:bCs/>
          <w:color w:val="000000"/>
          <w:sz w:val="24"/>
        </w:rPr>
        <w:t xml:space="preserve">Assessment of </w:t>
      </w:r>
      <w:r w:rsidRPr="00012C17">
        <w:rPr>
          <w:rFonts w:cs="Tahoma"/>
          <w:b/>
          <w:bCs/>
          <w:color w:val="000000"/>
          <w:sz w:val="24"/>
        </w:rPr>
        <w:t>the allegations of the Applicants</w:t>
      </w:r>
    </w:p>
    <w:p w:rsidR="00E84FF8" w:rsidRPr="00012C17" w:rsidRDefault="00E84FF8" w:rsidP="001B11C5">
      <w:pPr>
        <w:spacing w:line="240" w:lineRule="auto"/>
        <w:rPr>
          <w:rFonts w:cs="Tahoma"/>
          <w:bCs/>
          <w:color w:val="000000"/>
          <w:sz w:val="24"/>
        </w:rPr>
      </w:pPr>
    </w:p>
    <w:p w:rsidR="00E84FF8" w:rsidRPr="00012C17" w:rsidRDefault="00243877" w:rsidP="001B11C5">
      <w:pPr>
        <w:spacing w:line="240" w:lineRule="auto"/>
        <w:rPr>
          <w:rFonts w:cs="Tahoma"/>
          <w:b/>
          <w:bCs/>
          <w:color w:val="000000"/>
          <w:sz w:val="24"/>
        </w:rPr>
      </w:pPr>
      <w:r w:rsidRPr="00012C17">
        <w:rPr>
          <w:rFonts w:cs="Tahoma"/>
          <w:b/>
          <w:color w:val="000000"/>
          <w:sz w:val="24"/>
        </w:rPr>
        <w:tab/>
      </w:r>
      <w:r w:rsidR="00E84FF8" w:rsidRPr="00012C17">
        <w:rPr>
          <w:rFonts w:cs="Tahoma"/>
          <w:b/>
          <w:color w:val="000000"/>
          <w:sz w:val="24"/>
        </w:rPr>
        <w:t>1</w:t>
      </w:r>
      <w:r w:rsidR="00E84FF8" w:rsidRPr="00012C17">
        <w:rPr>
          <w:rFonts w:cs="Tahoma"/>
          <w:bCs/>
          <w:color w:val="000000"/>
          <w:sz w:val="24"/>
        </w:rPr>
        <w:t xml:space="preserve">. </w:t>
      </w:r>
      <w:r w:rsidR="00E84FF8" w:rsidRPr="00012C17">
        <w:rPr>
          <w:rFonts w:cs="Tahoma"/>
          <w:b/>
          <w:bCs/>
          <w:color w:val="000000"/>
          <w:sz w:val="24"/>
        </w:rPr>
        <w:t xml:space="preserve">Applicants’ allegations of violation of the rights to judicial </w:t>
      </w:r>
      <w:r w:rsidRPr="00012C17">
        <w:rPr>
          <w:rFonts w:cs="Tahoma"/>
          <w:b/>
          <w:bCs/>
          <w:color w:val="000000"/>
          <w:sz w:val="24"/>
        </w:rPr>
        <w:tab/>
      </w:r>
      <w:r w:rsidR="00E84FF8" w:rsidRPr="00012C17">
        <w:rPr>
          <w:rFonts w:cs="Tahoma"/>
          <w:b/>
          <w:bCs/>
          <w:color w:val="000000"/>
          <w:sz w:val="24"/>
        </w:rPr>
        <w:t>protection guaranteed by Article 54 of the Constitution</w:t>
      </w:r>
    </w:p>
    <w:p w:rsidR="00E84FF8" w:rsidRPr="00012C17" w:rsidRDefault="00E84FF8" w:rsidP="001B11C5">
      <w:pPr>
        <w:pStyle w:val="ListParagraph"/>
        <w:spacing w:after="0" w:line="240" w:lineRule="auto"/>
        <w:ind w:left="1440"/>
        <w:jc w:val="both"/>
        <w:rPr>
          <w:rFonts w:ascii="Georgia" w:hAnsi="Georgia" w:cs="Tahoma"/>
          <w:b/>
          <w:bCs/>
          <w:color w:val="000000"/>
          <w:sz w:val="24"/>
          <w:szCs w:val="24"/>
          <w:lang w:val="en-US"/>
        </w:rPr>
      </w:pPr>
    </w:p>
    <w:p w:rsidR="00E84FF8" w:rsidRPr="00012C17" w:rsidRDefault="00243877" w:rsidP="001B11C5">
      <w:pPr>
        <w:numPr>
          <w:ilvl w:val="0"/>
          <w:numId w:val="1"/>
        </w:numPr>
        <w:autoSpaceDE w:val="0"/>
        <w:autoSpaceDN w:val="0"/>
        <w:adjustRightInd w:val="0"/>
        <w:spacing w:line="240" w:lineRule="auto"/>
        <w:ind w:left="630" w:hanging="630"/>
        <w:rPr>
          <w:rFonts w:eastAsia="Times New Roman" w:cs="Calibri"/>
          <w:color w:val="000000"/>
          <w:sz w:val="24"/>
        </w:rPr>
      </w:pPr>
      <w:r w:rsidRPr="00012C17">
        <w:rPr>
          <w:bCs/>
          <w:iCs/>
          <w:color w:val="000000"/>
          <w:sz w:val="24"/>
        </w:rPr>
        <w:t>The</w:t>
      </w:r>
      <w:r w:rsidR="00E84FF8" w:rsidRPr="00012C17">
        <w:rPr>
          <w:bCs/>
          <w:iCs/>
          <w:color w:val="000000"/>
          <w:sz w:val="24"/>
        </w:rPr>
        <w:t xml:space="preserve"> Court recalls that the Applicants allege that the Supreme Court, </w:t>
      </w:r>
      <w:r w:rsidR="008778F0" w:rsidRPr="00012C17">
        <w:rPr>
          <w:bCs/>
          <w:iCs/>
          <w:color w:val="000000"/>
          <w:sz w:val="24"/>
        </w:rPr>
        <w:t>by</w:t>
      </w:r>
      <w:r w:rsidR="00E84FF8" w:rsidRPr="00012C17">
        <w:rPr>
          <w:bCs/>
          <w:iCs/>
          <w:color w:val="000000"/>
          <w:sz w:val="24"/>
        </w:rPr>
        <w:t xml:space="preserve"> both of its decisions, violated </w:t>
      </w:r>
      <w:r w:rsidR="00B15CD1" w:rsidRPr="00012C17">
        <w:rPr>
          <w:bCs/>
          <w:iCs/>
          <w:color w:val="000000"/>
          <w:sz w:val="24"/>
        </w:rPr>
        <w:t>their</w:t>
      </w:r>
      <w:r w:rsidR="00E84FF8" w:rsidRPr="00012C17">
        <w:rPr>
          <w:bCs/>
          <w:iCs/>
          <w:color w:val="000000"/>
          <w:sz w:val="24"/>
        </w:rPr>
        <w:t xml:space="preserve"> fundamental rights and freedoms guaranteed by </w:t>
      </w:r>
      <w:r w:rsidR="00B15CD1" w:rsidRPr="00012C17">
        <w:rPr>
          <w:bCs/>
          <w:iCs/>
          <w:color w:val="000000"/>
          <w:sz w:val="24"/>
        </w:rPr>
        <w:t>Article</w:t>
      </w:r>
      <w:r w:rsidR="00E84FF8" w:rsidRPr="00012C17">
        <w:rPr>
          <w:bCs/>
          <w:iCs/>
          <w:color w:val="000000"/>
          <w:sz w:val="24"/>
        </w:rPr>
        <w:t xml:space="preserve"> 54 of the Constitution namely, because according to them, they are arbitrary. In this regard, </w:t>
      </w:r>
      <w:r w:rsidR="008778F0" w:rsidRPr="00012C17">
        <w:rPr>
          <w:bCs/>
          <w:iCs/>
          <w:color w:val="000000"/>
          <w:sz w:val="24"/>
        </w:rPr>
        <w:t>their allegations may be categorized as follows:</w:t>
      </w:r>
      <w:r w:rsidR="00E84FF8" w:rsidRPr="00012C17">
        <w:rPr>
          <w:bCs/>
          <w:iCs/>
          <w:color w:val="000000"/>
          <w:sz w:val="24"/>
        </w:rPr>
        <w:t xml:space="preserve"> (i) “</w:t>
      </w:r>
      <w:r w:rsidR="00E84FF8" w:rsidRPr="00012C17">
        <w:rPr>
          <w:bCs/>
          <w:i/>
          <w:color w:val="000000"/>
          <w:sz w:val="24"/>
        </w:rPr>
        <w:t>confirmation of the election results</w:t>
      </w:r>
      <w:r w:rsidR="00E84FF8" w:rsidRPr="00012C17">
        <w:rPr>
          <w:bCs/>
          <w:iCs/>
          <w:color w:val="000000"/>
          <w:sz w:val="24"/>
        </w:rPr>
        <w:t>”; (ii) “</w:t>
      </w:r>
      <w:r w:rsidR="00E84FF8" w:rsidRPr="00012C17">
        <w:rPr>
          <w:bCs/>
          <w:i/>
          <w:color w:val="000000"/>
          <w:sz w:val="24"/>
        </w:rPr>
        <w:t>irregularities on the voting day</w:t>
      </w:r>
      <w:r w:rsidR="008778F0" w:rsidRPr="00012C17">
        <w:rPr>
          <w:bCs/>
          <w:iCs/>
          <w:color w:val="000000"/>
          <w:sz w:val="24"/>
        </w:rPr>
        <w:t xml:space="preserve"> </w:t>
      </w:r>
      <w:r w:rsidR="008778F0" w:rsidRPr="00012C17">
        <w:rPr>
          <w:bCs/>
          <w:i/>
          <w:color w:val="000000"/>
          <w:sz w:val="24"/>
        </w:rPr>
        <w:t>and the deadline for filing it</w:t>
      </w:r>
      <w:r w:rsidR="008778F0" w:rsidRPr="00012C17">
        <w:rPr>
          <w:bCs/>
          <w:iCs/>
          <w:color w:val="000000"/>
          <w:sz w:val="24"/>
        </w:rPr>
        <w:t>”; and (iii)</w:t>
      </w:r>
      <w:r w:rsidR="00E84FF8" w:rsidRPr="00012C17">
        <w:rPr>
          <w:bCs/>
          <w:iCs/>
          <w:color w:val="000000"/>
          <w:sz w:val="24"/>
        </w:rPr>
        <w:t xml:space="preserve"> “</w:t>
      </w:r>
      <w:r w:rsidR="00E84FF8" w:rsidRPr="00012C17">
        <w:rPr>
          <w:bCs/>
          <w:i/>
          <w:color w:val="000000"/>
          <w:sz w:val="24"/>
        </w:rPr>
        <w:t>minimal and balanced irregularities</w:t>
      </w:r>
      <w:r w:rsidR="00E84FF8" w:rsidRPr="00012C17">
        <w:rPr>
          <w:bCs/>
          <w:iCs/>
          <w:color w:val="000000"/>
          <w:sz w:val="24"/>
        </w:rPr>
        <w:t xml:space="preserve">”. </w:t>
      </w:r>
      <w:r w:rsidR="008778F0" w:rsidRPr="00012C17">
        <w:rPr>
          <w:bCs/>
          <w:iCs/>
          <w:color w:val="000000"/>
          <w:sz w:val="24"/>
        </w:rPr>
        <w:t>In addition</w:t>
      </w:r>
      <w:r w:rsidR="00E84FF8" w:rsidRPr="00012C17">
        <w:rPr>
          <w:bCs/>
          <w:iCs/>
          <w:color w:val="000000"/>
          <w:sz w:val="24"/>
        </w:rPr>
        <w:t xml:space="preserve">, the Applicants allege that the Supreme Court, through its decisions, has made </w:t>
      </w:r>
      <w:r w:rsidR="00F45FBF" w:rsidRPr="00012C17">
        <w:rPr>
          <w:bCs/>
          <w:iCs/>
          <w:color w:val="000000"/>
          <w:sz w:val="24"/>
        </w:rPr>
        <w:t xml:space="preserve">(iv) </w:t>
      </w:r>
      <w:r w:rsidR="00E84FF8" w:rsidRPr="00012C17">
        <w:rPr>
          <w:bCs/>
          <w:iCs/>
          <w:color w:val="000000"/>
          <w:sz w:val="24"/>
        </w:rPr>
        <w:t>“</w:t>
      </w:r>
      <w:r w:rsidR="00E84FF8" w:rsidRPr="00012C17">
        <w:rPr>
          <w:bCs/>
          <w:i/>
          <w:color w:val="000000"/>
          <w:sz w:val="24"/>
        </w:rPr>
        <w:t>only the assessment of the legality rather than the constitutionality of the respective allegations</w:t>
      </w:r>
      <w:r w:rsidR="00E84FF8" w:rsidRPr="00012C17">
        <w:rPr>
          <w:bCs/>
          <w:iCs/>
          <w:color w:val="000000"/>
          <w:sz w:val="24"/>
        </w:rPr>
        <w:t>”.</w:t>
      </w:r>
      <w:r w:rsidRPr="00012C17">
        <w:rPr>
          <w:bCs/>
          <w:iCs/>
          <w:color w:val="000000"/>
          <w:sz w:val="24"/>
        </w:rPr>
        <w:t xml:space="preserve"> (See specific allegations raised by the Applicants in paragraphs </w:t>
      </w:r>
      <w:r w:rsidR="0066767B" w:rsidRPr="00012C17">
        <w:rPr>
          <w:bCs/>
          <w:iCs/>
          <w:color w:val="000000"/>
          <w:sz w:val="24"/>
        </w:rPr>
        <w:t>57-61</w:t>
      </w:r>
      <w:r w:rsidRPr="00012C17">
        <w:rPr>
          <w:bCs/>
          <w:iCs/>
          <w:color w:val="000000"/>
          <w:sz w:val="24"/>
        </w:rPr>
        <w:t>). In dealing with each allegation, the Court will apply the constitutional guar</w:t>
      </w:r>
      <w:r w:rsidR="00012C17" w:rsidRPr="00012C17">
        <w:rPr>
          <w:bCs/>
          <w:iCs/>
          <w:color w:val="000000"/>
          <w:sz w:val="24"/>
        </w:rPr>
        <w:t>antees, the relevant ECtHR case-</w:t>
      </w:r>
      <w:r w:rsidRPr="00012C17">
        <w:rPr>
          <w:bCs/>
          <w:iCs/>
          <w:color w:val="000000"/>
          <w:sz w:val="24"/>
        </w:rPr>
        <w:t xml:space="preserve">law and the relevant principles of the Venice Commission. Furthermore, once all the specific allegations of the Applicants are reviewed, the Court will also assess </w:t>
      </w:r>
      <w:r w:rsidR="00F45FBF" w:rsidRPr="00012C17">
        <w:rPr>
          <w:bCs/>
          <w:iCs/>
          <w:color w:val="000000"/>
          <w:sz w:val="24"/>
        </w:rPr>
        <w:t xml:space="preserve">(v) </w:t>
      </w:r>
      <w:r w:rsidRPr="00012C17">
        <w:rPr>
          <w:bCs/>
          <w:iCs/>
          <w:color w:val="000000"/>
          <w:sz w:val="24"/>
        </w:rPr>
        <w:t>whether the proceedings followed in the circumstances of the present case, in their entirety, may have resulted in a violation of the general principles for protection of the judicial rights guaranteed by the Constitution of the Republic of Kosovo</w:t>
      </w:r>
      <w:r w:rsidR="00FB004D" w:rsidRPr="00012C17">
        <w:rPr>
          <w:bCs/>
          <w:iCs/>
          <w:color w:val="000000"/>
          <w:sz w:val="24"/>
        </w:rPr>
        <w:t xml:space="preserve">. </w:t>
      </w:r>
    </w:p>
    <w:p w:rsidR="00E84FF8" w:rsidRPr="00012C17" w:rsidRDefault="00E84FF8" w:rsidP="001B11C5">
      <w:pPr>
        <w:tabs>
          <w:tab w:val="left" w:pos="540"/>
          <w:tab w:val="left" w:pos="720"/>
        </w:tabs>
        <w:spacing w:line="240" w:lineRule="auto"/>
        <w:rPr>
          <w:bCs/>
          <w:iCs/>
          <w:color w:val="000000"/>
          <w:sz w:val="24"/>
        </w:rPr>
      </w:pPr>
    </w:p>
    <w:p w:rsidR="00E84FF8" w:rsidRPr="00012C17" w:rsidRDefault="001B11C5" w:rsidP="003532BE">
      <w:pPr>
        <w:numPr>
          <w:ilvl w:val="0"/>
          <w:numId w:val="36"/>
        </w:numPr>
        <w:spacing w:line="240" w:lineRule="auto"/>
        <w:ind w:left="990" w:hanging="360"/>
        <w:rPr>
          <w:bCs/>
          <w:i/>
          <w:iCs/>
          <w:color w:val="000000"/>
          <w:sz w:val="24"/>
        </w:rPr>
      </w:pPr>
      <w:r w:rsidRPr="00012C17">
        <w:rPr>
          <w:bCs/>
          <w:i/>
          <w:iCs/>
          <w:color w:val="000000"/>
          <w:sz w:val="24"/>
        </w:rPr>
        <w:br w:type="page"/>
      </w:r>
      <w:r w:rsidR="003532BE" w:rsidRPr="00012C17">
        <w:rPr>
          <w:bCs/>
          <w:i/>
          <w:iCs/>
          <w:color w:val="000000"/>
          <w:sz w:val="24"/>
        </w:rPr>
        <w:lastRenderedPageBreak/>
        <w:t>Regarding</w:t>
      </w:r>
      <w:r w:rsidR="00E84FF8" w:rsidRPr="00012C17">
        <w:rPr>
          <w:bCs/>
          <w:i/>
          <w:iCs/>
          <w:color w:val="000000"/>
          <w:sz w:val="24"/>
        </w:rPr>
        <w:t xml:space="preserve"> the “</w:t>
      </w:r>
      <w:r w:rsidR="00E84FF8" w:rsidRPr="00012C17">
        <w:rPr>
          <w:bCs/>
          <w:i/>
          <w:color w:val="000000"/>
          <w:sz w:val="24"/>
        </w:rPr>
        <w:t>confirmation of the election results</w:t>
      </w:r>
      <w:r w:rsidR="00E84FF8" w:rsidRPr="00012C17">
        <w:rPr>
          <w:bCs/>
          <w:i/>
          <w:iCs/>
          <w:color w:val="000000"/>
          <w:sz w:val="24"/>
        </w:rPr>
        <w:t>”</w:t>
      </w:r>
    </w:p>
    <w:p w:rsidR="00E84FF8" w:rsidRPr="00012C17" w:rsidRDefault="00E84FF8" w:rsidP="001B11C5">
      <w:pPr>
        <w:spacing w:line="240" w:lineRule="auto"/>
        <w:rPr>
          <w:bCs/>
          <w:i/>
          <w:iCs/>
          <w:color w:val="000000"/>
          <w:sz w:val="24"/>
        </w:rPr>
      </w:pPr>
    </w:p>
    <w:p w:rsidR="00E84FF8" w:rsidRPr="00012C17" w:rsidRDefault="00E84FF8" w:rsidP="00FB004D">
      <w:pPr>
        <w:numPr>
          <w:ilvl w:val="0"/>
          <w:numId w:val="1"/>
        </w:numPr>
        <w:spacing w:line="240" w:lineRule="auto"/>
        <w:ind w:left="630" w:hanging="630"/>
        <w:rPr>
          <w:bCs/>
          <w:iCs/>
          <w:color w:val="000000"/>
          <w:sz w:val="24"/>
        </w:rPr>
      </w:pPr>
      <w:r w:rsidRPr="00012C17">
        <w:rPr>
          <w:bCs/>
          <w:color w:val="000000"/>
          <w:sz w:val="24"/>
        </w:rPr>
        <w:t xml:space="preserve">The Court recalls that the Applicants allege that the reasoning of the Supreme Court in its </w:t>
      </w:r>
      <w:r w:rsidR="00B15CD1" w:rsidRPr="00012C17">
        <w:rPr>
          <w:bCs/>
          <w:color w:val="000000"/>
          <w:sz w:val="24"/>
        </w:rPr>
        <w:t>f</w:t>
      </w:r>
      <w:r w:rsidRPr="00012C17">
        <w:rPr>
          <w:bCs/>
          <w:color w:val="000000"/>
          <w:sz w:val="24"/>
        </w:rPr>
        <w:t>irst Decision</w:t>
      </w:r>
      <w:r w:rsidR="003532BE" w:rsidRPr="00012C17">
        <w:rPr>
          <w:bCs/>
          <w:color w:val="000000"/>
          <w:sz w:val="24"/>
        </w:rPr>
        <w:t>, respectively Decision</w:t>
      </w:r>
      <w:r w:rsidRPr="00012C17">
        <w:rPr>
          <w:bCs/>
          <w:color w:val="000000"/>
          <w:sz w:val="24"/>
        </w:rPr>
        <w:t xml:space="preserve"> [AA. </w:t>
      </w:r>
      <w:r w:rsidR="00932157" w:rsidRPr="00012C17">
        <w:rPr>
          <w:bCs/>
          <w:color w:val="000000"/>
          <w:sz w:val="24"/>
        </w:rPr>
        <w:t>N</w:t>
      </w:r>
      <w:r w:rsidRPr="00012C17">
        <w:rPr>
          <w:bCs/>
          <w:color w:val="000000"/>
          <w:sz w:val="24"/>
        </w:rPr>
        <w:t>o. 52/2017] that</w:t>
      </w:r>
      <w:r w:rsidRPr="00012C17">
        <w:rPr>
          <w:bCs/>
          <w:i/>
          <w:iCs/>
          <w:color w:val="000000"/>
          <w:sz w:val="24"/>
        </w:rPr>
        <w:t xml:space="preserve"> “the law does not foresee the narrow result between the candidates as a condition for recount”, </w:t>
      </w:r>
      <w:r w:rsidRPr="00012C17">
        <w:rPr>
          <w:bCs/>
          <w:color w:val="000000"/>
          <w:sz w:val="24"/>
        </w:rPr>
        <w:t>is unconstitutional because according to them</w:t>
      </w:r>
      <w:r w:rsidRPr="00012C17">
        <w:rPr>
          <w:bCs/>
          <w:i/>
          <w:iCs/>
          <w:color w:val="000000"/>
          <w:sz w:val="24"/>
        </w:rPr>
        <w:t xml:space="preserve"> “no state counts conditi</w:t>
      </w:r>
      <w:r w:rsidR="00B15CD1" w:rsidRPr="00012C17">
        <w:rPr>
          <w:bCs/>
          <w:i/>
          <w:iCs/>
          <w:color w:val="000000"/>
          <w:sz w:val="24"/>
        </w:rPr>
        <w:t>ons or cases when the recount</w:t>
      </w:r>
      <w:r w:rsidRPr="00012C17">
        <w:rPr>
          <w:bCs/>
          <w:i/>
          <w:iCs/>
          <w:color w:val="000000"/>
          <w:sz w:val="24"/>
        </w:rPr>
        <w:t xml:space="preserve"> is ordered - because it is the right in itself - for confirmation of the electoral process</w:t>
      </w:r>
      <w:r w:rsidRPr="00012C17">
        <w:rPr>
          <w:bCs/>
          <w:iCs/>
          <w:color w:val="000000"/>
          <w:sz w:val="24"/>
        </w:rPr>
        <w:t>”.</w:t>
      </w:r>
    </w:p>
    <w:p w:rsidR="00A1451B" w:rsidRPr="00012C17" w:rsidRDefault="00A1451B" w:rsidP="001B11C5">
      <w:pPr>
        <w:spacing w:line="240" w:lineRule="auto"/>
        <w:ind w:left="630"/>
        <w:rPr>
          <w:bCs/>
          <w:iCs/>
          <w:color w:val="000000"/>
          <w:sz w:val="24"/>
        </w:rPr>
      </w:pPr>
    </w:p>
    <w:p w:rsidR="00A1451B" w:rsidRPr="00012C17" w:rsidRDefault="00A1451B" w:rsidP="001B11C5">
      <w:pPr>
        <w:numPr>
          <w:ilvl w:val="0"/>
          <w:numId w:val="1"/>
        </w:numPr>
        <w:spacing w:line="240" w:lineRule="auto"/>
        <w:ind w:left="630" w:hanging="630"/>
        <w:rPr>
          <w:color w:val="000000"/>
          <w:sz w:val="24"/>
        </w:rPr>
      </w:pPr>
      <w:r w:rsidRPr="00012C17">
        <w:rPr>
          <w:color w:val="000000"/>
          <w:sz w:val="24"/>
        </w:rPr>
        <w:t xml:space="preserve">The </w:t>
      </w:r>
      <w:r w:rsidR="008778F0" w:rsidRPr="00012C17">
        <w:rPr>
          <w:color w:val="000000"/>
          <w:sz w:val="24"/>
        </w:rPr>
        <w:t>Court initially notes</w:t>
      </w:r>
      <w:r w:rsidRPr="00012C17">
        <w:rPr>
          <w:color w:val="000000"/>
          <w:sz w:val="24"/>
        </w:rPr>
        <w:t xml:space="preserve"> that the European standards regarding the annulment of the election results stem from the guarantees of Article 3 of </w:t>
      </w:r>
      <w:r w:rsidR="00C40D12" w:rsidRPr="00012C17">
        <w:rPr>
          <w:color w:val="000000"/>
          <w:sz w:val="24"/>
        </w:rPr>
        <w:t>Protocol no.1</w:t>
      </w:r>
      <w:r w:rsidRPr="00012C17">
        <w:rPr>
          <w:color w:val="000000"/>
          <w:sz w:val="24"/>
        </w:rPr>
        <w:t xml:space="preserve"> to the ECHR. According to the </w:t>
      </w:r>
      <w:r w:rsidR="008778F0" w:rsidRPr="00012C17">
        <w:rPr>
          <w:color w:val="000000"/>
          <w:sz w:val="24"/>
        </w:rPr>
        <w:t>Venice Commission</w:t>
      </w:r>
      <w:r w:rsidRPr="00012C17">
        <w:rPr>
          <w:color w:val="000000"/>
          <w:sz w:val="24"/>
        </w:rPr>
        <w:t xml:space="preserve">, </w:t>
      </w:r>
      <w:r w:rsidR="008778F0" w:rsidRPr="00012C17">
        <w:rPr>
          <w:color w:val="000000"/>
          <w:sz w:val="24"/>
        </w:rPr>
        <w:t>the latter</w:t>
      </w:r>
      <w:r w:rsidRPr="00012C17">
        <w:rPr>
          <w:color w:val="000000"/>
          <w:sz w:val="24"/>
        </w:rPr>
        <w:t xml:space="preserve"> derive from paragraph b of Article 25 of the Covenant on Civil and Political Rights, which sets out the fundamental principles of the right to vote and to be elected.</w:t>
      </w:r>
      <w:r w:rsidR="008778F0" w:rsidRPr="00012C17">
        <w:rPr>
          <w:color w:val="000000"/>
          <w:sz w:val="24"/>
        </w:rPr>
        <w:t xml:space="preserve"> The Court recalls that both of these international instruments based on Article 22 of the Constitution are directly applicable in the legal order of Kosovo</w:t>
      </w:r>
      <w:r w:rsidRPr="00012C17">
        <w:rPr>
          <w:color w:val="000000"/>
          <w:sz w:val="24"/>
        </w:rPr>
        <w:t xml:space="preserve">. </w:t>
      </w:r>
    </w:p>
    <w:p w:rsidR="00A1451B" w:rsidRPr="00012C17" w:rsidRDefault="00A1451B" w:rsidP="001B11C5">
      <w:pPr>
        <w:spacing w:line="240" w:lineRule="auto"/>
        <w:ind w:left="630" w:hanging="630"/>
        <w:rPr>
          <w:color w:val="000000"/>
          <w:sz w:val="24"/>
        </w:rPr>
      </w:pPr>
    </w:p>
    <w:p w:rsidR="00A1451B" w:rsidRPr="00012C17" w:rsidRDefault="00F05E0A" w:rsidP="001B11C5">
      <w:pPr>
        <w:numPr>
          <w:ilvl w:val="0"/>
          <w:numId w:val="1"/>
        </w:numPr>
        <w:spacing w:line="240" w:lineRule="auto"/>
        <w:ind w:left="630" w:hanging="630"/>
        <w:rPr>
          <w:bCs/>
          <w:iCs/>
          <w:color w:val="000000"/>
          <w:sz w:val="24"/>
        </w:rPr>
      </w:pPr>
      <w:r w:rsidRPr="00012C17">
        <w:rPr>
          <w:color w:val="000000"/>
          <w:sz w:val="24"/>
        </w:rPr>
        <w:t>However, the right</w:t>
      </w:r>
      <w:r w:rsidR="00A1451B" w:rsidRPr="00012C17">
        <w:rPr>
          <w:color w:val="000000"/>
          <w:sz w:val="24"/>
        </w:rPr>
        <w:t xml:space="preserve"> to </w:t>
      </w:r>
      <w:r w:rsidR="00B15CD1" w:rsidRPr="00012C17">
        <w:rPr>
          <w:color w:val="000000"/>
          <w:sz w:val="24"/>
        </w:rPr>
        <w:t>cancel</w:t>
      </w:r>
      <w:r w:rsidR="00A1451B" w:rsidRPr="00012C17">
        <w:rPr>
          <w:color w:val="000000"/>
          <w:sz w:val="24"/>
        </w:rPr>
        <w:t xml:space="preserve"> the results,</w:t>
      </w:r>
      <w:r w:rsidRPr="00012C17">
        <w:rPr>
          <w:color w:val="000000"/>
          <w:sz w:val="24"/>
        </w:rPr>
        <w:t xml:space="preserve"> which in principle but with </w:t>
      </w:r>
      <w:r w:rsidR="00A1451B" w:rsidRPr="00012C17">
        <w:rPr>
          <w:color w:val="000000"/>
          <w:sz w:val="24"/>
        </w:rPr>
        <w:t>exception</w:t>
      </w:r>
      <w:r w:rsidR="008778F0" w:rsidRPr="00012C17">
        <w:rPr>
          <w:color w:val="000000"/>
          <w:sz w:val="24"/>
        </w:rPr>
        <w:t>s</w:t>
      </w:r>
      <w:r w:rsidRPr="00012C17">
        <w:rPr>
          <w:color w:val="000000"/>
          <w:sz w:val="24"/>
        </w:rPr>
        <w:t>, is</w:t>
      </w:r>
      <w:r w:rsidR="00A1451B" w:rsidRPr="00012C17">
        <w:rPr>
          <w:color w:val="000000"/>
          <w:sz w:val="24"/>
        </w:rPr>
        <w:t xml:space="preserve"> applicable </w:t>
      </w:r>
      <w:r w:rsidR="00B15CD1" w:rsidRPr="00012C17">
        <w:rPr>
          <w:color w:val="000000"/>
          <w:sz w:val="24"/>
        </w:rPr>
        <w:t>also</w:t>
      </w:r>
      <w:r w:rsidR="00A1451B" w:rsidRPr="00012C17">
        <w:rPr>
          <w:color w:val="000000"/>
          <w:sz w:val="24"/>
        </w:rPr>
        <w:t xml:space="preserve"> in terms of active and passive rights, in practice are only applicable in the event of substantial violations of the </w:t>
      </w:r>
      <w:r w:rsidR="008778F0" w:rsidRPr="00012C17">
        <w:rPr>
          <w:color w:val="000000"/>
          <w:sz w:val="24"/>
        </w:rPr>
        <w:t>election</w:t>
      </w:r>
      <w:r w:rsidR="00A1451B" w:rsidRPr="00012C17">
        <w:rPr>
          <w:color w:val="000000"/>
          <w:sz w:val="24"/>
        </w:rPr>
        <w:t xml:space="preserve"> law. According to </w:t>
      </w:r>
      <w:r w:rsidR="008778F0" w:rsidRPr="00012C17">
        <w:rPr>
          <w:color w:val="000000"/>
          <w:sz w:val="24"/>
        </w:rPr>
        <w:t>the Venice Commission</w:t>
      </w:r>
      <w:r w:rsidR="00A1451B" w:rsidRPr="00012C17">
        <w:rPr>
          <w:color w:val="000000"/>
          <w:sz w:val="24"/>
        </w:rPr>
        <w:t xml:space="preserve">, while the practice of </w:t>
      </w:r>
      <w:r w:rsidR="00F45FBF" w:rsidRPr="00012C17">
        <w:rPr>
          <w:color w:val="000000"/>
          <w:sz w:val="24"/>
        </w:rPr>
        <w:t xml:space="preserve">cancellation </w:t>
      </w:r>
      <w:r w:rsidR="00A1451B" w:rsidRPr="00012C17">
        <w:rPr>
          <w:color w:val="000000"/>
          <w:sz w:val="24"/>
        </w:rPr>
        <w:t>of the election result</w:t>
      </w:r>
      <w:r w:rsidR="00F45FBF" w:rsidRPr="00012C17">
        <w:rPr>
          <w:color w:val="000000"/>
          <w:sz w:val="24"/>
        </w:rPr>
        <w:t>s</w:t>
      </w:r>
      <w:r w:rsidR="00A1451B" w:rsidRPr="00012C17">
        <w:rPr>
          <w:color w:val="000000"/>
          <w:sz w:val="24"/>
        </w:rPr>
        <w:t xml:space="preserve"> varies widely within the states, i</w:t>
      </w:r>
      <w:r w:rsidR="008778F0" w:rsidRPr="00012C17">
        <w:rPr>
          <w:color w:val="000000"/>
          <w:sz w:val="24"/>
        </w:rPr>
        <w:t>n principle,</w:t>
      </w:r>
      <w:r w:rsidR="00A1451B" w:rsidRPr="00012C17">
        <w:rPr>
          <w:color w:val="000000"/>
          <w:sz w:val="24"/>
        </w:rPr>
        <w:t xml:space="preserve"> the number of complaints against the election result is very high, and the </w:t>
      </w:r>
      <w:r w:rsidR="00B15CD1" w:rsidRPr="00012C17">
        <w:rPr>
          <w:color w:val="000000"/>
          <w:sz w:val="24"/>
        </w:rPr>
        <w:t>cancellation</w:t>
      </w:r>
      <w:r w:rsidR="00A1451B" w:rsidRPr="00012C17">
        <w:rPr>
          <w:color w:val="000000"/>
          <w:sz w:val="24"/>
        </w:rPr>
        <w:t xml:space="preserve"> of the election result</w:t>
      </w:r>
      <w:r w:rsidR="00B15CD1" w:rsidRPr="00012C17">
        <w:rPr>
          <w:color w:val="000000"/>
          <w:sz w:val="24"/>
        </w:rPr>
        <w:t>s</w:t>
      </w:r>
      <w:r w:rsidR="00A1451B" w:rsidRPr="00012C17">
        <w:rPr>
          <w:color w:val="000000"/>
          <w:sz w:val="24"/>
        </w:rPr>
        <w:t xml:space="preserve"> is usually the last resort</w:t>
      </w:r>
      <w:r w:rsidR="00FB004D" w:rsidRPr="00012C17">
        <w:rPr>
          <w:color w:val="000000"/>
          <w:sz w:val="24"/>
        </w:rPr>
        <w:t>.</w:t>
      </w:r>
      <w:r w:rsidR="00A1451B" w:rsidRPr="00012C17">
        <w:rPr>
          <w:color w:val="000000"/>
          <w:sz w:val="24"/>
        </w:rPr>
        <w:t xml:space="preserve"> </w:t>
      </w:r>
      <w:r w:rsidR="00B15CD1" w:rsidRPr="00012C17">
        <w:rPr>
          <w:color w:val="000000"/>
          <w:sz w:val="24"/>
        </w:rPr>
        <w:t>(Se</w:t>
      </w:r>
      <w:r w:rsidR="00FB004D" w:rsidRPr="00012C17">
        <w:rPr>
          <w:color w:val="000000"/>
          <w:sz w:val="24"/>
        </w:rPr>
        <w:t>e</w:t>
      </w:r>
      <w:r w:rsidR="00B15CD1" w:rsidRPr="00012C17">
        <w:rPr>
          <w:color w:val="000000"/>
          <w:sz w:val="24"/>
        </w:rPr>
        <w:t xml:space="preserve"> section II, paragraph 5 of the Report on the Cancellation of Results). </w:t>
      </w:r>
      <w:r w:rsidR="00A1451B" w:rsidRPr="00012C17">
        <w:rPr>
          <w:color w:val="000000"/>
          <w:sz w:val="24"/>
        </w:rPr>
        <w:t xml:space="preserve">According to the latter, </w:t>
      </w:r>
      <w:r w:rsidR="00B15CD1" w:rsidRPr="00012C17">
        <w:rPr>
          <w:color w:val="000000"/>
          <w:sz w:val="24"/>
        </w:rPr>
        <w:t>the cancellations</w:t>
      </w:r>
      <w:r w:rsidR="00A1451B" w:rsidRPr="00012C17">
        <w:rPr>
          <w:color w:val="000000"/>
          <w:sz w:val="24"/>
        </w:rPr>
        <w:t xml:space="preserve"> of the election result</w:t>
      </w:r>
      <w:r w:rsidR="00FB004D" w:rsidRPr="00012C17">
        <w:rPr>
          <w:color w:val="000000"/>
          <w:sz w:val="24"/>
        </w:rPr>
        <w:t>e</w:t>
      </w:r>
      <w:r w:rsidR="00B15CD1" w:rsidRPr="00012C17">
        <w:rPr>
          <w:color w:val="000000"/>
          <w:sz w:val="24"/>
        </w:rPr>
        <w:t>d</w:t>
      </w:r>
      <w:r w:rsidR="00A1451B" w:rsidRPr="00012C17">
        <w:rPr>
          <w:color w:val="000000"/>
          <w:sz w:val="24"/>
        </w:rPr>
        <w:t xml:space="preserve"> ha</w:t>
      </w:r>
      <w:r w:rsidR="00B15CD1" w:rsidRPr="00012C17">
        <w:rPr>
          <w:color w:val="000000"/>
          <w:sz w:val="24"/>
        </w:rPr>
        <w:t>ve</w:t>
      </w:r>
      <w:r w:rsidR="00A1451B" w:rsidRPr="00012C17">
        <w:rPr>
          <w:color w:val="000000"/>
          <w:sz w:val="24"/>
        </w:rPr>
        <w:t xml:space="preserve"> occurred very rarely in the last decades</w:t>
      </w:r>
      <w:r w:rsidR="00B15CD1" w:rsidRPr="00012C17">
        <w:rPr>
          <w:color w:val="000000"/>
          <w:sz w:val="24"/>
        </w:rPr>
        <w:t>.</w:t>
      </w:r>
    </w:p>
    <w:p w:rsidR="00B15CD1" w:rsidRPr="00012C17" w:rsidRDefault="00B15CD1" w:rsidP="001B11C5">
      <w:pPr>
        <w:spacing w:line="240" w:lineRule="auto"/>
        <w:ind w:left="630"/>
        <w:rPr>
          <w:bCs/>
          <w:iCs/>
          <w:color w:val="000000"/>
          <w:sz w:val="24"/>
        </w:rPr>
      </w:pPr>
    </w:p>
    <w:p w:rsidR="00A1451B" w:rsidRPr="00012C17" w:rsidRDefault="00A1451B" w:rsidP="001B11C5">
      <w:pPr>
        <w:numPr>
          <w:ilvl w:val="0"/>
          <w:numId w:val="1"/>
        </w:numPr>
        <w:spacing w:line="240" w:lineRule="auto"/>
        <w:ind w:left="630" w:hanging="630"/>
        <w:rPr>
          <w:bCs/>
          <w:iCs/>
          <w:color w:val="000000"/>
          <w:sz w:val="24"/>
        </w:rPr>
      </w:pPr>
      <w:r w:rsidRPr="00012C17">
        <w:rPr>
          <w:color w:val="000000"/>
          <w:sz w:val="24"/>
        </w:rPr>
        <w:t xml:space="preserve">In almost all member states of the Venice Commission, the issue of </w:t>
      </w:r>
      <w:r w:rsidR="00B15CD1" w:rsidRPr="00012C17">
        <w:rPr>
          <w:color w:val="000000"/>
          <w:sz w:val="24"/>
        </w:rPr>
        <w:t>cancellation</w:t>
      </w:r>
      <w:r w:rsidRPr="00012C17">
        <w:rPr>
          <w:color w:val="000000"/>
          <w:sz w:val="24"/>
        </w:rPr>
        <w:t xml:space="preserve"> of the election results is determined by general provisions. Practice </w:t>
      </w:r>
      <w:r w:rsidR="00B15CD1" w:rsidRPr="00012C17">
        <w:rPr>
          <w:color w:val="000000"/>
          <w:sz w:val="24"/>
        </w:rPr>
        <w:t>varies</w:t>
      </w:r>
      <w:r w:rsidRPr="00012C17">
        <w:rPr>
          <w:color w:val="000000"/>
          <w:sz w:val="24"/>
        </w:rPr>
        <w:t xml:space="preserve"> from countries that have the criteria set out in the Constitution, laws, or are not defined in any</w:t>
      </w:r>
      <w:r w:rsidR="00012C17" w:rsidRPr="00012C17">
        <w:rPr>
          <w:color w:val="000000"/>
          <w:sz w:val="24"/>
        </w:rPr>
        <w:t>.</w:t>
      </w:r>
      <w:r w:rsidRPr="00012C17">
        <w:rPr>
          <w:color w:val="000000"/>
          <w:sz w:val="24"/>
        </w:rPr>
        <w:t xml:space="preserve"> (</w:t>
      </w:r>
      <w:r w:rsidR="00F90693" w:rsidRPr="00012C17">
        <w:rPr>
          <w:color w:val="000000"/>
          <w:sz w:val="24"/>
        </w:rPr>
        <w:t xml:space="preserve">See section III, item A, </w:t>
      </w:r>
      <w:r w:rsidRPr="00012C17">
        <w:rPr>
          <w:color w:val="000000"/>
          <w:sz w:val="24"/>
        </w:rPr>
        <w:t xml:space="preserve">paragraph 8 of the </w:t>
      </w:r>
      <w:r w:rsidR="00F90693" w:rsidRPr="00012C17">
        <w:rPr>
          <w:color w:val="000000"/>
          <w:sz w:val="24"/>
        </w:rPr>
        <w:t>Report on the Cancellation of Results). Moreover, there are member states</w:t>
      </w:r>
      <w:r w:rsidRPr="00012C17">
        <w:rPr>
          <w:color w:val="000000"/>
          <w:sz w:val="24"/>
        </w:rPr>
        <w:t xml:space="preserve"> of the Venice Commission </w:t>
      </w:r>
      <w:r w:rsidR="00F90693" w:rsidRPr="00012C17">
        <w:rPr>
          <w:color w:val="000000"/>
          <w:sz w:val="24"/>
        </w:rPr>
        <w:t xml:space="preserve">which stipulate that all court disputes regarding </w:t>
      </w:r>
      <w:r w:rsidR="000647FB" w:rsidRPr="00012C17">
        <w:rPr>
          <w:color w:val="000000"/>
          <w:sz w:val="24"/>
        </w:rPr>
        <w:t xml:space="preserve">the </w:t>
      </w:r>
      <w:r w:rsidR="00F90693" w:rsidRPr="00012C17">
        <w:rPr>
          <w:color w:val="000000"/>
          <w:sz w:val="24"/>
        </w:rPr>
        <w:t>elections must be closed before the candidate takes over the office;</w:t>
      </w:r>
      <w:r w:rsidRPr="00012C17">
        <w:rPr>
          <w:color w:val="000000"/>
          <w:sz w:val="24"/>
        </w:rPr>
        <w:t xml:space="preserve"> </w:t>
      </w:r>
      <w:r w:rsidR="00F90693" w:rsidRPr="00012C17">
        <w:rPr>
          <w:color w:val="000000"/>
          <w:sz w:val="24"/>
        </w:rPr>
        <w:t>and</w:t>
      </w:r>
      <w:r w:rsidRPr="00012C17">
        <w:rPr>
          <w:color w:val="000000"/>
          <w:sz w:val="24"/>
        </w:rPr>
        <w:t xml:space="preserve"> </w:t>
      </w:r>
      <w:r w:rsidR="000647FB" w:rsidRPr="00012C17">
        <w:rPr>
          <w:color w:val="000000"/>
          <w:sz w:val="24"/>
        </w:rPr>
        <w:t xml:space="preserve">there are </w:t>
      </w:r>
      <w:r w:rsidRPr="00012C17">
        <w:rPr>
          <w:color w:val="000000"/>
          <w:sz w:val="24"/>
        </w:rPr>
        <w:t xml:space="preserve">other countries that </w:t>
      </w:r>
      <w:r w:rsidR="00F90693" w:rsidRPr="00012C17">
        <w:rPr>
          <w:color w:val="000000"/>
          <w:sz w:val="24"/>
        </w:rPr>
        <w:t>do not allow</w:t>
      </w:r>
      <w:r w:rsidRPr="00012C17">
        <w:rPr>
          <w:color w:val="000000"/>
          <w:sz w:val="24"/>
        </w:rPr>
        <w:t xml:space="preserve"> </w:t>
      </w:r>
      <w:r w:rsidR="00D81A67" w:rsidRPr="00012C17">
        <w:rPr>
          <w:color w:val="000000"/>
          <w:sz w:val="24"/>
        </w:rPr>
        <w:t>canceling</w:t>
      </w:r>
      <w:r w:rsidRPr="00012C17">
        <w:rPr>
          <w:color w:val="000000"/>
          <w:sz w:val="24"/>
        </w:rPr>
        <w:t xml:space="preserve"> the mandate after being sworn in for the office. (</w:t>
      </w:r>
      <w:r w:rsidR="00F90693" w:rsidRPr="00012C17">
        <w:rPr>
          <w:color w:val="000000"/>
          <w:sz w:val="24"/>
        </w:rPr>
        <w:t xml:space="preserve">See Section IV, item </w:t>
      </w:r>
      <w:r w:rsidR="00347D4F" w:rsidRPr="00012C17">
        <w:rPr>
          <w:color w:val="000000"/>
          <w:sz w:val="24"/>
        </w:rPr>
        <w:t>C</w:t>
      </w:r>
      <w:r w:rsidR="00F90693" w:rsidRPr="00012C17">
        <w:rPr>
          <w:color w:val="000000"/>
          <w:sz w:val="24"/>
        </w:rPr>
        <w:t>, paragraphs 70-75 of the Report on the Cancellation of Results).</w:t>
      </w:r>
      <w:r w:rsidRPr="00012C17">
        <w:rPr>
          <w:color w:val="000000"/>
          <w:sz w:val="24"/>
        </w:rPr>
        <w:t xml:space="preserve"> </w:t>
      </w:r>
    </w:p>
    <w:p w:rsidR="00F90693" w:rsidRPr="00012C17" w:rsidRDefault="00F90693" w:rsidP="001B11C5">
      <w:pPr>
        <w:pStyle w:val="ListParagraph"/>
        <w:spacing w:after="0" w:line="240" w:lineRule="auto"/>
        <w:rPr>
          <w:bCs/>
          <w:iCs/>
          <w:color w:val="000000"/>
          <w:sz w:val="24"/>
          <w:lang w:val="en-US"/>
        </w:rPr>
      </w:pPr>
    </w:p>
    <w:p w:rsidR="00485172" w:rsidRPr="00012C17" w:rsidRDefault="00F90693" w:rsidP="001B11C5">
      <w:pPr>
        <w:numPr>
          <w:ilvl w:val="0"/>
          <w:numId w:val="1"/>
        </w:numPr>
        <w:spacing w:line="240" w:lineRule="auto"/>
        <w:ind w:left="630" w:hanging="630"/>
        <w:rPr>
          <w:bCs/>
          <w:iCs/>
          <w:color w:val="000000"/>
          <w:sz w:val="24"/>
        </w:rPr>
      </w:pPr>
      <w:r w:rsidRPr="00012C17">
        <w:rPr>
          <w:rFonts w:cs="Helvetica"/>
          <w:color w:val="000000"/>
          <w:sz w:val="24"/>
        </w:rPr>
        <w:t xml:space="preserve">A common denominator however is established by the Venice Commission as an integral part of </w:t>
      </w:r>
      <w:r w:rsidR="00D81A67" w:rsidRPr="00012C17">
        <w:rPr>
          <w:rFonts w:cs="Helvetica"/>
          <w:color w:val="000000"/>
          <w:sz w:val="24"/>
        </w:rPr>
        <w:t xml:space="preserve">an </w:t>
      </w:r>
      <w:r w:rsidR="00E84FF8" w:rsidRPr="00012C17">
        <w:rPr>
          <w:rFonts w:cs="Helvetica"/>
          <w:color w:val="000000"/>
          <w:sz w:val="24"/>
        </w:rPr>
        <w:t>“</w:t>
      </w:r>
      <w:r w:rsidR="00E84FF8" w:rsidRPr="00012C17">
        <w:rPr>
          <w:rFonts w:cs="Helvetica"/>
          <w:i/>
          <w:iCs/>
          <w:color w:val="000000"/>
          <w:sz w:val="24"/>
        </w:rPr>
        <w:t>effective complaint system</w:t>
      </w:r>
      <w:r w:rsidR="00E84FF8" w:rsidRPr="00012C17">
        <w:rPr>
          <w:rFonts w:cs="Helvetica"/>
          <w:color w:val="000000"/>
          <w:sz w:val="24"/>
        </w:rPr>
        <w:t>”</w:t>
      </w:r>
      <w:r w:rsidR="008B0CC7" w:rsidRPr="00012C17">
        <w:rPr>
          <w:rFonts w:cs="Helvetica"/>
          <w:color w:val="000000"/>
          <w:sz w:val="24"/>
        </w:rPr>
        <w:t xml:space="preserve">, </w:t>
      </w:r>
      <w:r w:rsidRPr="00012C17">
        <w:rPr>
          <w:rFonts w:cs="Helvetica"/>
          <w:color w:val="000000"/>
          <w:sz w:val="24"/>
        </w:rPr>
        <w:t>which</w:t>
      </w:r>
      <w:r w:rsidR="00E84FF8" w:rsidRPr="00012C17">
        <w:rPr>
          <w:rFonts w:cs="Helvetica"/>
          <w:color w:val="000000"/>
          <w:sz w:val="24"/>
        </w:rPr>
        <w:t>, according to the Code of Good Practice, the Explanatory Report and the Dispute Resolution Report</w:t>
      </w:r>
      <w:r w:rsidR="00AC387B" w:rsidRPr="00012C17">
        <w:rPr>
          <w:rFonts w:cs="Helvetica"/>
          <w:color w:val="000000"/>
          <w:sz w:val="24"/>
        </w:rPr>
        <w:t xml:space="preserve"> establishes that</w:t>
      </w:r>
      <w:r w:rsidR="00E84FF8" w:rsidRPr="00012C17">
        <w:rPr>
          <w:rFonts w:cs="Helvetica"/>
          <w:color w:val="000000"/>
          <w:sz w:val="24"/>
        </w:rPr>
        <w:t xml:space="preserve"> “</w:t>
      </w:r>
      <w:r w:rsidR="00E84FF8" w:rsidRPr="00012C17">
        <w:rPr>
          <w:i/>
          <w:iCs/>
          <w:color w:val="000000"/>
          <w:sz w:val="24"/>
        </w:rPr>
        <w:t>The appeal body must have authority to annul elections where irregularities may have affected the outcome. It must be possible to annul the entire election or merely the results for one constituency or one polling station. In the event of annulment, a new election must be called in the area concerned</w:t>
      </w:r>
      <w:r w:rsidR="00E84FF8" w:rsidRPr="00012C17">
        <w:rPr>
          <w:rFonts w:eastAsia="Times New Roman" w:cs="Calibri"/>
          <w:color w:val="000000"/>
          <w:sz w:val="24"/>
        </w:rPr>
        <w:t xml:space="preserve">”. </w:t>
      </w:r>
    </w:p>
    <w:p w:rsidR="003E5298" w:rsidRPr="00012C17" w:rsidRDefault="003E5298" w:rsidP="001B11C5">
      <w:pPr>
        <w:pStyle w:val="ListParagraph"/>
        <w:spacing w:after="0" w:line="240" w:lineRule="auto"/>
        <w:rPr>
          <w:bCs/>
          <w:iCs/>
          <w:color w:val="000000"/>
          <w:sz w:val="24"/>
          <w:lang w:val="en-US"/>
        </w:rPr>
      </w:pPr>
    </w:p>
    <w:p w:rsidR="008B0CC7" w:rsidRPr="00012C17" w:rsidRDefault="00AC387B" w:rsidP="001B11C5">
      <w:pPr>
        <w:numPr>
          <w:ilvl w:val="0"/>
          <w:numId w:val="1"/>
        </w:numPr>
        <w:spacing w:line="240" w:lineRule="auto"/>
        <w:ind w:left="630" w:hanging="630"/>
        <w:rPr>
          <w:bCs/>
          <w:iCs/>
          <w:color w:val="000000"/>
          <w:sz w:val="24"/>
        </w:rPr>
      </w:pPr>
      <w:r w:rsidRPr="00012C17">
        <w:rPr>
          <w:rFonts w:eastAsia="Times New Roman" w:cs="Calibri"/>
          <w:color w:val="000000"/>
          <w:sz w:val="24"/>
        </w:rPr>
        <w:t xml:space="preserve">The ECtHR </w:t>
      </w:r>
      <w:r w:rsidR="00012C17" w:rsidRPr="00012C17">
        <w:rPr>
          <w:rFonts w:eastAsia="Times New Roman" w:cs="Calibri"/>
          <w:color w:val="000000"/>
          <w:sz w:val="24"/>
        </w:rPr>
        <w:t>case-law</w:t>
      </w:r>
      <w:r w:rsidRPr="00012C17">
        <w:rPr>
          <w:rFonts w:eastAsia="Times New Roman" w:cs="Calibri"/>
          <w:color w:val="000000"/>
          <w:sz w:val="24"/>
        </w:rPr>
        <w:t xml:space="preserve"> regarding the assessment of the election disputes, which is consistently referred to the Code of Good Practice, pointing out that the existence of a national system for an </w:t>
      </w:r>
      <w:r w:rsidRPr="00012C17">
        <w:rPr>
          <w:rFonts w:cs="Helvetica"/>
          <w:color w:val="000000"/>
          <w:sz w:val="24"/>
        </w:rPr>
        <w:t>“</w:t>
      </w:r>
      <w:r w:rsidRPr="00012C17">
        <w:rPr>
          <w:rFonts w:cs="Helvetica"/>
          <w:i/>
          <w:iCs/>
          <w:color w:val="000000"/>
          <w:sz w:val="24"/>
        </w:rPr>
        <w:t>effective complaint system</w:t>
      </w:r>
      <w:r w:rsidRPr="00012C17">
        <w:rPr>
          <w:rFonts w:cs="Helvetica"/>
          <w:color w:val="000000"/>
          <w:sz w:val="24"/>
        </w:rPr>
        <w:t xml:space="preserve">”, </w:t>
      </w:r>
      <w:r w:rsidRPr="00012C17">
        <w:rPr>
          <w:rFonts w:eastAsia="Times New Roman" w:cs="Calibri"/>
          <w:color w:val="000000"/>
          <w:sz w:val="24"/>
        </w:rPr>
        <w:t xml:space="preserve">is one of the fundamental guarantees of free and fair elections, reflects the same standard. It </w:t>
      </w:r>
      <w:r w:rsidRPr="00012C17">
        <w:rPr>
          <w:rFonts w:eastAsia="Times New Roman" w:cs="Calibri"/>
          <w:color w:val="000000"/>
          <w:sz w:val="24"/>
        </w:rPr>
        <w:lastRenderedPageBreak/>
        <w:t>also contains the essential test set by the Venice Commission, namely, assessing whether “</w:t>
      </w:r>
      <w:r w:rsidRPr="00012C17">
        <w:rPr>
          <w:rFonts w:eastAsia="Times New Roman" w:cs="Calibri"/>
          <w:i/>
          <w:iCs/>
          <w:color w:val="000000"/>
          <w:sz w:val="24"/>
        </w:rPr>
        <w:t>the irregularities may have affected the final outcome</w:t>
      </w:r>
      <w:r w:rsidRPr="00012C17">
        <w:rPr>
          <w:rFonts w:eastAsia="Times New Roman" w:cs="Calibri"/>
          <w:color w:val="000000"/>
          <w:sz w:val="24"/>
        </w:rPr>
        <w:t>”, or even more specifically, there is “</w:t>
      </w:r>
      <w:r w:rsidRPr="00012C17">
        <w:rPr>
          <w:rFonts w:eastAsia="Times New Roman" w:cs="Calibri"/>
          <w:i/>
          <w:iCs/>
          <w:color w:val="000000"/>
          <w:sz w:val="24"/>
        </w:rPr>
        <w:t>a real impossibility to establish the wishes of the voters</w:t>
      </w:r>
      <w:r w:rsidRPr="00012C17">
        <w:rPr>
          <w:rFonts w:eastAsia="Times New Roman" w:cs="Calibri"/>
          <w:color w:val="000000"/>
          <w:sz w:val="24"/>
        </w:rPr>
        <w:t xml:space="preserve">”. </w:t>
      </w:r>
      <w:r w:rsidR="008B0CC7" w:rsidRPr="00012C17">
        <w:rPr>
          <w:rFonts w:eastAsia="Times New Roman" w:cs="Calibri"/>
          <w:color w:val="000000"/>
          <w:sz w:val="24"/>
        </w:rPr>
        <w:t>(</w:t>
      </w:r>
      <w:r w:rsidRPr="00012C17">
        <w:rPr>
          <w:rFonts w:eastAsia="Times New Roman" w:cs="Calibri"/>
          <w:color w:val="000000"/>
          <w:sz w:val="24"/>
        </w:rPr>
        <w:t xml:space="preserve">See ECtHR cases, </w:t>
      </w:r>
      <w:r w:rsidRPr="00012C17">
        <w:rPr>
          <w:rFonts w:eastAsia="Times New Roman" w:cs="Calibri"/>
          <w:i/>
          <w:iCs/>
          <w:color w:val="000000"/>
          <w:sz w:val="24"/>
        </w:rPr>
        <w:t xml:space="preserve">Kovach v. Ukraine </w:t>
      </w:r>
      <w:r w:rsidR="00F45FBF" w:rsidRPr="00012C17">
        <w:rPr>
          <w:color w:val="000000"/>
          <w:sz w:val="24"/>
        </w:rPr>
        <w:t>no</w:t>
      </w:r>
      <w:r w:rsidR="00FB004D" w:rsidRPr="00012C17">
        <w:rPr>
          <w:color w:val="000000"/>
          <w:sz w:val="24"/>
        </w:rPr>
        <w:t>.</w:t>
      </w:r>
      <w:r w:rsidR="00F45FBF" w:rsidRPr="00012C17">
        <w:rPr>
          <w:color w:val="000000"/>
          <w:sz w:val="24"/>
        </w:rPr>
        <w:t xml:space="preserve"> 39424/02, Judgment of 7 February 2008 </w:t>
      </w:r>
      <w:r w:rsidRPr="00012C17">
        <w:rPr>
          <w:rFonts w:eastAsia="Times New Roman" w:cs="Calibri"/>
          <w:i/>
          <w:iCs/>
          <w:color w:val="000000"/>
          <w:sz w:val="24"/>
        </w:rPr>
        <w:t xml:space="preserve">and Riza and Others v. Bulgaria, </w:t>
      </w:r>
      <w:r w:rsidR="00347D4F" w:rsidRPr="00012C17">
        <w:rPr>
          <w:rFonts w:eastAsia="Times New Roman" w:cs="Calibri"/>
          <w:color w:val="000000"/>
          <w:sz w:val="24"/>
        </w:rPr>
        <w:t>48555/10 and 48377/10, Judgment of 13 October 2015</w:t>
      </w:r>
      <w:r w:rsidRPr="00012C17">
        <w:rPr>
          <w:rFonts w:eastAsia="Times New Roman" w:cs="Calibri"/>
          <w:i/>
          <w:iCs/>
          <w:color w:val="000000"/>
          <w:sz w:val="24"/>
        </w:rPr>
        <w:t>).</w:t>
      </w:r>
    </w:p>
    <w:p w:rsidR="00AC387B" w:rsidRPr="00012C17" w:rsidRDefault="00AC387B" w:rsidP="001B11C5">
      <w:pPr>
        <w:pStyle w:val="ListParagraph"/>
        <w:spacing w:after="0" w:line="240" w:lineRule="auto"/>
        <w:rPr>
          <w:bCs/>
          <w:iCs/>
          <w:color w:val="000000"/>
          <w:sz w:val="24"/>
          <w:lang w:val="en-US"/>
        </w:rPr>
      </w:pPr>
    </w:p>
    <w:p w:rsidR="00AC387B" w:rsidRPr="00012C17" w:rsidRDefault="00AC387B" w:rsidP="001B11C5">
      <w:pPr>
        <w:numPr>
          <w:ilvl w:val="0"/>
          <w:numId w:val="1"/>
        </w:numPr>
        <w:spacing w:line="240" w:lineRule="auto"/>
        <w:ind w:left="630" w:hanging="630"/>
        <w:rPr>
          <w:bCs/>
          <w:iCs/>
          <w:color w:val="000000"/>
          <w:sz w:val="24"/>
        </w:rPr>
      </w:pPr>
      <w:r w:rsidRPr="00012C17">
        <w:rPr>
          <w:bCs/>
          <w:iCs/>
          <w:color w:val="000000"/>
          <w:sz w:val="24"/>
        </w:rPr>
        <w:t>However, the ECtHR also notes that it is not the role of the courts to modify the expression of the will of people. (</w:t>
      </w:r>
      <w:r w:rsidR="000647FB" w:rsidRPr="00012C17">
        <w:rPr>
          <w:bCs/>
          <w:iCs/>
          <w:color w:val="000000"/>
          <w:sz w:val="24"/>
        </w:rPr>
        <w:t>For</w:t>
      </w:r>
      <w:r w:rsidR="00B709D5" w:rsidRPr="00012C17">
        <w:rPr>
          <w:bCs/>
          <w:iCs/>
          <w:color w:val="000000"/>
          <w:sz w:val="24"/>
        </w:rPr>
        <w:t xml:space="preserve"> more context regarding the latter, </w:t>
      </w:r>
      <w:r w:rsidRPr="00012C17">
        <w:rPr>
          <w:bCs/>
          <w:iCs/>
          <w:color w:val="000000"/>
          <w:sz w:val="24"/>
        </w:rPr>
        <w:t xml:space="preserve">see the Decisions of the European Commission on Human Rights, </w:t>
      </w:r>
      <w:r w:rsidRPr="00012C17">
        <w:rPr>
          <w:bCs/>
          <w:i/>
          <w:color w:val="000000"/>
          <w:sz w:val="24"/>
        </w:rPr>
        <w:t>I</w:t>
      </w:r>
      <w:r w:rsidR="00B709D5" w:rsidRPr="00012C17">
        <w:rPr>
          <w:bCs/>
          <w:i/>
          <w:color w:val="000000"/>
          <w:sz w:val="24"/>
        </w:rPr>
        <w:t>.</w:t>
      </w:r>
      <w:r w:rsidRPr="00012C17">
        <w:rPr>
          <w:bCs/>
          <w:i/>
          <w:color w:val="000000"/>
          <w:sz w:val="24"/>
        </w:rPr>
        <w:t>Z</w:t>
      </w:r>
      <w:r w:rsidR="00B709D5" w:rsidRPr="00012C17">
        <w:rPr>
          <w:bCs/>
          <w:i/>
          <w:color w:val="000000"/>
          <w:sz w:val="24"/>
        </w:rPr>
        <w:t>.</w:t>
      </w:r>
      <w:r w:rsidRPr="00012C17">
        <w:rPr>
          <w:bCs/>
          <w:i/>
          <w:color w:val="000000"/>
          <w:sz w:val="24"/>
        </w:rPr>
        <w:t xml:space="preserve"> </w:t>
      </w:r>
      <w:r w:rsidR="00B709D5" w:rsidRPr="00012C17">
        <w:rPr>
          <w:bCs/>
          <w:i/>
          <w:color w:val="000000"/>
          <w:sz w:val="24"/>
        </w:rPr>
        <w:t>v.</w:t>
      </w:r>
      <w:r w:rsidRPr="00012C17">
        <w:rPr>
          <w:bCs/>
          <w:i/>
          <w:color w:val="000000"/>
          <w:sz w:val="24"/>
        </w:rPr>
        <w:t xml:space="preserve"> Greece</w:t>
      </w:r>
      <w:r w:rsidRPr="00012C17">
        <w:rPr>
          <w:bCs/>
          <w:iCs/>
          <w:color w:val="000000"/>
          <w:sz w:val="24"/>
        </w:rPr>
        <w:t xml:space="preserve">, No. 18997/81, Decision of 28 February 1994, and </w:t>
      </w:r>
      <w:r w:rsidRPr="00012C17">
        <w:rPr>
          <w:bCs/>
          <w:i/>
          <w:color w:val="000000"/>
          <w:sz w:val="24"/>
        </w:rPr>
        <w:t>Babenko v. Ukraine</w:t>
      </w:r>
      <w:r w:rsidRPr="00012C17">
        <w:rPr>
          <w:bCs/>
          <w:iCs/>
          <w:color w:val="000000"/>
          <w:sz w:val="24"/>
        </w:rPr>
        <w:t xml:space="preserve"> No. 43476/98, Decision of 4 May 1999). It maintains that the freedom enjoyed by decision-making authorities must be limited</w:t>
      </w:r>
      <w:r w:rsidR="00B709D5" w:rsidRPr="00012C17">
        <w:rPr>
          <w:bCs/>
          <w:iCs/>
          <w:color w:val="000000"/>
          <w:sz w:val="24"/>
        </w:rPr>
        <w:t>, with sufficient accuracy,</w:t>
      </w:r>
      <w:r w:rsidRPr="00012C17">
        <w:rPr>
          <w:bCs/>
          <w:iCs/>
          <w:color w:val="000000"/>
          <w:sz w:val="24"/>
        </w:rPr>
        <w:t xml:space="preserve"> by the provisions of domestic law. The procedure must be such as to guarantee a fair, objective and </w:t>
      </w:r>
      <w:r w:rsidR="00B709D5" w:rsidRPr="00012C17">
        <w:rPr>
          <w:bCs/>
          <w:iCs/>
          <w:color w:val="000000"/>
          <w:sz w:val="24"/>
        </w:rPr>
        <w:t xml:space="preserve">sufficiently </w:t>
      </w:r>
      <w:r w:rsidRPr="00012C17">
        <w:rPr>
          <w:bCs/>
          <w:iCs/>
          <w:color w:val="000000"/>
          <w:sz w:val="24"/>
        </w:rPr>
        <w:t xml:space="preserve">reasoned decision and to prevent any abuse of power by the relevant authority. (See cases of ECtHR, </w:t>
      </w:r>
      <w:r w:rsidRPr="00012C17">
        <w:rPr>
          <w:bCs/>
          <w:i/>
          <w:color w:val="000000"/>
          <w:sz w:val="24"/>
        </w:rPr>
        <w:t>Podkolzina v. Latvia</w:t>
      </w:r>
      <w:r w:rsidRPr="00012C17">
        <w:rPr>
          <w:bCs/>
          <w:iCs/>
          <w:color w:val="000000"/>
          <w:sz w:val="24"/>
        </w:rPr>
        <w:t xml:space="preserve">, No. 46726/99, Judgment of 9 April 2002, paragraph 35, </w:t>
      </w:r>
      <w:r w:rsidRPr="00012C17">
        <w:rPr>
          <w:bCs/>
          <w:i/>
          <w:color w:val="000000"/>
          <w:sz w:val="24"/>
        </w:rPr>
        <w:t>Kovach v. Ukraine</w:t>
      </w:r>
      <w:r w:rsidRPr="00012C17">
        <w:rPr>
          <w:bCs/>
          <w:iCs/>
          <w:color w:val="000000"/>
          <w:sz w:val="24"/>
        </w:rPr>
        <w:t xml:space="preserve">, </w:t>
      </w:r>
      <w:r w:rsidR="00F45FBF" w:rsidRPr="00012C17">
        <w:rPr>
          <w:bCs/>
          <w:iCs/>
          <w:color w:val="000000"/>
          <w:sz w:val="24"/>
        </w:rPr>
        <w:t>cited above</w:t>
      </w:r>
      <w:r w:rsidRPr="00012C17">
        <w:rPr>
          <w:bCs/>
          <w:iCs/>
          <w:color w:val="000000"/>
          <w:sz w:val="24"/>
        </w:rPr>
        <w:t xml:space="preserve">, paragraphs 54-55, </w:t>
      </w:r>
      <w:r w:rsidRPr="00012C17">
        <w:rPr>
          <w:bCs/>
          <w:i/>
          <w:color w:val="000000"/>
          <w:sz w:val="24"/>
        </w:rPr>
        <w:t>Kerimova v. Azerbaijan</w:t>
      </w:r>
      <w:r w:rsidRPr="00012C17">
        <w:rPr>
          <w:bCs/>
          <w:iCs/>
          <w:color w:val="000000"/>
          <w:sz w:val="24"/>
        </w:rPr>
        <w:t xml:space="preserve">, No. 20799/06 Judgment of 30 September 2010, </w:t>
      </w:r>
      <w:r w:rsidR="007C43F3" w:rsidRPr="00012C17">
        <w:rPr>
          <w:bCs/>
          <w:color w:val="000000"/>
          <w:sz w:val="24"/>
        </w:rPr>
        <w:t>paragraphs</w:t>
      </w:r>
      <w:r w:rsidRPr="00012C17">
        <w:rPr>
          <w:bCs/>
          <w:iCs/>
          <w:color w:val="000000"/>
          <w:sz w:val="24"/>
        </w:rPr>
        <w:t xml:space="preserve"> 44-45; </w:t>
      </w:r>
      <w:r w:rsidRPr="00012C17">
        <w:rPr>
          <w:bCs/>
          <w:i/>
          <w:color w:val="000000"/>
          <w:sz w:val="24"/>
        </w:rPr>
        <w:t>Riza and Others v. Bulgaria</w:t>
      </w:r>
      <w:r w:rsidRPr="00012C17">
        <w:rPr>
          <w:bCs/>
          <w:iCs/>
          <w:color w:val="000000"/>
          <w:sz w:val="24"/>
        </w:rPr>
        <w:t>, cited above, paragraph 143).</w:t>
      </w:r>
    </w:p>
    <w:p w:rsidR="00B709D5" w:rsidRPr="00012C17" w:rsidRDefault="00B709D5" w:rsidP="001B11C5">
      <w:pPr>
        <w:pStyle w:val="ListParagraph"/>
        <w:spacing w:after="0" w:line="240" w:lineRule="auto"/>
        <w:rPr>
          <w:bCs/>
          <w:iCs/>
          <w:color w:val="000000"/>
          <w:sz w:val="24"/>
          <w:lang w:val="en-US"/>
        </w:rPr>
      </w:pPr>
    </w:p>
    <w:p w:rsidR="00B709D5" w:rsidRPr="00012C17" w:rsidRDefault="00B709D5" w:rsidP="001B11C5">
      <w:pPr>
        <w:numPr>
          <w:ilvl w:val="0"/>
          <w:numId w:val="1"/>
        </w:numPr>
        <w:spacing w:line="240" w:lineRule="auto"/>
        <w:ind w:left="630" w:hanging="630"/>
        <w:rPr>
          <w:bCs/>
          <w:iCs/>
          <w:color w:val="000000"/>
          <w:sz w:val="24"/>
        </w:rPr>
      </w:pPr>
      <w:r w:rsidRPr="00012C17">
        <w:rPr>
          <w:rFonts w:eastAsia="Times New Roman" w:cs="Calibri"/>
          <w:color w:val="000000"/>
          <w:sz w:val="24"/>
        </w:rPr>
        <w:t xml:space="preserve">The ECtHR </w:t>
      </w:r>
      <w:r w:rsidR="00012C17" w:rsidRPr="00012C17">
        <w:rPr>
          <w:rFonts w:eastAsia="Times New Roman" w:cs="Calibri"/>
          <w:color w:val="000000"/>
          <w:sz w:val="24"/>
        </w:rPr>
        <w:t>case-law</w:t>
      </w:r>
      <w:r w:rsidRPr="00012C17">
        <w:rPr>
          <w:rFonts w:eastAsia="Times New Roman" w:cs="Calibri"/>
          <w:color w:val="000000"/>
          <w:sz w:val="24"/>
        </w:rPr>
        <w:t xml:space="preserve"> </w:t>
      </w:r>
      <w:r w:rsidR="007672EE" w:rsidRPr="00012C17">
        <w:rPr>
          <w:rFonts w:eastAsia="Times New Roman" w:cs="Calibri"/>
          <w:color w:val="000000"/>
          <w:sz w:val="24"/>
        </w:rPr>
        <w:t xml:space="preserve">put emphasis on </w:t>
      </w:r>
      <w:r w:rsidRPr="00012C17">
        <w:rPr>
          <w:rFonts w:eastAsia="Times New Roman" w:cs="Calibri"/>
          <w:color w:val="000000"/>
          <w:sz w:val="24"/>
        </w:rPr>
        <w:t>some minimum safeguard measures against arbitrariness</w:t>
      </w:r>
      <w:r w:rsidR="00FB004D" w:rsidRPr="00012C17">
        <w:rPr>
          <w:rFonts w:eastAsia="Times New Roman" w:cs="Calibri"/>
          <w:color w:val="000000"/>
          <w:sz w:val="24"/>
        </w:rPr>
        <w:t>.</w:t>
      </w:r>
      <w:r w:rsidRPr="00012C17">
        <w:rPr>
          <w:rFonts w:eastAsia="Times New Roman" w:cs="Calibri"/>
          <w:color w:val="000000"/>
          <w:sz w:val="24"/>
        </w:rPr>
        <w:t xml:space="preserve"> (See ECtHR case, </w:t>
      </w:r>
      <w:r w:rsidRPr="00012C17">
        <w:rPr>
          <w:rFonts w:eastAsia="Times New Roman" w:cs="Calibri"/>
          <w:i/>
          <w:iCs/>
          <w:color w:val="000000"/>
          <w:sz w:val="24"/>
        </w:rPr>
        <w:t>Davydov and Others v. Russia</w:t>
      </w:r>
      <w:r w:rsidRPr="00012C17">
        <w:rPr>
          <w:rFonts w:eastAsia="Times New Roman" w:cs="Calibri"/>
          <w:color w:val="000000"/>
          <w:sz w:val="24"/>
        </w:rPr>
        <w:t>, no. 75947/11, Judgment of 30 May 2017,</w:t>
      </w:r>
      <w:r w:rsidR="007672EE" w:rsidRPr="00012C17">
        <w:rPr>
          <w:rFonts w:eastAsia="Times New Roman" w:cs="Calibri"/>
          <w:color w:val="000000"/>
          <w:sz w:val="24"/>
        </w:rPr>
        <w:t xml:space="preserve"> </w:t>
      </w:r>
      <w:r w:rsidRPr="00012C17">
        <w:rPr>
          <w:rFonts w:eastAsia="Times New Roman" w:cs="Calibri"/>
          <w:color w:val="000000"/>
          <w:sz w:val="24"/>
        </w:rPr>
        <w:t>paragraph 288). In this dispute, when included in such a review, the EC</w:t>
      </w:r>
      <w:r w:rsidR="007672EE" w:rsidRPr="00012C17">
        <w:rPr>
          <w:rFonts w:eastAsia="Times New Roman" w:cs="Calibri"/>
          <w:color w:val="000000"/>
          <w:sz w:val="24"/>
        </w:rPr>
        <w:t>t</w:t>
      </w:r>
      <w:r w:rsidRPr="00012C17">
        <w:rPr>
          <w:rFonts w:eastAsia="Times New Roman" w:cs="Calibri"/>
          <w:color w:val="000000"/>
          <w:sz w:val="24"/>
        </w:rPr>
        <w:t>HR is bound to ascertain whether the decision taken by the internal authority was arbitrary or manifestly unreasonable</w:t>
      </w:r>
      <w:r w:rsidR="00FB004D" w:rsidRPr="00012C17">
        <w:rPr>
          <w:rFonts w:eastAsia="Times New Roman" w:cs="Calibri"/>
          <w:color w:val="000000"/>
          <w:sz w:val="24"/>
        </w:rPr>
        <w:t xml:space="preserve">. </w:t>
      </w:r>
      <w:r w:rsidRPr="00012C17">
        <w:rPr>
          <w:rFonts w:eastAsia="Times New Roman" w:cs="Calibri"/>
          <w:color w:val="000000"/>
          <w:sz w:val="24"/>
        </w:rPr>
        <w:t>(</w:t>
      </w:r>
      <w:r w:rsidR="007672EE" w:rsidRPr="00012C17">
        <w:rPr>
          <w:rFonts w:eastAsia="Times New Roman" w:cs="Calibri"/>
          <w:color w:val="000000"/>
          <w:sz w:val="24"/>
        </w:rPr>
        <w:t>See ECtHR cases,</w:t>
      </w:r>
      <w:r w:rsidR="007672EE" w:rsidRPr="00012C17">
        <w:rPr>
          <w:rFonts w:eastAsia="Times New Roman" w:cs="Calibri"/>
          <w:i/>
          <w:iCs/>
          <w:color w:val="000000"/>
          <w:sz w:val="24"/>
        </w:rPr>
        <w:t xml:space="preserve"> </w:t>
      </w:r>
      <w:r w:rsidRPr="00012C17">
        <w:rPr>
          <w:rFonts w:eastAsia="Times New Roman" w:cs="Calibri"/>
          <w:i/>
          <w:iCs/>
          <w:color w:val="000000"/>
          <w:sz w:val="24"/>
        </w:rPr>
        <w:t>Riza and Others v. Bulgaria</w:t>
      </w:r>
      <w:r w:rsidRPr="00012C17">
        <w:rPr>
          <w:rFonts w:eastAsia="Times New Roman" w:cs="Calibri"/>
          <w:color w:val="000000"/>
          <w:sz w:val="24"/>
        </w:rPr>
        <w:t xml:space="preserve">, </w:t>
      </w:r>
      <w:r w:rsidR="00347D4F" w:rsidRPr="00012C17">
        <w:rPr>
          <w:rFonts w:eastAsia="Times New Roman" w:cs="Calibri"/>
          <w:color w:val="000000"/>
          <w:sz w:val="24"/>
        </w:rPr>
        <w:t xml:space="preserve">cited above, </w:t>
      </w:r>
      <w:r w:rsidRPr="00012C17">
        <w:rPr>
          <w:rFonts w:eastAsia="Times New Roman" w:cs="Calibri"/>
          <w:color w:val="000000"/>
          <w:sz w:val="24"/>
        </w:rPr>
        <w:t>paragraph 143</w:t>
      </w:r>
      <w:r w:rsidR="0066767B" w:rsidRPr="00012C17">
        <w:rPr>
          <w:rFonts w:eastAsia="Times New Roman" w:cs="Calibri"/>
          <w:color w:val="000000"/>
          <w:sz w:val="24"/>
        </w:rPr>
        <w:t xml:space="preserve">; </w:t>
      </w:r>
      <w:r w:rsidRPr="00012C17">
        <w:rPr>
          <w:rFonts w:eastAsia="Times New Roman" w:cs="Calibri"/>
          <w:i/>
          <w:iCs/>
          <w:color w:val="000000"/>
          <w:sz w:val="24"/>
        </w:rPr>
        <w:t>Kerimli and Alibeyli v. Azerbaijan</w:t>
      </w:r>
      <w:r w:rsidRPr="00012C17">
        <w:rPr>
          <w:rFonts w:eastAsia="Times New Roman" w:cs="Calibri"/>
          <w:color w:val="000000"/>
          <w:sz w:val="24"/>
        </w:rPr>
        <w:t xml:space="preserve">, </w:t>
      </w:r>
      <w:r w:rsidR="007672EE" w:rsidRPr="00012C17">
        <w:rPr>
          <w:rFonts w:eastAsia="Times New Roman" w:cs="Calibri"/>
          <w:color w:val="000000"/>
          <w:sz w:val="24"/>
        </w:rPr>
        <w:t xml:space="preserve">no. 18475/06 and 22444/06, Judgment of 10 January 2012, </w:t>
      </w:r>
      <w:r w:rsidR="007C43F3" w:rsidRPr="00012C17">
        <w:rPr>
          <w:bCs/>
          <w:color w:val="000000"/>
          <w:sz w:val="24"/>
        </w:rPr>
        <w:t>paragraphs</w:t>
      </w:r>
      <w:r w:rsidRPr="00012C17">
        <w:rPr>
          <w:rFonts w:eastAsia="Times New Roman" w:cs="Calibri"/>
          <w:color w:val="000000"/>
          <w:sz w:val="24"/>
        </w:rPr>
        <w:t xml:space="preserve"> 38-42, </w:t>
      </w:r>
      <w:r w:rsidRPr="00012C17">
        <w:rPr>
          <w:rFonts w:eastAsia="Times New Roman" w:cs="Calibri"/>
          <w:i/>
          <w:iCs/>
          <w:color w:val="000000"/>
          <w:sz w:val="24"/>
        </w:rPr>
        <w:t>Davydov and Others v. Russia</w:t>
      </w:r>
      <w:r w:rsidRPr="00012C17">
        <w:rPr>
          <w:rFonts w:eastAsia="Times New Roman" w:cs="Calibri"/>
          <w:color w:val="000000"/>
          <w:sz w:val="24"/>
        </w:rPr>
        <w:t>,</w:t>
      </w:r>
      <w:r w:rsidR="00347D4F" w:rsidRPr="00012C17">
        <w:rPr>
          <w:rFonts w:eastAsia="Times New Roman" w:cs="Calibri"/>
          <w:color w:val="000000"/>
          <w:sz w:val="24"/>
        </w:rPr>
        <w:t xml:space="preserve"> </w:t>
      </w:r>
      <w:r w:rsidR="007672EE" w:rsidRPr="00012C17">
        <w:rPr>
          <w:rFonts w:eastAsia="Times New Roman" w:cs="Calibri"/>
          <w:color w:val="000000"/>
          <w:sz w:val="24"/>
        </w:rPr>
        <w:t>cited above,</w:t>
      </w:r>
      <w:r w:rsidR="006E52F9" w:rsidRPr="00012C17">
        <w:rPr>
          <w:rFonts w:eastAsia="Times New Roman" w:cs="Calibri"/>
          <w:color w:val="000000"/>
          <w:sz w:val="24"/>
        </w:rPr>
        <w:t xml:space="preserve"> </w:t>
      </w:r>
      <w:r w:rsidR="007C43F3" w:rsidRPr="00012C17">
        <w:rPr>
          <w:bCs/>
          <w:color w:val="000000"/>
          <w:sz w:val="24"/>
        </w:rPr>
        <w:t>paragraph</w:t>
      </w:r>
      <w:r w:rsidR="007C43F3" w:rsidRPr="00012C17" w:rsidDel="007C43F3">
        <w:rPr>
          <w:rFonts w:eastAsia="Times New Roman" w:cs="Calibri"/>
          <w:color w:val="000000"/>
          <w:sz w:val="24"/>
        </w:rPr>
        <w:t xml:space="preserve"> </w:t>
      </w:r>
      <w:r w:rsidRPr="00012C17">
        <w:rPr>
          <w:rFonts w:eastAsia="Times New Roman" w:cs="Calibri"/>
          <w:color w:val="000000"/>
          <w:sz w:val="24"/>
        </w:rPr>
        <w:t>288).</w:t>
      </w:r>
    </w:p>
    <w:p w:rsidR="007672EE" w:rsidRPr="00012C17" w:rsidRDefault="007672EE" w:rsidP="001B11C5">
      <w:pPr>
        <w:spacing w:line="240" w:lineRule="auto"/>
        <w:ind w:left="630"/>
        <w:rPr>
          <w:bCs/>
          <w:iCs/>
          <w:color w:val="000000"/>
          <w:sz w:val="24"/>
        </w:rPr>
      </w:pPr>
    </w:p>
    <w:p w:rsidR="007672EE" w:rsidRPr="00012C17" w:rsidRDefault="007672EE" w:rsidP="001B11C5">
      <w:pPr>
        <w:numPr>
          <w:ilvl w:val="0"/>
          <w:numId w:val="1"/>
        </w:numPr>
        <w:tabs>
          <w:tab w:val="left" w:pos="630"/>
        </w:tabs>
        <w:spacing w:line="240" w:lineRule="auto"/>
        <w:ind w:left="630" w:hanging="630"/>
        <w:rPr>
          <w:bCs/>
          <w:iCs/>
          <w:color w:val="000000"/>
          <w:sz w:val="24"/>
        </w:rPr>
      </w:pPr>
      <w:r w:rsidRPr="00012C17">
        <w:rPr>
          <w:rFonts w:eastAsia="Times New Roman" w:cs="Calibri"/>
          <w:color w:val="000000"/>
          <w:sz w:val="24"/>
        </w:rPr>
        <w:t>Based on the abovementioned elaborations, th</w:t>
      </w:r>
      <w:r w:rsidR="000647FB" w:rsidRPr="00012C17">
        <w:rPr>
          <w:rFonts w:eastAsia="Times New Roman" w:cs="Calibri"/>
          <w:color w:val="000000"/>
          <w:sz w:val="24"/>
        </w:rPr>
        <w:t>e standards of the member state</w:t>
      </w:r>
      <w:r w:rsidRPr="00012C17">
        <w:rPr>
          <w:rFonts w:eastAsia="Times New Roman" w:cs="Calibri"/>
          <w:color w:val="000000"/>
          <w:sz w:val="24"/>
        </w:rPr>
        <w:t>s</w:t>
      </w:r>
      <w:r w:rsidR="000647FB" w:rsidRPr="00012C17">
        <w:rPr>
          <w:rFonts w:eastAsia="Times New Roman" w:cs="Calibri"/>
          <w:color w:val="000000"/>
          <w:sz w:val="24"/>
        </w:rPr>
        <w:t xml:space="preserve"> </w:t>
      </w:r>
      <w:r w:rsidRPr="00012C17">
        <w:rPr>
          <w:rFonts w:eastAsia="Times New Roman" w:cs="Calibri"/>
          <w:color w:val="000000"/>
          <w:sz w:val="24"/>
        </w:rPr>
        <w:t>of the Venice Commission,</w:t>
      </w:r>
      <w:r w:rsidR="006E52F9" w:rsidRPr="00012C17">
        <w:rPr>
          <w:rFonts w:eastAsia="Times New Roman" w:cs="Calibri"/>
          <w:color w:val="000000"/>
          <w:sz w:val="24"/>
        </w:rPr>
        <w:t xml:space="preserve"> </w:t>
      </w:r>
      <w:r w:rsidRPr="00012C17">
        <w:rPr>
          <w:rFonts w:eastAsia="Times New Roman" w:cs="Calibri"/>
          <w:color w:val="000000"/>
          <w:sz w:val="24"/>
        </w:rPr>
        <w:t xml:space="preserve">as regards the </w:t>
      </w:r>
      <w:r w:rsidR="000647FB" w:rsidRPr="00012C17">
        <w:rPr>
          <w:rFonts w:eastAsia="Times New Roman" w:cs="Calibri"/>
          <w:color w:val="000000"/>
          <w:sz w:val="24"/>
        </w:rPr>
        <w:t>cancellation</w:t>
      </w:r>
      <w:r w:rsidRPr="00012C17">
        <w:rPr>
          <w:rFonts w:eastAsia="Times New Roman" w:cs="Calibri"/>
          <w:color w:val="000000"/>
          <w:sz w:val="24"/>
        </w:rPr>
        <w:t xml:space="preserve"> of the election result and relevant </w:t>
      </w:r>
      <w:r w:rsidR="00012C17" w:rsidRPr="00012C17">
        <w:rPr>
          <w:rFonts w:eastAsia="Times New Roman" w:cs="Calibri"/>
          <w:color w:val="000000"/>
          <w:sz w:val="24"/>
        </w:rPr>
        <w:t>case-law</w:t>
      </w:r>
      <w:r w:rsidRPr="00012C17">
        <w:rPr>
          <w:rFonts w:eastAsia="Times New Roman" w:cs="Calibri"/>
          <w:color w:val="000000"/>
          <w:sz w:val="24"/>
        </w:rPr>
        <w:t xml:space="preserve"> of the</w:t>
      </w:r>
      <w:r w:rsidR="006E52F9" w:rsidRPr="00012C17">
        <w:rPr>
          <w:rFonts w:eastAsia="Times New Roman" w:cs="Calibri"/>
          <w:color w:val="000000"/>
          <w:sz w:val="24"/>
        </w:rPr>
        <w:t xml:space="preserve"> </w:t>
      </w:r>
      <w:r w:rsidRPr="00012C17">
        <w:rPr>
          <w:rFonts w:eastAsia="Times New Roman" w:cs="Calibri"/>
          <w:color w:val="000000"/>
          <w:sz w:val="24"/>
        </w:rPr>
        <w:t xml:space="preserve">ECtHR, regarding the member states of the Council of Europe, the Court notes that the basic criteria that constitute the test whether the review of </w:t>
      </w:r>
      <w:r w:rsidR="000647FB" w:rsidRPr="00012C17">
        <w:rPr>
          <w:rFonts w:eastAsia="Times New Roman" w:cs="Calibri"/>
          <w:color w:val="000000"/>
          <w:sz w:val="24"/>
        </w:rPr>
        <w:t>complaints</w:t>
      </w:r>
      <w:r w:rsidRPr="00012C17">
        <w:rPr>
          <w:rFonts w:eastAsia="Times New Roman" w:cs="Calibri"/>
          <w:color w:val="000000"/>
          <w:sz w:val="24"/>
        </w:rPr>
        <w:t xml:space="preserve"> for challenging the election result</w:t>
      </w:r>
      <w:r w:rsidR="000647FB" w:rsidRPr="00012C17">
        <w:rPr>
          <w:rFonts w:eastAsia="Times New Roman" w:cs="Calibri"/>
          <w:color w:val="000000"/>
          <w:sz w:val="24"/>
        </w:rPr>
        <w:t>s</w:t>
      </w:r>
      <w:r w:rsidRPr="00012C17">
        <w:rPr>
          <w:rFonts w:eastAsia="Times New Roman" w:cs="Calibri"/>
          <w:color w:val="000000"/>
          <w:sz w:val="24"/>
        </w:rPr>
        <w:t xml:space="preserve"> could result in the cancellation of the same, are divided into two categories: (i) “</w:t>
      </w:r>
      <w:r w:rsidRPr="00012C17">
        <w:rPr>
          <w:rFonts w:eastAsia="Times New Roman" w:cs="Calibri"/>
          <w:i/>
          <w:iCs/>
          <w:color w:val="000000"/>
          <w:sz w:val="24"/>
        </w:rPr>
        <w:t>the powers of the authority making the decision”</w:t>
      </w:r>
      <w:r w:rsidRPr="00012C17">
        <w:rPr>
          <w:rFonts w:eastAsia="Times New Roman" w:cs="Calibri"/>
          <w:color w:val="000000"/>
          <w:sz w:val="24"/>
        </w:rPr>
        <w:t>; and (ii) “</w:t>
      </w:r>
      <w:r w:rsidRPr="00012C17">
        <w:rPr>
          <w:rFonts w:eastAsia="Times New Roman" w:cs="Calibri"/>
          <w:i/>
          <w:iCs/>
          <w:color w:val="000000"/>
          <w:sz w:val="24"/>
        </w:rPr>
        <w:t>its discretion and the relevant limitations</w:t>
      </w:r>
      <w:r w:rsidRPr="00012C17">
        <w:rPr>
          <w:rFonts w:eastAsia="Times New Roman" w:cs="Calibri"/>
          <w:color w:val="000000"/>
          <w:sz w:val="24"/>
        </w:rPr>
        <w:t xml:space="preserve">”. </w:t>
      </w:r>
    </w:p>
    <w:p w:rsidR="007672EE" w:rsidRPr="00012C17" w:rsidRDefault="007672EE" w:rsidP="001B11C5">
      <w:pPr>
        <w:spacing w:line="240" w:lineRule="auto"/>
        <w:ind w:left="810"/>
        <w:rPr>
          <w:rFonts w:eastAsia="Times New Roman" w:cs="Calibri"/>
          <w:color w:val="000000"/>
          <w:sz w:val="24"/>
        </w:rPr>
      </w:pPr>
    </w:p>
    <w:p w:rsidR="007672EE" w:rsidRPr="00012C17" w:rsidRDefault="007672EE" w:rsidP="001B11C5">
      <w:pPr>
        <w:numPr>
          <w:ilvl w:val="0"/>
          <w:numId w:val="1"/>
        </w:numPr>
        <w:spacing w:line="240" w:lineRule="auto"/>
        <w:ind w:left="630" w:hanging="630"/>
        <w:rPr>
          <w:bCs/>
          <w:iCs/>
          <w:color w:val="000000"/>
          <w:sz w:val="24"/>
        </w:rPr>
      </w:pPr>
      <w:r w:rsidRPr="00012C17">
        <w:rPr>
          <w:color w:val="000000"/>
          <w:sz w:val="24"/>
        </w:rPr>
        <w:t xml:space="preserve">Regarding the </w:t>
      </w:r>
      <w:r w:rsidR="00FF31B3" w:rsidRPr="00012C17">
        <w:rPr>
          <w:color w:val="000000"/>
          <w:sz w:val="24"/>
        </w:rPr>
        <w:t>first</w:t>
      </w:r>
      <w:r w:rsidRPr="00012C17">
        <w:rPr>
          <w:color w:val="000000"/>
          <w:sz w:val="24"/>
        </w:rPr>
        <w:t xml:space="preserve">, the Court notes that according to the standards and </w:t>
      </w:r>
      <w:r w:rsidR="00F45FBF" w:rsidRPr="00012C17">
        <w:rPr>
          <w:color w:val="000000"/>
          <w:sz w:val="24"/>
        </w:rPr>
        <w:t xml:space="preserve">the referred </w:t>
      </w:r>
      <w:r w:rsidRPr="00012C17">
        <w:rPr>
          <w:color w:val="000000"/>
          <w:sz w:val="24"/>
        </w:rPr>
        <w:t xml:space="preserve">practice, the authorities that examine the </w:t>
      </w:r>
      <w:r w:rsidR="00FF31B3" w:rsidRPr="00012C17">
        <w:rPr>
          <w:color w:val="000000"/>
          <w:sz w:val="24"/>
        </w:rPr>
        <w:t>election complaints</w:t>
      </w:r>
      <w:r w:rsidRPr="00012C17">
        <w:rPr>
          <w:color w:val="000000"/>
          <w:sz w:val="24"/>
        </w:rPr>
        <w:t xml:space="preserve"> should have (i) the possibility of </w:t>
      </w:r>
      <w:r w:rsidR="000647FB" w:rsidRPr="00012C17">
        <w:rPr>
          <w:color w:val="000000"/>
          <w:sz w:val="24"/>
        </w:rPr>
        <w:t>the cancellation</w:t>
      </w:r>
      <w:r w:rsidRPr="00012C17">
        <w:rPr>
          <w:color w:val="000000"/>
          <w:sz w:val="24"/>
        </w:rPr>
        <w:t xml:space="preserve"> of the elections; (ii) this opportunity should be used or limited to sufficient accuracy in the provisions of the applicable law; (iii) their duty is not to change the will of the voters</w:t>
      </w:r>
      <w:r w:rsidR="000647FB" w:rsidRPr="00012C17">
        <w:rPr>
          <w:color w:val="000000"/>
          <w:sz w:val="24"/>
        </w:rPr>
        <w:t>;</w:t>
      </w:r>
      <w:r w:rsidRPr="00012C17">
        <w:rPr>
          <w:color w:val="000000"/>
          <w:sz w:val="24"/>
        </w:rPr>
        <w:t xml:space="preserve"> and </w:t>
      </w:r>
      <w:r w:rsidR="000647FB" w:rsidRPr="00012C17">
        <w:rPr>
          <w:color w:val="000000"/>
          <w:sz w:val="24"/>
        </w:rPr>
        <w:t xml:space="preserve">(iv) it </w:t>
      </w:r>
      <w:r w:rsidRPr="00012C17">
        <w:rPr>
          <w:color w:val="000000"/>
          <w:sz w:val="24"/>
        </w:rPr>
        <w:t>should be limited in the sense of avoiding arbitrariness. Whereas, as regards the second, the Court notes that the discretion of the decision-making authorities should focus on the assessment (i) “</w:t>
      </w:r>
      <w:r w:rsidRPr="00012C17">
        <w:rPr>
          <w:i/>
          <w:iCs/>
          <w:color w:val="000000"/>
          <w:sz w:val="24"/>
        </w:rPr>
        <w:t xml:space="preserve">determination of the voter's </w:t>
      </w:r>
      <w:r w:rsidR="00FF31B3" w:rsidRPr="00012C17">
        <w:rPr>
          <w:i/>
          <w:iCs/>
          <w:color w:val="000000"/>
          <w:sz w:val="24"/>
        </w:rPr>
        <w:t>wish</w:t>
      </w:r>
      <w:r w:rsidRPr="00012C17">
        <w:rPr>
          <w:i/>
          <w:iCs/>
          <w:color w:val="000000"/>
          <w:sz w:val="24"/>
        </w:rPr>
        <w:t xml:space="preserve"> is impossible</w:t>
      </w:r>
      <w:r w:rsidRPr="00012C17">
        <w:rPr>
          <w:color w:val="000000"/>
          <w:sz w:val="24"/>
        </w:rPr>
        <w:t>” or</w:t>
      </w:r>
      <w:r w:rsidR="00FB004D" w:rsidRPr="00012C17">
        <w:rPr>
          <w:color w:val="000000"/>
          <w:sz w:val="24"/>
        </w:rPr>
        <w:t>,</w:t>
      </w:r>
      <w:r w:rsidRPr="00012C17">
        <w:rPr>
          <w:color w:val="000000"/>
          <w:sz w:val="24"/>
        </w:rPr>
        <w:t xml:space="preserve"> (ii) </w:t>
      </w:r>
      <w:r w:rsidR="00FB004D" w:rsidRPr="00012C17">
        <w:rPr>
          <w:color w:val="000000"/>
          <w:sz w:val="24"/>
        </w:rPr>
        <w:t>“</w:t>
      </w:r>
      <w:r w:rsidRPr="00012C17">
        <w:rPr>
          <w:i/>
          <w:iCs/>
          <w:color w:val="000000"/>
          <w:sz w:val="24"/>
        </w:rPr>
        <w:t xml:space="preserve">such violations and irregularities </w:t>
      </w:r>
      <w:r w:rsidR="00F45FBF" w:rsidRPr="00012C17">
        <w:rPr>
          <w:i/>
          <w:iCs/>
          <w:color w:val="000000"/>
          <w:sz w:val="24"/>
        </w:rPr>
        <w:t xml:space="preserve">may </w:t>
      </w:r>
      <w:r w:rsidRPr="00012C17">
        <w:rPr>
          <w:i/>
          <w:iCs/>
          <w:color w:val="000000"/>
          <w:sz w:val="24"/>
        </w:rPr>
        <w:t>have influenced election result</w:t>
      </w:r>
      <w:r w:rsidRPr="00012C17">
        <w:rPr>
          <w:color w:val="000000"/>
          <w:sz w:val="24"/>
        </w:rPr>
        <w:t xml:space="preserve">”. The </w:t>
      </w:r>
      <w:r w:rsidR="00012C17" w:rsidRPr="00012C17">
        <w:rPr>
          <w:color w:val="000000"/>
          <w:sz w:val="24"/>
        </w:rPr>
        <w:t>case-law</w:t>
      </w:r>
      <w:r w:rsidRPr="00012C17">
        <w:rPr>
          <w:color w:val="000000"/>
          <w:sz w:val="24"/>
        </w:rPr>
        <w:t xml:space="preserve"> of the European </w:t>
      </w:r>
      <w:r w:rsidR="003532BE" w:rsidRPr="00012C17">
        <w:rPr>
          <w:color w:val="000000"/>
          <w:sz w:val="24"/>
        </w:rPr>
        <w:t>c</w:t>
      </w:r>
      <w:r w:rsidRPr="00012C17">
        <w:rPr>
          <w:color w:val="000000"/>
          <w:sz w:val="24"/>
        </w:rPr>
        <w:t xml:space="preserve">ourts and </w:t>
      </w:r>
      <w:r w:rsidR="003532BE" w:rsidRPr="00012C17">
        <w:rPr>
          <w:color w:val="000000"/>
          <w:sz w:val="24"/>
        </w:rPr>
        <w:t xml:space="preserve">the case-law </w:t>
      </w:r>
      <w:r w:rsidRPr="00012C17">
        <w:rPr>
          <w:color w:val="000000"/>
          <w:sz w:val="24"/>
        </w:rPr>
        <w:t xml:space="preserve">of the </w:t>
      </w:r>
      <w:r w:rsidRPr="00012C17">
        <w:rPr>
          <w:color w:val="000000"/>
          <w:sz w:val="24"/>
        </w:rPr>
        <w:lastRenderedPageBreak/>
        <w:t xml:space="preserve">ECtHR, as elaborated above, shows that this test </w:t>
      </w:r>
      <w:r w:rsidR="000647FB" w:rsidRPr="00012C17">
        <w:rPr>
          <w:color w:val="000000"/>
          <w:sz w:val="24"/>
        </w:rPr>
        <w:t>has been</w:t>
      </w:r>
      <w:r w:rsidRPr="00012C17">
        <w:rPr>
          <w:color w:val="000000"/>
          <w:sz w:val="24"/>
        </w:rPr>
        <w:t xml:space="preserve"> interpreted in a conservative manner and that cases in which </w:t>
      </w:r>
      <w:r w:rsidR="000647FB" w:rsidRPr="00012C17">
        <w:rPr>
          <w:color w:val="000000"/>
          <w:sz w:val="24"/>
        </w:rPr>
        <w:t xml:space="preserve">the </w:t>
      </w:r>
      <w:r w:rsidRPr="00012C17">
        <w:rPr>
          <w:color w:val="000000"/>
          <w:sz w:val="24"/>
        </w:rPr>
        <w:t xml:space="preserve">courts have canceled election results are cases of substantial violations of law and that reflect apparent arbitrariness. </w:t>
      </w:r>
    </w:p>
    <w:p w:rsidR="00FF31B3" w:rsidRPr="00012C17" w:rsidRDefault="00FF31B3" w:rsidP="001B11C5">
      <w:pPr>
        <w:spacing w:line="240" w:lineRule="auto"/>
        <w:ind w:left="630"/>
        <w:rPr>
          <w:bCs/>
          <w:iCs/>
          <w:color w:val="000000"/>
          <w:sz w:val="24"/>
        </w:rPr>
      </w:pPr>
    </w:p>
    <w:p w:rsidR="00485172" w:rsidRPr="00012C17" w:rsidRDefault="00FF31B3" w:rsidP="001B11C5">
      <w:pPr>
        <w:numPr>
          <w:ilvl w:val="0"/>
          <w:numId w:val="1"/>
        </w:numPr>
        <w:spacing w:line="240" w:lineRule="auto"/>
        <w:ind w:left="630" w:hanging="630"/>
        <w:rPr>
          <w:bCs/>
          <w:iCs/>
          <w:color w:val="000000"/>
          <w:sz w:val="24"/>
        </w:rPr>
      </w:pPr>
      <w:r w:rsidRPr="00012C17">
        <w:rPr>
          <w:bCs/>
          <w:iCs/>
          <w:color w:val="000000"/>
          <w:sz w:val="24"/>
        </w:rPr>
        <w:t xml:space="preserve">There is sufficient </w:t>
      </w:r>
      <w:r w:rsidR="00012C17" w:rsidRPr="00012C17">
        <w:rPr>
          <w:bCs/>
          <w:iCs/>
          <w:color w:val="000000"/>
          <w:sz w:val="24"/>
        </w:rPr>
        <w:t>case-law</w:t>
      </w:r>
      <w:r w:rsidRPr="00012C17">
        <w:rPr>
          <w:bCs/>
          <w:iCs/>
          <w:color w:val="000000"/>
          <w:sz w:val="24"/>
        </w:rPr>
        <w:t xml:space="preserve"> to assess whether “</w:t>
      </w:r>
      <w:r w:rsidRPr="00012C17">
        <w:rPr>
          <w:bCs/>
          <w:i/>
          <w:color w:val="000000"/>
          <w:sz w:val="24"/>
        </w:rPr>
        <w:t>irregularities may have affected the outcome</w:t>
      </w:r>
      <w:r w:rsidRPr="00012C17">
        <w:rPr>
          <w:bCs/>
          <w:iCs/>
          <w:color w:val="000000"/>
          <w:sz w:val="24"/>
        </w:rPr>
        <w:t xml:space="preserve">”. </w:t>
      </w:r>
      <w:r w:rsidRPr="00012C17">
        <w:rPr>
          <w:color w:val="000000"/>
          <w:sz w:val="24"/>
        </w:rPr>
        <w:t>The</w:t>
      </w:r>
      <w:r w:rsidR="00485172" w:rsidRPr="00012C17">
        <w:rPr>
          <w:color w:val="000000"/>
          <w:sz w:val="24"/>
        </w:rPr>
        <w:t xml:space="preserve"> European courts have found that </w:t>
      </w:r>
      <w:r w:rsidRPr="00012C17">
        <w:rPr>
          <w:color w:val="000000"/>
          <w:sz w:val="24"/>
        </w:rPr>
        <w:t>“</w:t>
      </w:r>
      <w:r w:rsidR="00485172" w:rsidRPr="00012C17">
        <w:rPr>
          <w:i/>
          <w:iCs/>
          <w:color w:val="000000"/>
          <w:sz w:val="24"/>
        </w:rPr>
        <w:t>the irregularities may have affected the election result</w:t>
      </w:r>
      <w:r w:rsidR="000647FB" w:rsidRPr="00012C17">
        <w:rPr>
          <w:i/>
          <w:iCs/>
          <w:color w:val="000000"/>
          <w:sz w:val="24"/>
        </w:rPr>
        <w:t>s</w:t>
      </w:r>
      <w:r w:rsidRPr="00012C17">
        <w:rPr>
          <w:i/>
          <w:iCs/>
          <w:color w:val="000000"/>
          <w:sz w:val="24"/>
        </w:rPr>
        <w:t>”</w:t>
      </w:r>
      <w:r w:rsidR="00485172" w:rsidRPr="00012C17">
        <w:rPr>
          <w:color w:val="000000"/>
          <w:sz w:val="24"/>
        </w:rPr>
        <w:t xml:space="preserve"> when there </w:t>
      </w:r>
      <w:r w:rsidR="000647FB" w:rsidRPr="00012C17">
        <w:rPr>
          <w:color w:val="000000"/>
          <w:sz w:val="24"/>
        </w:rPr>
        <w:t>has been</w:t>
      </w:r>
      <w:r w:rsidR="00485172" w:rsidRPr="00012C17">
        <w:rPr>
          <w:color w:val="000000"/>
          <w:sz w:val="24"/>
        </w:rPr>
        <w:t xml:space="preserve">: (i) a failure to meet the </w:t>
      </w:r>
      <w:r w:rsidRPr="00012C17">
        <w:rPr>
          <w:color w:val="000000"/>
          <w:sz w:val="24"/>
        </w:rPr>
        <w:t xml:space="preserve">necessary </w:t>
      </w:r>
      <w:r w:rsidR="00485172" w:rsidRPr="00012C17">
        <w:rPr>
          <w:color w:val="000000"/>
          <w:sz w:val="24"/>
        </w:rPr>
        <w:t>requirement to participate in the elections; (ii) errors in voter registration or nomination of candidates; (iii) breach of campaign regulation; (iv) violation of legislation applicable to the voting process; (v) violation in counting or reporting; and (vi) violations in the allocation of mandates.</w:t>
      </w:r>
      <w:r w:rsidRPr="00012C17">
        <w:rPr>
          <w:color w:val="000000"/>
          <w:sz w:val="24"/>
        </w:rPr>
        <w:t xml:space="preserve"> (</w:t>
      </w:r>
      <w:r w:rsidR="007C43F3" w:rsidRPr="00012C17">
        <w:rPr>
          <w:color w:val="000000"/>
          <w:sz w:val="24"/>
        </w:rPr>
        <w:t>See Report on the Cancellation of Results, p</w:t>
      </w:r>
      <w:r w:rsidRPr="00012C17">
        <w:rPr>
          <w:color w:val="000000"/>
          <w:sz w:val="24"/>
        </w:rPr>
        <w:t>aragraph 79</w:t>
      </w:r>
      <w:r w:rsidR="007C43F3" w:rsidRPr="00012C17">
        <w:rPr>
          <w:color w:val="000000"/>
          <w:sz w:val="24"/>
        </w:rPr>
        <w:t>)</w:t>
      </w:r>
      <w:r w:rsidRPr="00012C17">
        <w:rPr>
          <w:color w:val="000000"/>
          <w:sz w:val="24"/>
        </w:rPr>
        <w:t>.</w:t>
      </w:r>
    </w:p>
    <w:p w:rsidR="00FF31B3" w:rsidRPr="00012C17" w:rsidRDefault="00FF31B3" w:rsidP="001B11C5">
      <w:pPr>
        <w:pStyle w:val="ListParagraph"/>
        <w:spacing w:after="0" w:line="240" w:lineRule="auto"/>
        <w:rPr>
          <w:bCs/>
          <w:iCs/>
          <w:color w:val="000000"/>
          <w:sz w:val="24"/>
          <w:lang w:val="en-US"/>
        </w:rPr>
      </w:pPr>
    </w:p>
    <w:p w:rsidR="00485172" w:rsidRPr="00012C17" w:rsidRDefault="00485172" w:rsidP="001B11C5">
      <w:pPr>
        <w:numPr>
          <w:ilvl w:val="0"/>
          <w:numId w:val="1"/>
        </w:numPr>
        <w:spacing w:line="240" w:lineRule="auto"/>
        <w:ind w:left="634" w:hanging="634"/>
        <w:rPr>
          <w:bCs/>
          <w:iCs/>
          <w:color w:val="000000"/>
          <w:sz w:val="24"/>
        </w:rPr>
      </w:pPr>
      <w:r w:rsidRPr="00012C17">
        <w:rPr>
          <w:color w:val="000000"/>
          <w:sz w:val="24"/>
        </w:rPr>
        <w:t xml:space="preserve">The above mentioned categories under (iv) and (v), </w:t>
      </w:r>
      <w:r w:rsidR="00FF31B3" w:rsidRPr="00012C17">
        <w:rPr>
          <w:color w:val="000000"/>
          <w:sz w:val="24"/>
        </w:rPr>
        <w:t>“</w:t>
      </w:r>
      <w:r w:rsidRPr="00012C17">
        <w:rPr>
          <w:i/>
          <w:iCs/>
          <w:color w:val="000000"/>
          <w:sz w:val="24"/>
        </w:rPr>
        <w:t>violation of the applicable legislation during the voting process</w:t>
      </w:r>
      <w:r w:rsidR="00FF31B3" w:rsidRPr="00012C17">
        <w:rPr>
          <w:i/>
          <w:iCs/>
          <w:color w:val="000000"/>
          <w:sz w:val="24"/>
        </w:rPr>
        <w:t>”</w:t>
      </w:r>
      <w:r w:rsidRPr="00012C17">
        <w:rPr>
          <w:color w:val="000000"/>
          <w:sz w:val="24"/>
        </w:rPr>
        <w:t xml:space="preserve"> and </w:t>
      </w:r>
      <w:r w:rsidR="00FF31B3" w:rsidRPr="00012C17">
        <w:rPr>
          <w:color w:val="000000"/>
          <w:sz w:val="24"/>
        </w:rPr>
        <w:t>“</w:t>
      </w:r>
      <w:r w:rsidRPr="00012C17">
        <w:rPr>
          <w:i/>
          <w:iCs/>
          <w:color w:val="000000"/>
          <w:sz w:val="24"/>
        </w:rPr>
        <w:t>violation during the counting and reporting process</w:t>
      </w:r>
      <w:r w:rsidR="00FF31B3" w:rsidRPr="00012C17">
        <w:rPr>
          <w:color w:val="000000"/>
          <w:sz w:val="24"/>
        </w:rPr>
        <w:t>”</w:t>
      </w:r>
      <w:r w:rsidRPr="00012C17">
        <w:rPr>
          <w:color w:val="000000"/>
          <w:sz w:val="24"/>
        </w:rPr>
        <w:t xml:space="preserve">, closely coincide with the circumstances of the </w:t>
      </w:r>
      <w:r w:rsidR="00FF31B3" w:rsidRPr="00012C17">
        <w:rPr>
          <w:color w:val="000000"/>
          <w:sz w:val="24"/>
        </w:rPr>
        <w:t>present</w:t>
      </w:r>
      <w:r w:rsidRPr="00012C17">
        <w:rPr>
          <w:color w:val="000000"/>
          <w:sz w:val="24"/>
        </w:rPr>
        <w:t xml:space="preserve"> case, so the Court will also summarize the cases when the respective courts have found violations.</w:t>
      </w:r>
    </w:p>
    <w:p w:rsidR="00FF31B3" w:rsidRPr="00012C17" w:rsidRDefault="00FF31B3" w:rsidP="001B11C5">
      <w:pPr>
        <w:pStyle w:val="ListParagraph"/>
        <w:spacing w:after="0" w:line="240" w:lineRule="auto"/>
        <w:rPr>
          <w:bCs/>
          <w:iCs/>
          <w:color w:val="000000"/>
          <w:sz w:val="24"/>
          <w:lang w:val="en-US"/>
        </w:rPr>
      </w:pPr>
    </w:p>
    <w:p w:rsidR="00485172" w:rsidRPr="00012C17" w:rsidRDefault="00485172" w:rsidP="001B11C5">
      <w:pPr>
        <w:numPr>
          <w:ilvl w:val="0"/>
          <w:numId w:val="1"/>
        </w:numPr>
        <w:spacing w:line="240" w:lineRule="auto"/>
        <w:ind w:left="634" w:hanging="634"/>
        <w:rPr>
          <w:bCs/>
          <w:iCs/>
          <w:color w:val="000000"/>
          <w:sz w:val="24"/>
        </w:rPr>
      </w:pPr>
      <w:r w:rsidRPr="00012C17">
        <w:rPr>
          <w:color w:val="000000"/>
          <w:sz w:val="24"/>
        </w:rPr>
        <w:t xml:space="preserve">According to the Venice Commission, </w:t>
      </w:r>
      <w:r w:rsidR="005C4218" w:rsidRPr="00012C17">
        <w:rPr>
          <w:color w:val="000000"/>
          <w:sz w:val="24"/>
        </w:rPr>
        <w:t xml:space="preserve">the European courts to which the latter refers, </w:t>
      </w:r>
      <w:r w:rsidRPr="00012C17">
        <w:rPr>
          <w:color w:val="000000"/>
          <w:sz w:val="24"/>
        </w:rPr>
        <w:t xml:space="preserve">found that the </w:t>
      </w:r>
      <w:r w:rsidR="005C4218" w:rsidRPr="00012C17">
        <w:rPr>
          <w:color w:val="000000"/>
          <w:sz w:val="24"/>
        </w:rPr>
        <w:t>“</w:t>
      </w:r>
      <w:r w:rsidR="000647FB" w:rsidRPr="00012C17">
        <w:rPr>
          <w:i/>
          <w:iCs/>
          <w:color w:val="000000"/>
          <w:sz w:val="24"/>
        </w:rPr>
        <w:t>the</w:t>
      </w:r>
      <w:r w:rsidR="000647FB" w:rsidRPr="00012C17">
        <w:rPr>
          <w:color w:val="000000"/>
          <w:sz w:val="24"/>
        </w:rPr>
        <w:t xml:space="preserve"> </w:t>
      </w:r>
      <w:r w:rsidR="005C4218" w:rsidRPr="00012C17">
        <w:rPr>
          <w:i/>
          <w:iCs/>
          <w:color w:val="000000"/>
          <w:sz w:val="24"/>
        </w:rPr>
        <w:t xml:space="preserve">legislation </w:t>
      </w:r>
      <w:r w:rsidR="000647FB" w:rsidRPr="00012C17">
        <w:rPr>
          <w:i/>
          <w:iCs/>
          <w:color w:val="000000"/>
          <w:sz w:val="24"/>
        </w:rPr>
        <w:t xml:space="preserve">applicable </w:t>
      </w:r>
      <w:r w:rsidR="005C4218" w:rsidRPr="00012C17">
        <w:rPr>
          <w:i/>
          <w:iCs/>
          <w:color w:val="000000"/>
          <w:sz w:val="24"/>
        </w:rPr>
        <w:t xml:space="preserve">on the </w:t>
      </w:r>
      <w:r w:rsidRPr="00012C17">
        <w:rPr>
          <w:i/>
          <w:iCs/>
          <w:color w:val="000000"/>
          <w:sz w:val="24"/>
        </w:rPr>
        <w:t>voting process</w:t>
      </w:r>
      <w:r w:rsidRPr="00012C17">
        <w:rPr>
          <w:color w:val="000000"/>
          <w:sz w:val="24"/>
        </w:rPr>
        <w:t xml:space="preserve"> </w:t>
      </w:r>
      <w:r w:rsidRPr="00012C17">
        <w:rPr>
          <w:i/>
          <w:iCs/>
          <w:color w:val="000000"/>
          <w:sz w:val="24"/>
        </w:rPr>
        <w:t>has been violated</w:t>
      </w:r>
      <w:r w:rsidR="000647FB" w:rsidRPr="00012C17">
        <w:rPr>
          <w:color w:val="000000"/>
          <w:sz w:val="24"/>
        </w:rPr>
        <w:t>”</w:t>
      </w:r>
      <w:r w:rsidRPr="00012C17">
        <w:rPr>
          <w:color w:val="000000"/>
          <w:sz w:val="24"/>
        </w:rPr>
        <w:t xml:space="preserve"> only when</w:t>
      </w:r>
      <w:r w:rsidR="000647FB" w:rsidRPr="00012C17">
        <w:rPr>
          <w:color w:val="000000"/>
          <w:sz w:val="24"/>
        </w:rPr>
        <w:t>:</w:t>
      </w:r>
      <w:r w:rsidRPr="00012C17">
        <w:rPr>
          <w:color w:val="000000"/>
          <w:sz w:val="24"/>
        </w:rPr>
        <w:t xml:space="preserve"> (i) </w:t>
      </w:r>
      <w:r w:rsidR="005C4218" w:rsidRPr="00012C17">
        <w:rPr>
          <w:color w:val="000000"/>
          <w:sz w:val="24"/>
        </w:rPr>
        <w:t>t</w:t>
      </w:r>
      <w:r w:rsidRPr="00012C17">
        <w:rPr>
          <w:color w:val="000000"/>
          <w:sz w:val="24"/>
        </w:rPr>
        <w:t>he elections had not started for more than 6 hours</w:t>
      </w:r>
      <w:r w:rsidR="005C4218" w:rsidRPr="00012C17">
        <w:rPr>
          <w:color w:val="000000"/>
          <w:sz w:val="24"/>
        </w:rPr>
        <w:t xml:space="preserve"> from the time scheduled</w:t>
      </w:r>
      <w:r w:rsidRPr="00012C17">
        <w:rPr>
          <w:color w:val="000000"/>
          <w:sz w:val="24"/>
        </w:rPr>
        <w:t xml:space="preserve">; (ii) </w:t>
      </w:r>
      <w:r w:rsidR="005C4218" w:rsidRPr="00012C17">
        <w:rPr>
          <w:color w:val="000000"/>
          <w:sz w:val="24"/>
        </w:rPr>
        <w:t>p</w:t>
      </w:r>
      <w:r w:rsidRPr="00012C17">
        <w:rPr>
          <w:color w:val="000000"/>
          <w:sz w:val="24"/>
        </w:rPr>
        <w:t xml:space="preserve">ublic order was disturbed on election day; (iii) </w:t>
      </w:r>
      <w:r w:rsidR="005C4218" w:rsidRPr="00012C17">
        <w:rPr>
          <w:color w:val="000000"/>
          <w:sz w:val="24"/>
        </w:rPr>
        <w:t>l</w:t>
      </w:r>
      <w:r w:rsidRPr="00012C17">
        <w:rPr>
          <w:color w:val="000000"/>
          <w:sz w:val="24"/>
        </w:rPr>
        <w:t xml:space="preserve">ack of ballot papers in the voting booth; (iv) </w:t>
      </w:r>
      <w:r w:rsidR="005C4218" w:rsidRPr="00012C17">
        <w:rPr>
          <w:color w:val="000000"/>
          <w:sz w:val="24"/>
        </w:rPr>
        <w:t>s</w:t>
      </w:r>
      <w:r w:rsidRPr="00012C17">
        <w:rPr>
          <w:color w:val="000000"/>
          <w:sz w:val="24"/>
        </w:rPr>
        <w:t xml:space="preserve">ome voters have voted several times or for others or their identity was not controlled; (v) </w:t>
      </w:r>
      <w:r w:rsidR="005C4218" w:rsidRPr="00012C17">
        <w:rPr>
          <w:color w:val="000000"/>
          <w:sz w:val="24"/>
        </w:rPr>
        <w:t>there was a f</w:t>
      </w:r>
      <w:r w:rsidRPr="00012C17">
        <w:rPr>
          <w:color w:val="000000"/>
          <w:sz w:val="24"/>
        </w:rPr>
        <w:t xml:space="preserve">amily voting; (vi) </w:t>
      </w:r>
      <w:r w:rsidR="005C4218" w:rsidRPr="00012C17">
        <w:rPr>
          <w:color w:val="000000"/>
          <w:sz w:val="24"/>
        </w:rPr>
        <w:t>i</w:t>
      </w:r>
      <w:r w:rsidRPr="00012C17">
        <w:rPr>
          <w:color w:val="000000"/>
          <w:sz w:val="24"/>
        </w:rPr>
        <w:t xml:space="preserve">ncapacity of the official representatives present at the polling stations; (vii) </w:t>
      </w:r>
      <w:r w:rsidR="005C4218" w:rsidRPr="00012C17">
        <w:rPr>
          <w:color w:val="000000"/>
          <w:sz w:val="24"/>
        </w:rPr>
        <w:t>d</w:t>
      </w:r>
      <w:r w:rsidRPr="00012C17">
        <w:rPr>
          <w:color w:val="000000"/>
          <w:sz w:val="24"/>
        </w:rPr>
        <w:t xml:space="preserve">ifference </w:t>
      </w:r>
      <w:r w:rsidR="005C4218" w:rsidRPr="00012C17">
        <w:rPr>
          <w:color w:val="000000"/>
          <w:sz w:val="24"/>
        </w:rPr>
        <w:t xml:space="preserve">and discrepancy </w:t>
      </w:r>
      <w:r w:rsidRPr="00012C17">
        <w:rPr>
          <w:color w:val="000000"/>
          <w:sz w:val="24"/>
        </w:rPr>
        <w:t xml:space="preserve">between the number of ballot papers in the polling box and the number of voters who signed the electoral register was evident; (viii) </w:t>
      </w:r>
      <w:r w:rsidR="005C4218" w:rsidRPr="00012C17">
        <w:rPr>
          <w:color w:val="000000"/>
          <w:sz w:val="24"/>
        </w:rPr>
        <w:t>a</w:t>
      </w:r>
      <w:r w:rsidRPr="00012C17">
        <w:rPr>
          <w:color w:val="000000"/>
          <w:sz w:val="24"/>
        </w:rPr>
        <w:t xml:space="preserve"> sealed package of ballot papers has been opened by </w:t>
      </w:r>
      <w:r w:rsidR="005C4218" w:rsidRPr="00012C17">
        <w:rPr>
          <w:color w:val="000000"/>
          <w:sz w:val="24"/>
        </w:rPr>
        <w:t>unauthorized</w:t>
      </w:r>
      <w:r w:rsidRPr="00012C17">
        <w:rPr>
          <w:color w:val="000000"/>
          <w:sz w:val="24"/>
        </w:rPr>
        <w:t xml:space="preserve"> civil servants; (ix) manipulation of votes of postal voting; (x) </w:t>
      </w:r>
      <w:r w:rsidR="005C4218" w:rsidRPr="00012C17">
        <w:rPr>
          <w:color w:val="000000"/>
          <w:sz w:val="24"/>
        </w:rPr>
        <w:t>b</w:t>
      </w:r>
      <w:r w:rsidRPr="00012C17">
        <w:rPr>
          <w:color w:val="000000"/>
          <w:sz w:val="24"/>
        </w:rPr>
        <w:t xml:space="preserve">allot papers have not been signed </w:t>
      </w:r>
      <w:r w:rsidR="005C4218" w:rsidRPr="00012C17">
        <w:rPr>
          <w:color w:val="000000"/>
          <w:sz w:val="24"/>
        </w:rPr>
        <w:t xml:space="preserve">and stamped </w:t>
      </w:r>
      <w:r w:rsidRPr="00012C17">
        <w:rPr>
          <w:color w:val="000000"/>
          <w:sz w:val="24"/>
        </w:rPr>
        <w:t xml:space="preserve">by the appropriate official; (xi) </w:t>
      </w:r>
      <w:r w:rsidR="005C4218" w:rsidRPr="00012C17">
        <w:rPr>
          <w:color w:val="000000"/>
          <w:sz w:val="24"/>
        </w:rPr>
        <w:t>a</w:t>
      </w:r>
      <w:r w:rsidRPr="00012C17">
        <w:rPr>
          <w:color w:val="000000"/>
          <w:sz w:val="24"/>
        </w:rPr>
        <w:t xml:space="preserve">ssistance provided by the personnel of a polling station to persons who were not in need of help; (xii) </w:t>
      </w:r>
      <w:r w:rsidR="005C4218" w:rsidRPr="00012C17">
        <w:rPr>
          <w:color w:val="000000"/>
          <w:sz w:val="24"/>
        </w:rPr>
        <w:t>n</w:t>
      </w:r>
      <w:r w:rsidRPr="00012C17">
        <w:rPr>
          <w:color w:val="000000"/>
          <w:sz w:val="24"/>
        </w:rPr>
        <w:t xml:space="preserve">o documentation of the voting process; (xiii) </w:t>
      </w:r>
      <w:r w:rsidR="005C4218" w:rsidRPr="00012C17">
        <w:rPr>
          <w:color w:val="000000"/>
          <w:sz w:val="24"/>
        </w:rPr>
        <w:t>v</w:t>
      </w:r>
      <w:r w:rsidRPr="00012C17">
        <w:rPr>
          <w:color w:val="000000"/>
          <w:sz w:val="24"/>
        </w:rPr>
        <w:t xml:space="preserve">oting after the polling stations were closed; (xiv) </w:t>
      </w:r>
      <w:r w:rsidR="005C4218" w:rsidRPr="00012C17">
        <w:rPr>
          <w:color w:val="000000"/>
          <w:sz w:val="24"/>
        </w:rPr>
        <w:t>n</w:t>
      </w:r>
      <w:r w:rsidRPr="00012C17">
        <w:rPr>
          <w:color w:val="000000"/>
          <w:sz w:val="24"/>
        </w:rPr>
        <w:t xml:space="preserve">o legal termination of the electoral procedure by the election administration. Whereas, according to the same </w:t>
      </w:r>
      <w:r w:rsidR="00012C17" w:rsidRPr="00012C17">
        <w:rPr>
          <w:color w:val="000000"/>
          <w:sz w:val="24"/>
        </w:rPr>
        <w:t>case-law</w:t>
      </w:r>
      <w:r w:rsidRPr="00012C17">
        <w:rPr>
          <w:color w:val="000000"/>
          <w:sz w:val="24"/>
        </w:rPr>
        <w:t>, “</w:t>
      </w:r>
      <w:r w:rsidR="00290A52" w:rsidRPr="00012C17">
        <w:rPr>
          <w:i/>
          <w:iCs/>
          <w:color w:val="000000"/>
          <w:sz w:val="24"/>
        </w:rPr>
        <w:t>violations</w:t>
      </w:r>
      <w:r w:rsidR="00290A52" w:rsidRPr="00012C17">
        <w:rPr>
          <w:color w:val="000000"/>
          <w:sz w:val="24"/>
        </w:rPr>
        <w:t xml:space="preserve"> </w:t>
      </w:r>
      <w:r w:rsidRPr="00012C17">
        <w:rPr>
          <w:i/>
          <w:iCs/>
          <w:color w:val="000000"/>
          <w:sz w:val="24"/>
        </w:rPr>
        <w:t>counting or reporting</w:t>
      </w:r>
      <w:r w:rsidRPr="00012C17">
        <w:rPr>
          <w:color w:val="000000"/>
          <w:sz w:val="24"/>
        </w:rPr>
        <w:t xml:space="preserve">” </w:t>
      </w:r>
      <w:r w:rsidR="00290A52" w:rsidRPr="00012C17">
        <w:rPr>
          <w:color w:val="000000"/>
          <w:sz w:val="24"/>
        </w:rPr>
        <w:t xml:space="preserve">have been found </w:t>
      </w:r>
      <w:r w:rsidRPr="00012C17">
        <w:rPr>
          <w:color w:val="000000"/>
          <w:sz w:val="24"/>
        </w:rPr>
        <w:t xml:space="preserve">when (i) </w:t>
      </w:r>
      <w:r w:rsidR="005C4218" w:rsidRPr="00012C17">
        <w:rPr>
          <w:color w:val="000000"/>
          <w:sz w:val="24"/>
        </w:rPr>
        <w:t>a</w:t>
      </w:r>
      <w:r w:rsidRPr="00012C17">
        <w:rPr>
          <w:color w:val="000000"/>
          <w:sz w:val="24"/>
        </w:rPr>
        <w:t>dvance vot</w:t>
      </w:r>
      <w:r w:rsidR="00FB004D" w:rsidRPr="00012C17">
        <w:rPr>
          <w:color w:val="000000"/>
          <w:sz w:val="24"/>
        </w:rPr>
        <w:t>ing</w:t>
      </w:r>
      <w:r w:rsidRPr="00012C17">
        <w:rPr>
          <w:color w:val="000000"/>
          <w:sz w:val="24"/>
        </w:rPr>
        <w:t xml:space="preserve"> (in those countries where it is allowed) have incorrectly been rejected by the electoral administration; (ii) </w:t>
      </w:r>
      <w:r w:rsidR="005C4218" w:rsidRPr="00012C17">
        <w:rPr>
          <w:color w:val="000000"/>
          <w:sz w:val="24"/>
        </w:rPr>
        <w:t>b</w:t>
      </w:r>
      <w:r w:rsidRPr="00012C17">
        <w:rPr>
          <w:color w:val="000000"/>
          <w:sz w:val="24"/>
        </w:rPr>
        <w:t xml:space="preserve">allot papers have been left unattended before counting; (iii) </w:t>
      </w:r>
      <w:r w:rsidR="005C4218" w:rsidRPr="00012C17">
        <w:rPr>
          <w:color w:val="000000"/>
          <w:sz w:val="24"/>
        </w:rPr>
        <w:t>e</w:t>
      </w:r>
      <w:r w:rsidRPr="00012C17">
        <w:rPr>
          <w:color w:val="000000"/>
          <w:sz w:val="24"/>
        </w:rPr>
        <w:t xml:space="preserve">xamination of ballot papers carried out by an </w:t>
      </w:r>
      <w:r w:rsidR="005C4218" w:rsidRPr="00012C17">
        <w:rPr>
          <w:color w:val="000000"/>
          <w:sz w:val="24"/>
        </w:rPr>
        <w:t>unauthorized</w:t>
      </w:r>
      <w:r w:rsidRPr="00012C17">
        <w:rPr>
          <w:color w:val="000000"/>
          <w:sz w:val="24"/>
        </w:rPr>
        <w:t xml:space="preserve"> person; (iv) </w:t>
      </w:r>
      <w:r w:rsidR="005C4218" w:rsidRPr="00012C17">
        <w:rPr>
          <w:color w:val="000000"/>
          <w:sz w:val="24"/>
        </w:rPr>
        <w:t>s</w:t>
      </w:r>
      <w:r w:rsidRPr="00012C17">
        <w:rPr>
          <w:color w:val="000000"/>
          <w:sz w:val="24"/>
        </w:rPr>
        <w:t xml:space="preserve">ome votes were counted twice; (v) </w:t>
      </w:r>
      <w:r w:rsidR="005C4218" w:rsidRPr="00012C17">
        <w:rPr>
          <w:color w:val="000000"/>
          <w:sz w:val="24"/>
        </w:rPr>
        <w:t>e</w:t>
      </w:r>
      <w:r w:rsidRPr="00012C17">
        <w:rPr>
          <w:color w:val="000000"/>
          <w:sz w:val="24"/>
        </w:rPr>
        <w:t>xamination of validity of the ballot papers was carried out according to different criteria by the election administration; (vi)</w:t>
      </w:r>
      <w:r w:rsidR="005C4218" w:rsidRPr="00012C17">
        <w:rPr>
          <w:color w:val="000000"/>
          <w:sz w:val="24"/>
        </w:rPr>
        <w:t xml:space="preserve"> w</w:t>
      </w:r>
      <w:r w:rsidRPr="00012C17">
        <w:rPr>
          <w:color w:val="000000"/>
          <w:sz w:val="24"/>
        </w:rPr>
        <w:t>rongful</w:t>
      </w:r>
      <w:r w:rsidR="005C4218" w:rsidRPr="00012C17">
        <w:rPr>
          <w:color w:val="000000"/>
          <w:sz w:val="24"/>
        </w:rPr>
        <w:t xml:space="preserve"> calculation of election result</w:t>
      </w:r>
      <w:r w:rsidRPr="00012C17">
        <w:rPr>
          <w:color w:val="000000"/>
          <w:sz w:val="24"/>
        </w:rPr>
        <w:t xml:space="preserve"> </w:t>
      </w:r>
      <w:r w:rsidR="005C4218" w:rsidRPr="00012C17">
        <w:rPr>
          <w:color w:val="000000"/>
          <w:sz w:val="24"/>
        </w:rPr>
        <w:t>(v</w:t>
      </w:r>
      <w:r w:rsidRPr="00012C17">
        <w:rPr>
          <w:color w:val="000000"/>
          <w:sz w:val="24"/>
        </w:rPr>
        <w:t xml:space="preserve">ii) </w:t>
      </w:r>
      <w:r w:rsidR="005C4218" w:rsidRPr="00012C17">
        <w:rPr>
          <w:color w:val="000000"/>
          <w:sz w:val="24"/>
        </w:rPr>
        <w:t>i</w:t>
      </w:r>
      <w:r w:rsidRPr="00012C17">
        <w:rPr>
          <w:color w:val="000000"/>
          <w:sz w:val="24"/>
        </w:rPr>
        <w:t xml:space="preserve">rregularities made in the election report which has not been signed by the members of the electoral board; (viii) </w:t>
      </w:r>
      <w:r w:rsidR="005C4218" w:rsidRPr="00012C17">
        <w:rPr>
          <w:color w:val="000000"/>
          <w:sz w:val="24"/>
        </w:rPr>
        <w:t>d</w:t>
      </w:r>
      <w:r w:rsidRPr="00012C17">
        <w:rPr>
          <w:color w:val="000000"/>
          <w:sz w:val="24"/>
        </w:rPr>
        <w:t xml:space="preserve">ocumentation and ballot papers have been sent open to central electoral bodies; and (ix) </w:t>
      </w:r>
      <w:r w:rsidR="005C4218" w:rsidRPr="00012C17">
        <w:rPr>
          <w:color w:val="000000"/>
          <w:sz w:val="24"/>
        </w:rPr>
        <w:t>f</w:t>
      </w:r>
      <w:r w:rsidRPr="00012C17">
        <w:rPr>
          <w:color w:val="000000"/>
          <w:sz w:val="24"/>
        </w:rPr>
        <w:t xml:space="preserve">alsification of results. </w:t>
      </w:r>
      <w:r w:rsidR="0066767B" w:rsidRPr="00012C17">
        <w:rPr>
          <w:color w:val="000000"/>
          <w:sz w:val="24"/>
        </w:rPr>
        <w:t>(See Section V, paragraphs 76-80, of the Report on the Cancellation of Election Results).</w:t>
      </w:r>
      <w:r w:rsidR="005C4218" w:rsidRPr="00012C17">
        <w:rPr>
          <w:color w:val="000000"/>
          <w:sz w:val="24"/>
        </w:rPr>
        <w:t>All these categories of cases in their entirety reflect substantive violations of law and electoral rules</w:t>
      </w:r>
      <w:r w:rsidR="00F45FBF" w:rsidRPr="00012C17">
        <w:rPr>
          <w:color w:val="000000"/>
          <w:sz w:val="24"/>
        </w:rPr>
        <w:t xml:space="preserve"> </w:t>
      </w:r>
      <w:r w:rsidR="00290A52" w:rsidRPr="00012C17">
        <w:rPr>
          <w:color w:val="000000"/>
          <w:sz w:val="24"/>
        </w:rPr>
        <w:t>and</w:t>
      </w:r>
      <w:r w:rsidR="00F45FBF" w:rsidRPr="00012C17">
        <w:rPr>
          <w:color w:val="000000"/>
          <w:sz w:val="24"/>
        </w:rPr>
        <w:t xml:space="preserve"> </w:t>
      </w:r>
      <w:r w:rsidR="0066767B" w:rsidRPr="00012C17">
        <w:rPr>
          <w:color w:val="000000"/>
          <w:sz w:val="24"/>
        </w:rPr>
        <w:t>evident</w:t>
      </w:r>
      <w:r w:rsidR="00F45FBF" w:rsidRPr="00012C17">
        <w:rPr>
          <w:color w:val="000000"/>
          <w:sz w:val="24"/>
        </w:rPr>
        <w:t xml:space="preserve"> </w:t>
      </w:r>
      <w:r w:rsidR="0066767B" w:rsidRPr="00012C17">
        <w:rPr>
          <w:color w:val="000000"/>
          <w:sz w:val="24"/>
        </w:rPr>
        <w:t>arbitrariness</w:t>
      </w:r>
      <w:r w:rsidR="005C4218" w:rsidRPr="00012C17">
        <w:rPr>
          <w:color w:val="000000"/>
          <w:sz w:val="24"/>
        </w:rPr>
        <w:t>.</w:t>
      </w:r>
    </w:p>
    <w:p w:rsidR="005C4218" w:rsidRPr="00012C17" w:rsidRDefault="005C4218" w:rsidP="001B11C5">
      <w:pPr>
        <w:spacing w:line="240" w:lineRule="auto"/>
        <w:ind w:left="634"/>
        <w:rPr>
          <w:bCs/>
          <w:iCs/>
          <w:color w:val="000000"/>
          <w:sz w:val="24"/>
        </w:rPr>
      </w:pPr>
    </w:p>
    <w:p w:rsidR="005C4218" w:rsidRPr="00012C17" w:rsidRDefault="005C4218" w:rsidP="001B11C5">
      <w:pPr>
        <w:numPr>
          <w:ilvl w:val="0"/>
          <w:numId w:val="1"/>
        </w:numPr>
        <w:spacing w:line="240" w:lineRule="auto"/>
        <w:ind w:left="634" w:hanging="634"/>
        <w:rPr>
          <w:bCs/>
          <w:iCs/>
          <w:color w:val="000000"/>
          <w:sz w:val="24"/>
        </w:rPr>
      </w:pPr>
      <w:r w:rsidRPr="00012C17">
        <w:rPr>
          <w:rFonts w:cs="Arial"/>
          <w:color w:val="000000"/>
          <w:sz w:val="24"/>
        </w:rPr>
        <w:lastRenderedPageBreak/>
        <w:t xml:space="preserve">In applying these principles in the circumstances of the present allegation, the Court recalls that the </w:t>
      </w:r>
      <w:r w:rsidR="00290A52" w:rsidRPr="00012C17">
        <w:rPr>
          <w:rFonts w:cs="Arial"/>
          <w:color w:val="000000"/>
          <w:sz w:val="24"/>
        </w:rPr>
        <w:t>f</w:t>
      </w:r>
      <w:r w:rsidRPr="00012C17">
        <w:rPr>
          <w:rFonts w:cs="Arial"/>
          <w:color w:val="000000"/>
          <w:sz w:val="24"/>
        </w:rPr>
        <w:t xml:space="preserve">irst Decision of the Supreme Court challenged by the Applicants through this allegation was brought as a result of the complaint of </w:t>
      </w:r>
      <w:r w:rsidR="00F05E0A" w:rsidRPr="00012C17">
        <w:rPr>
          <w:rFonts w:cs="Arial"/>
          <w:color w:val="000000"/>
          <w:sz w:val="24"/>
        </w:rPr>
        <w:t>VETËVENDOSJE! Movement</w:t>
      </w:r>
      <w:r w:rsidRPr="00012C17">
        <w:rPr>
          <w:rFonts w:cs="Arial"/>
          <w:color w:val="000000"/>
          <w:sz w:val="24"/>
        </w:rPr>
        <w:t xml:space="preserve"> in the Supreme Court against the Decision [ZL. A. No. 1102/2017] of 22 November 2017</w:t>
      </w:r>
      <w:r w:rsidR="003532BE" w:rsidRPr="00012C17">
        <w:rPr>
          <w:rFonts w:cs="Arial"/>
          <w:color w:val="000000"/>
          <w:sz w:val="24"/>
        </w:rPr>
        <w:t xml:space="preserve"> of ECAP</w:t>
      </w:r>
      <w:r w:rsidRPr="00012C17">
        <w:rPr>
          <w:rFonts w:cs="Arial"/>
          <w:color w:val="000000"/>
          <w:sz w:val="24"/>
        </w:rPr>
        <w:t>, which approved as grounded the appeal of the second Applicant in the ECAP against the CEC decision on the announcement of preliminary results. The ECAP decided and ordered the CEC to recount all ballot papers based on two main arguments: (i) “</w:t>
      </w:r>
      <w:r w:rsidRPr="00012C17">
        <w:rPr>
          <w:rFonts w:cs="Arial"/>
          <w:i/>
          <w:iCs/>
          <w:color w:val="000000"/>
          <w:sz w:val="24"/>
        </w:rPr>
        <w:t xml:space="preserve">the large number of invalid and </w:t>
      </w:r>
      <w:r w:rsidR="00BC0E77" w:rsidRPr="00012C17">
        <w:rPr>
          <w:rFonts w:cs="Arial"/>
          <w:i/>
          <w:iCs/>
          <w:color w:val="000000"/>
          <w:sz w:val="24"/>
        </w:rPr>
        <w:t>blank</w:t>
      </w:r>
      <w:r w:rsidRPr="00012C17">
        <w:rPr>
          <w:rFonts w:cs="Arial"/>
          <w:i/>
          <w:iCs/>
          <w:color w:val="000000"/>
          <w:sz w:val="24"/>
        </w:rPr>
        <w:t xml:space="preserve"> ballot papers</w:t>
      </w:r>
      <w:r w:rsidRPr="00012C17">
        <w:rPr>
          <w:rFonts w:cs="Arial"/>
          <w:color w:val="000000"/>
          <w:sz w:val="24"/>
        </w:rPr>
        <w:t>” and (ii) the “</w:t>
      </w:r>
      <w:r w:rsidRPr="00012C17">
        <w:rPr>
          <w:rFonts w:cs="Arial"/>
          <w:i/>
          <w:iCs/>
          <w:color w:val="000000"/>
          <w:sz w:val="24"/>
        </w:rPr>
        <w:t>narrow result between the two candidates</w:t>
      </w:r>
      <w:r w:rsidRPr="00012C17">
        <w:rPr>
          <w:rFonts w:cs="Arial"/>
          <w:color w:val="000000"/>
          <w:sz w:val="24"/>
        </w:rPr>
        <w:t>”. The Supreme Court modified this ECAP Decision, reasoning mainly that the ECAP reasoning was not based on law, because according to the Supreme Court (i) “</w:t>
      </w:r>
      <w:r w:rsidRPr="00012C17">
        <w:rPr>
          <w:rFonts w:cs="Arial"/>
          <w:i/>
          <w:iCs/>
          <w:color w:val="000000"/>
          <w:sz w:val="24"/>
        </w:rPr>
        <w:t xml:space="preserve">the large number of invalid and </w:t>
      </w:r>
      <w:r w:rsidR="00BC0E77" w:rsidRPr="00012C17">
        <w:rPr>
          <w:rFonts w:cs="Arial"/>
          <w:i/>
          <w:iCs/>
          <w:color w:val="000000"/>
          <w:sz w:val="24"/>
        </w:rPr>
        <w:t>blank</w:t>
      </w:r>
      <w:r w:rsidRPr="00012C17">
        <w:rPr>
          <w:rFonts w:cs="Arial"/>
          <w:i/>
          <w:iCs/>
          <w:color w:val="000000"/>
          <w:sz w:val="24"/>
        </w:rPr>
        <w:t xml:space="preserve"> ballot papers</w:t>
      </w:r>
      <w:r w:rsidRPr="00012C17">
        <w:rPr>
          <w:rFonts w:cs="Arial"/>
          <w:color w:val="000000"/>
          <w:sz w:val="24"/>
        </w:rPr>
        <w:t>” and nor (ii) the “</w:t>
      </w:r>
      <w:r w:rsidRPr="00012C17">
        <w:rPr>
          <w:rFonts w:cs="Arial"/>
          <w:i/>
          <w:iCs/>
          <w:color w:val="000000"/>
          <w:sz w:val="24"/>
        </w:rPr>
        <w:t>narrow result between the two candidates</w:t>
      </w:r>
      <w:r w:rsidRPr="00012C17">
        <w:rPr>
          <w:rFonts w:cs="Arial"/>
          <w:color w:val="000000"/>
          <w:sz w:val="24"/>
        </w:rPr>
        <w:t>” is not defined by law as a condition to decide on “recount” or “revote”.</w:t>
      </w:r>
    </w:p>
    <w:p w:rsidR="00F31DCF" w:rsidRPr="00012C17" w:rsidRDefault="00F31DCF" w:rsidP="001B11C5">
      <w:pPr>
        <w:pStyle w:val="ListParagraph"/>
        <w:spacing w:after="0" w:line="240" w:lineRule="auto"/>
        <w:rPr>
          <w:bCs/>
          <w:iCs/>
          <w:color w:val="000000"/>
          <w:sz w:val="24"/>
          <w:lang w:val="en-US"/>
        </w:rPr>
      </w:pPr>
    </w:p>
    <w:p w:rsidR="00F31DCF" w:rsidRPr="00012C17" w:rsidRDefault="00F31DCF" w:rsidP="001B11C5">
      <w:pPr>
        <w:numPr>
          <w:ilvl w:val="0"/>
          <w:numId w:val="1"/>
        </w:numPr>
        <w:spacing w:line="240" w:lineRule="auto"/>
        <w:ind w:left="630" w:hanging="630"/>
        <w:rPr>
          <w:bCs/>
          <w:iCs/>
          <w:color w:val="000000"/>
          <w:sz w:val="24"/>
        </w:rPr>
      </w:pPr>
      <w:r w:rsidRPr="00012C17">
        <w:rPr>
          <w:rFonts w:cs="Helvetica"/>
          <w:color w:val="000000"/>
          <w:sz w:val="24"/>
        </w:rPr>
        <w:t>In this regard, the Court notes that the general provisions of the LGE stipulate that “</w:t>
      </w:r>
      <w:r w:rsidRPr="00012C17">
        <w:rPr>
          <w:rFonts w:cs="Helvetica"/>
          <w:i/>
          <w:iCs/>
          <w:color w:val="000000"/>
          <w:sz w:val="24"/>
        </w:rPr>
        <w:t>the repetition of elections</w:t>
      </w:r>
      <w:r w:rsidRPr="00012C17">
        <w:rPr>
          <w:rFonts w:cs="Helvetica"/>
          <w:color w:val="000000"/>
          <w:sz w:val="24"/>
        </w:rPr>
        <w:t xml:space="preserve">” is one of the principles governing the procedure of counting the ballot papers. The LGE further specifies as a </w:t>
      </w:r>
      <w:r w:rsidRPr="00012C17">
        <w:rPr>
          <w:rFonts w:cs="Arial"/>
          <w:color w:val="000000"/>
          <w:sz w:val="24"/>
        </w:rPr>
        <w:t>“</w:t>
      </w:r>
      <w:r w:rsidRPr="00012C17">
        <w:rPr>
          <w:rFonts w:cs="Arial"/>
          <w:i/>
          <w:iCs/>
          <w:color w:val="000000"/>
          <w:sz w:val="24"/>
        </w:rPr>
        <w:t>recount</w:t>
      </w:r>
      <w:r w:rsidRPr="00012C17">
        <w:rPr>
          <w:rFonts w:cs="Arial"/>
          <w:color w:val="000000"/>
          <w:sz w:val="24"/>
        </w:rPr>
        <w:t>” or “</w:t>
      </w:r>
      <w:r w:rsidRPr="00012C17">
        <w:rPr>
          <w:rFonts w:cs="Arial"/>
          <w:i/>
          <w:iCs/>
          <w:color w:val="000000"/>
          <w:sz w:val="24"/>
        </w:rPr>
        <w:t>revote</w:t>
      </w:r>
      <w:r w:rsidRPr="00012C17">
        <w:rPr>
          <w:rFonts w:cs="Arial"/>
          <w:color w:val="000000"/>
          <w:sz w:val="24"/>
        </w:rPr>
        <w:t xml:space="preserve">” </w:t>
      </w:r>
      <w:r w:rsidRPr="00012C17">
        <w:rPr>
          <w:rFonts w:cs="Helvetica"/>
          <w:color w:val="000000"/>
          <w:sz w:val="24"/>
        </w:rPr>
        <w:t>option and this competence, according to the LGE, is left to: (i) the CEC, which may, based on paragraph 2 of Article 106, order the recount of votes at any polling station, counting center or even the repetition of voting at a polling station or in a municipality prior to certification of results; and (ii) the ECAP, which on the basis of paragraph 4 of Article 117 has the competence to order the recount of ballots at a polling station or polling centre as well as reviewing the voting material as part of the investigation of the complaint or appeal. This competence of the ECAP is further specified by Article 14 of the Law on Amending and Supplementing the LGE, namely item b of Article 120 of the LGE, according to which, the ECAP in “</w:t>
      </w:r>
      <w:r w:rsidRPr="00012C17">
        <w:rPr>
          <w:rFonts w:cs="Helvetica"/>
          <w:i/>
          <w:iCs/>
          <w:color w:val="000000"/>
          <w:sz w:val="24"/>
        </w:rPr>
        <w:t>exceptional cases</w:t>
      </w:r>
      <w:r w:rsidRPr="00012C17">
        <w:rPr>
          <w:rFonts w:cs="Helvetica"/>
          <w:color w:val="000000"/>
          <w:sz w:val="24"/>
        </w:rPr>
        <w:t>” and prior to certification of the election results, may cancel the election results at a polling station or a polling centre, ordering the CEC to repeat the same if it considers that the “</w:t>
      </w:r>
      <w:r w:rsidRPr="00012C17">
        <w:rPr>
          <w:rFonts w:cs="Helvetica"/>
          <w:i/>
          <w:iCs/>
          <w:color w:val="000000"/>
          <w:sz w:val="24"/>
        </w:rPr>
        <w:t>identified violations have an impact on the final results”</w:t>
      </w:r>
      <w:r w:rsidRPr="00012C17">
        <w:rPr>
          <w:rFonts w:cs="Helvetica"/>
          <w:color w:val="000000"/>
          <w:sz w:val="24"/>
        </w:rPr>
        <w:t xml:space="preserve">. </w:t>
      </w:r>
    </w:p>
    <w:p w:rsidR="00F31DCF" w:rsidRPr="00012C17" w:rsidRDefault="00F31DCF" w:rsidP="001B11C5">
      <w:pPr>
        <w:spacing w:line="240" w:lineRule="auto"/>
        <w:ind w:left="810"/>
        <w:rPr>
          <w:bCs/>
          <w:iCs/>
          <w:color w:val="000000"/>
          <w:sz w:val="24"/>
        </w:rPr>
      </w:pPr>
    </w:p>
    <w:p w:rsidR="00F31DCF" w:rsidRPr="00012C17" w:rsidRDefault="00F31DCF" w:rsidP="001B11C5">
      <w:pPr>
        <w:numPr>
          <w:ilvl w:val="0"/>
          <w:numId w:val="1"/>
        </w:numPr>
        <w:spacing w:line="240" w:lineRule="auto"/>
        <w:ind w:left="630" w:hanging="630"/>
        <w:rPr>
          <w:bCs/>
          <w:iCs/>
          <w:color w:val="000000"/>
          <w:sz w:val="24"/>
        </w:rPr>
      </w:pPr>
      <w:r w:rsidRPr="00012C17">
        <w:rPr>
          <w:bCs/>
          <w:iCs/>
          <w:color w:val="000000"/>
          <w:sz w:val="24"/>
        </w:rPr>
        <w:t>Accordingly, the Court notes that the possibility of “</w:t>
      </w:r>
      <w:r w:rsidRPr="00012C17">
        <w:rPr>
          <w:bCs/>
          <w:i/>
          <w:color w:val="000000"/>
          <w:sz w:val="24"/>
        </w:rPr>
        <w:t>recount</w:t>
      </w:r>
      <w:r w:rsidRPr="00012C17">
        <w:rPr>
          <w:bCs/>
          <w:iCs/>
          <w:color w:val="000000"/>
          <w:sz w:val="24"/>
        </w:rPr>
        <w:t>” and “</w:t>
      </w:r>
      <w:r w:rsidRPr="00012C17">
        <w:rPr>
          <w:bCs/>
          <w:i/>
          <w:color w:val="000000"/>
          <w:sz w:val="24"/>
        </w:rPr>
        <w:t>re-vot</w:t>
      </w:r>
      <w:r w:rsidR="00290A52" w:rsidRPr="00012C17">
        <w:rPr>
          <w:bCs/>
          <w:i/>
          <w:color w:val="000000"/>
          <w:sz w:val="24"/>
        </w:rPr>
        <w:t>e</w:t>
      </w:r>
      <w:r w:rsidRPr="00012C17">
        <w:rPr>
          <w:bCs/>
          <w:iCs/>
          <w:color w:val="000000"/>
          <w:sz w:val="24"/>
        </w:rPr>
        <w:t xml:space="preserve">” is clearly defined in the LGE and </w:t>
      </w:r>
      <w:r w:rsidR="00AB5D39" w:rsidRPr="00012C17">
        <w:rPr>
          <w:bCs/>
          <w:iCs/>
          <w:color w:val="000000"/>
          <w:sz w:val="24"/>
        </w:rPr>
        <w:t xml:space="preserve">its </w:t>
      </w:r>
      <w:r w:rsidRPr="00012C17">
        <w:rPr>
          <w:rFonts w:cs="Helvetica"/>
          <w:color w:val="000000"/>
          <w:sz w:val="24"/>
        </w:rPr>
        <w:t>relevant</w:t>
      </w:r>
      <w:r w:rsidRPr="00012C17">
        <w:rPr>
          <w:bCs/>
          <w:iCs/>
          <w:color w:val="000000"/>
          <w:sz w:val="24"/>
        </w:rPr>
        <w:t xml:space="preserve"> amendments and was further specified in the CEC and ECAP Regulations. While the LGE does not correctly count the criteria on which eventual violations during the electoral process would result in a recount or revote, the amend</w:t>
      </w:r>
      <w:r w:rsidR="00527660" w:rsidRPr="00012C17">
        <w:rPr>
          <w:bCs/>
          <w:iCs/>
          <w:color w:val="000000"/>
          <w:sz w:val="24"/>
        </w:rPr>
        <w:t>ment</w:t>
      </w:r>
      <w:r w:rsidRPr="00012C17">
        <w:rPr>
          <w:bCs/>
          <w:iCs/>
          <w:color w:val="000000"/>
          <w:sz w:val="24"/>
        </w:rPr>
        <w:t xml:space="preserve"> and supplement</w:t>
      </w:r>
      <w:r w:rsidR="00527660" w:rsidRPr="00012C17">
        <w:rPr>
          <w:bCs/>
          <w:iCs/>
          <w:color w:val="000000"/>
          <w:sz w:val="24"/>
        </w:rPr>
        <w:t>ation</w:t>
      </w:r>
      <w:r w:rsidRPr="00012C17">
        <w:rPr>
          <w:bCs/>
          <w:iCs/>
          <w:color w:val="000000"/>
          <w:sz w:val="24"/>
        </w:rPr>
        <w:t xml:space="preserve"> of the LGE set two conditions based on which the ECAP may decide to cancel the election result, and consequently order the repetition of the voting</w:t>
      </w:r>
      <w:r w:rsidR="00AB5D39" w:rsidRPr="00012C17">
        <w:rPr>
          <w:bCs/>
          <w:iCs/>
          <w:color w:val="000000"/>
          <w:sz w:val="24"/>
        </w:rPr>
        <w:t>, namely</w:t>
      </w:r>
      <w:r w:rsidRPr="00012C17">
        <w:rPr>
          <w:bCs/>
          <w:iCs/>
          <w:color w:val="000000"/>
          <w:sz w:val="24"/>
        </w:rPr>
        <w:t>: (i) “</w:t>
      </w:r>
      <w:r w:rsidRPr="00012C17">
        <w:rPr>
          <w:bCs/>
          <w:i/>
          <w:color w:val="000000"/>
          <w:sz w:val="24"/>
        </w:rPr>
        <w:t>extraordinary circumstances</w:t>
      </w:r>
      <w:r w:rsidRPr="00012C17">
        <w:rPr>
          <w:bCs/>
          <w:iCs/>
          <w:color w:val="000000"/>
          <w:sz w:val="24"/>
        </w:rPr>
        <w:t xml:space="preserve">” and (ii) </w:t>
      </w:r>
      <w:r w:rsidR="00527660" w:rsidRPr="00012C17">
        <w:rPr>
          <w:bCs/>
          <w:iCs/>
          <w:color w:val="000000"/>
          <w:sz w:val="24"/>
        </w:rPr>
        <w:t>“</w:t>
      </w:r>
      <w:r w:rsidRPr="00012C17">
        <w:rPr>
          <w:bCs/>
          <w:i/>
          <w:color w:val="000000"/>
          <w:sz w:val="24"/>
        </w:rPr>
        <w:t>whether the identified violations have an impact on the final outcome</w:t>
      </w:r>
      <w:r w:rsidRPr="00012C17">
        <w:rPr>
          <w:bCs/>
          <w:iCs/>
          <w:color w:val="000000"/>
          <w:sz w:val="24"/>
        </w:rPr>
        <w:t xml:space="preserve">”. The assessment of whether these two requirements are met </w:t>
      </w:r>
      <w:r w:rsidR="00290A52" w:rsidRPr="00012C17">
        <w:rPr>
          <w:bCs/>
          <w:iCs/>
          <w:color w:val="000000"/>
          <w:sz w:val="24"/>
        </w:rPr>
        <w:t>is</w:t>
      </w:r>
      <w:r w:rsidRPr="00012C17">
        <w:rPr>
          <w:bCs/>
          <w:iCs/>
          <w:color w:val="000000"/>
          <w:sz w:val="24"/>
        </w:rPr>
        <w:t xml:space="preserve"> at the discretion of the CEC in the context of </w:t>
      </w:r>
      <w:r w:rsidR="00527660" w:rsidRPr="00012C17">
        <w:rPr>
          <w:bCs/>
          <w:iCs/>
          <w:color w:val="000000"/>
          <w:sz w:val="24"/>
        </w:rPr>
        <w:t xml:space="preserve">paragraph 2 of </w:t>
      </w:r>
      <w:r w:rsidRPr="00012C17">
        <w:rPr>
          <w:bCs/>
          <w:iCs/>
          <w:color w:val="000000"/>
          <w:sz w:val="24"/>
        </w:rPr>
        <w:t>Article 106</w:t>
      </w:r>
      <w:r w:rsidR="00527660" w:rsidRPr="00012C17">
        <w:rPr>
          <w:bCs/>
          <w:iCs/>
          <w:color w:val="000000"/>
          <w:sz w:val="24"/>
        </w:rPr>
        <w:t xml:space="preserve"> of LGE in conjunction with Article 6 of the Law on Amending and Supplementing the LGE</w:t>
      </w:r>
      <w:r w:rsidRPr="00012C17">
        <w:rPr>
          <w:bCs/>
          <w:iCs/>
          <w:color w:val="000000"/>
          <w:sz w:val="24"/>
        </w:rPr>
        <w:t xml:space="preserve">; ECAP in the context of </w:t>
      </w:r>
      <w:r w:rsidR="00527660" w:rsidRPr="00012C17">
        <w:rPr>
          <w:bCs/>
          <w:iCs/>
          <w:color w:val="000000"/>
          <w:sz w:val="24"/>
        </w:rPr>
        <w:t xml:space="preserve">paragraph 4 of </w:t>
      </w:r>
      <w:r w:rsidRPr="00012C17">
        <w:rPr>
          <w:bCs/>
          <w:iCs/>
          <w:color w:val="000000"/>
          <w:sz w:val="24"/>
        </w:rPr>
        <w:t>Articles 117 of the LGE and Article 120 of the LGE</w:t>
      </w:r>
      <w:r w:rsidR="00527660" w:rsidRPr="00012C17">
        <w:rPr>
          <w:bCs/>
          <w:iCs/>
          <w:color w:val="000000"/>
          <w:sz w:val="24"/>
        </w:rPr>
        <w:t xml:space="preserve"> in conjunction with Article 14 of the Law on Amending and Supplementing LGE</w:t>
      </w:r>
      <w:r w:rsidRPr="00012C17">
        <w:rPr>
          <w:bCs/>
          <w:iCs/>
          <w:color w:val="000000"/>
          <w:sz w:val="24"/>
        </w:rPr>
        <w:t>, and the courts assessing the respective complaints.</w:t>
      </w:r>
    </w:p>
    <w:p w:rsidR="00527660" w:rsidRPr="00012C17" w:rsidRDefault="00527660" w:rsidP="001B11C5">
      <w:pPr>
        <w:pStyle w:val="ListParagraph"/>
        <w:spacing w:after="0" w:line="240" w:lineRule="auto"/>
        <w:rPr>
          <w:bCs/>
          <w:iCs/>
          <w:color w:val="000000"/>
          <w:sz w:val="24"/>
          <w:lang w:val="en-US"/>
        </w:rPr>
      </w:pPr>
    </w:p>
    <w:p w:rsidR="00527660" w:rsidRPr="00012C17" w:rsidRDefault="00F31DCF" w:rsidP="001B11C5">
      <w:pPr>
        <w:numPr>
          <w:ilvl w:val="0"/>
          <w:numId w:val="1"/>
        </w:numPr>
        <w:spacing w:line="240" w:lineRule="auto"/>
        <w:ind w:left="630" w:hanging="630"/>
        <w:rPr>
          <w:bCs/>
          <w:iCs/>
          <w:color w:val="000000"/>
          <w:sz w:val="24"/>
        </w:rPr>
      </w:pPr>
      <w:r w:rsidRPr="00012C17">
        <w:rPr>
          <w:color w:val="000000"/>
          <w:sz w:val="24"/>
        </w:rPr>
        <w:t>In this regard, the Court notes that the standards embodied in the applicable electoral legislation</w:t>
      </w:r>
      <w:r w:rsidR="00527660" w:rsidRPr="00012C17">
        <w:rPr>
          <w:color w:val="000000"/>
          <w:sz w:val="24"/>
        </w:rPr>
        <w:t xml:space="preserve">, also with regard to the competencies of decision making </w:t>
      </w:r>
      <w:r w:rsidR="00527660" w:rsidRPr="00012C17">
        <w:rPr>
          <w:color w:val="000000"/>
          <w:sz w:val="24"/>
        </w:rPr>
        <w:lastRenderedPageBreak/>
        <w:t xml:space="preserve">authorities and of setting the </w:t>
      </w:r>
      <w:r w:rsidR="00527660" w:rsidRPr="00012C17">
        <w:rPr>
          <w:rFonts w:cs="Helvetica"/>
          <w:color w:val="000000"/>
          <w:sz w:val="24"/>
        </w:rPr>
        <w:t>boundaries</w:t>
      </w:r>
      <w:r w:rsidR="00527660" w:rsidRPr="00012C17">
        <w:rPr>
          <w:color w:val="000000"/>
          <w:sz w:val="24"/>
        </w:rPr>
        <w:t xml:space="preserve"> of their discretion,</w:t>
      </w:r>
      <w:r w:rsidRPr="00012C17">
        <w:rPr>
          <w:color w:val="000000"/>
          <w:sz w:val="24"/>
        </w:rPr>
        <w:t xml:space="preserve"> are in the harmony with the practice of the Venice Commission member states and also the </w:t>
      </w:r>
      <w:r w:rsidR="00012C17" w:rsidRPr="00012C17">
        <w:rPr>
          <w:color w:val="000000"/>
          <w:sz w:val="24"/>
        </w:rPr>
        <w:t>case-law</w:t>
      </w:r>
      <w:r w:rsidRPr="00012C17">
        <w:rPr>
          <w:color w:val="000000"/>
          <w:sz w:val="24"/>
        </w:rPr>
        <w:t xml:space="preserve"> of the ECtHR. </w:t>
      </w:r>
    </w:p>
    <w:p w:rsidR="00527660" w:rsidRPr="00012C17" w:rsidRDefault="00527660" w:rsidP="001B11C5">
      <w:pPr>
        <w:pStyle w:val="ListParagraph"/>
        <w:spacing w:after="0" w:line="240" w:lineRule="auto"/>
        <w:rPr>
          <w:bCs/>
          <w:iCs/>
          <w:color w:val="000000"/>
          <w:sz w:val="24"/>
          <w:lang w:val="en-US"/>
        </w:rPr>
      </w:pPr>
    </w:p>
    <w:p w:rsidR="00725A3C" w:rsidRPr="00012C17" w:rsidRDefault="00725A3C" w:rsidP="001B11C5">
      <w:pPr>
        <w:numPr>
          <w:ilvl w:val="0"/>
          <w:numId w:val="1"/>
        </w:numPr>
        <w:spacing w:line="240" w:lineRule="auto"/>
        <w:ind w:left="630" w:hanging="630"/>
        <w:rPr>
          <w:bCs/>
          <w:iCs/>
          <w:color w:val="000000"/>
          <w:sz w:val="24"/>
        </w:rPr>
      </w:pPr>
      <w:r w:rsidRPr="00012C17">
        <w:rPr>
          <w:rFonts w:cs="Arial"/>
          <w:color w:val="000000"/>
          <w:sz w:val="24"/>
        </w:rPr>
        <w:t>In this regard, the Court notes that the reasoning and conclusion of the Supreme Court that the two criteria based on which the ECAP had ordered the recount</w:t>
      </w:r>
      <w:r w:rsidR="00AB5D39" w:rsidRPr="00012C17">
        <w:rPr>
          <w:rFonts w:cs="Arial"/>
          <w:color w:val="000000"/>
          <w:sz w:val="24"/>
        </w:rPr>
        <w:t>:</w:t>
      </w:r>
      <w:r w:rsidRPr="00012C17">
        <w:rPr>
          <w:rFonts w:cs="Arial"/>
          <w:color w:val="000000"/>
          <w:sz w:val="24"/>
        </w:rPr>
        <w:t xml:space="preserve"> (i) “</w:t>
      </w:r>
      <w:r w:rsidRPr="00012C17">
        <w:rPr>
          <w:rFonts w:cs="Arial"/>
          <w:i/>
          <w:iCs/>
          <w:color w:val="000000"/>
          <w:sz w:val="24"/>
        </w:rPr>
        <w:t>the large number of invalid and blank ballots</w:t>
      </w:r>
      <w:r w:rsidRPr="00012C17">
        <w:rPr>
          <w:rFonts w:cs="Arial"/>
          <w:color w:val="000000"/>
          <w:sz w:val="24"/>
        </w:rPr>
        <w:t>”, and (ii) the “</w:t>
      </w:r>
      <w:r w:rsidRPr="00012C17">
        <w:rPr>
          <w:rFonts w:cs="Arial"/>
          <w:i/>
          <w:iCs/>
          <w:color w:val="000000"/>
          <w:sz w:val="24"/>
        </w:rPr>
        <w:t>narrow result between the two candidates</w:t>
      </w:r>
      <w:r w:rsidRPr="00012C17">
        <w:rPr>
          <w:rFonts w:cs="Arial"/>
          <w:color w:val="000000"/>
          <w:sz w:val="24"/>
        </w:rPr>
        <w:t xml:space="preserve">”, were not grounds </w:t>
      </w:r>
      <w:r w:rsidR="00290A52" w:rsidRPr="00012C17">
        <w:rPr>
          <w:rFonts w:cs="Arial"/>
          <w:color w:val="000000"/>
          <w:sz w:val="24"/>
        </w:rPr>
        <w:t>established</w:t>
      </w:r>
      <w:r w:rsidR="001B11C5" w:rsidRPr="00012C17">
        <w:rPr>
          <w:rFonts w:cs="Arial"/>
          <w:color w:val="000000"/>
          <w:sz w:val="24"/>
        </w:rPr>
        <w:t xml:space="preserve"> </w:t>
      </w:r>
      <w:r w:rsidRPr="00012C17">
        <w:rPr>
          <w:rFonts w:cs="Arial"/>
          <w:color w:val="000000"/>
          <w:sz w:val="24"/>
        </w:rPr>
        <w:t xml:space="preserve">in the law to order the recount or revote, was correct and based on the LGE and the respective amendments. </w:t>
      </w:r>
    </w:p>
    <w:p w:rsidR="00725A3C" w:rsidRPr="00012C17" w:rsidRDefault="00725A3C" w:rsidP="001B11C5">
      <w:pPr>
        <w:pStyle w:val="ListParagraph"/>
        <w:spacing w:after="0" w:line="240" w:lineRule="auto"/>
        <w:rPr>
          <w:rFonts w:cs="Arial"/>
          <w:color w:val="000000"/>
          <w:sz w:val="24"/>
          <w:lang w:val="en-US"/>
        </w:rPr>
      </w:pPr>
    </w:p>
    <w:p w:rsidR="00725A3C" w:rsidRPr="00012C17" w:rsidRDefault="00725A3C" w:rsidP="001B11C5">
      <w:pPr>
        <w:numPr>
          <w:ilvl w:val="0"/>
          <w:numId w:val="1"/>
        </w:numPr>
        <w:spacing w:line="240" w:lineRule="auto"/>
        <w:ind w:left="630" w:hanging="630"/>
        <w:rPr>
          <w:bCs/>
          <w:iCs/>
          <w:color w:val="000000"/>
          <w:sz w:val="24"/>
        </w:rPr>
      </w:pPr>
      <w:r w:rsidRPr="00012C17">
        <w:rPr>
          <w:rFonts w:cs="Arial"/>
          <w:color w:val="000000"/>
          <w:sz w:val="24"/>
        </w:rPr>
        <w:t xml:space="preserve">Therefore, the Court concludes that the </w:t>
      </w:r>
      <w:r w:rsidR="00290A52" w:rsidRPr="00012C17">
        <w:rPr>
          <w:rFonts w:cs="Arial"/>
          <w:color w:val="000000"/>
          <w:sz w:val="24"/>
        </w:rPr>
        <w:t>f</w:t>
      </w:r>
      <w:r w:rsidRPr="00012C17">
        <w:rPr>
          <w:rFonts w:cs="Arial"/>
          <w:color w:val="000000"/>
          <w:sz w:val="24"/>
        </w:rPr>
        <w:t xml:space="preserve">irst Decision [AA. No. 52/2017] of the Supreme Court of 25 November 2017 challenged by the Applicants, did not apply the law in a manifestly arbitrary manner and </w:t>
      </w:r>
      <w:r w:rsidRPr="00012C17">
        <w:rPr>
          <w:color w:val="000000"/>
          <w:sz w:val="24"/>
        </w:rPr>
        <w:t>the latter did not violate the Applicants’ election rights. This is because</w:t>
      </w:r>
      <w:r w:rsidR="00AB5D39" w:rsidRPr="00012C17">
        <w:rPr>
          <w:color w:val="000000"/>
          <w:sz w:val="24"/>
        </w:rPr>
        <w:t>:</w:t>
      </w:r>
      <w:r w:rsidRPr="00012C17">
        <w:rPr>
          <w:color w:val="000000"/>
          <w:sz w:val="24"/>
        </w:rPr>
        <w:t xml:space="preserve"> (i) the reviewing complaint authority in the circumstances </w:t>
      </w:r>
      <w:r w:rsidR="00290A52" w:rsidRPr="00012C17">
        <w:rPr>
          <w:color w:val="000000"/>
          <w:sz w:val="24"/>
        </w:rPr>
        <w:t>of</w:t>
      </w:r>
      <w:r w:rsidRPr="00012C17">
        <w:rPr>
          <w:color w:val="000000"/>
          <w:sz w:val="24"/>
        </w:rPr>
        <w:t xml:space="preserve"> the present cases, the ECAP and the Supreme Court, </w:t>
      </w:r>
      <w:r w:rsidR="0066767B" w:rsidRPr="00012C17">
        <w:rPr>
          <w:color w:val="000000"/>
          <w:sz w:val="24"/>
        </w:rPr>
        <w:t xml:space="preserve">considered </w:t>
      </w:r>
      <w:r w:rsidRPr="00012C17">
        <w:rPr>
          <w:color w:val="000000"/>
          <w:sz w:val="24"/>
        </w:rPr>
        <w:t>that the “</w:t>
      </w:r>
      <w:r w:rsidRPr="00012C17">
        <w:rPr>
          <w:i/>
          <w:iCs/>
          <w:color w:val="000000"/>
          <w:sz w:val="24"/>
        </w:rPr>
        <w:t xml:space="preserve">the irregularities </w:t>
      </w:r>
      <w:r w:rsidR="0066767B" w:rsidRPr="00012C17">
        <w:rPr>
          <w:i/>
          <w:iCs/>
          <w:color w:val="000000"/>
          <w:sz w:val="24"/>
        </w:rPr>
        <w:t>do not have influence on</w:t>
      </w:r>
      <w:r w:rsidR="001B11C5" w:rsidRPr="00012C17">
        <w:rPr>
          <w:i/>
          <w:iCs/>
          <w:color w:val="000000"/>
          <w:sz w:val="24"/>
        </w:rPr>
        <w:t xml:space="preserve"> </w:t>
      </w:r>
      <w:r w:rsidRPr="00012C17">
        <w:rPr>
          <w:i/>
          <w:iCs/>
          <w:color w:val="000000"/>
          <w:sz w:val="24"/>
        </w:rPr>
        <w:t xml:space="preserve">the </w:t>
      </w:r>
      <w:r w:rsidR="0066767B" w:rsidRPr="00012C17">
        <w:rPr>
          <w:i/>
          <w:iCs/>
          <w:color w:val="000000"/>
          <w:sz w:val="24"/>
        </w:rPr>
        <w:t xml:space="preserve">final </w:t>
      </w:r>
      <w:r w:rsidRPr="00012C17">
        <w:rPr>
          <w:i/>
          <w:iCs/>
          <w:color w:val="000000"/>
          <w:sz w:val="24"/>
        </w:rPr>
        <w:t>result</w:t>
      </w:r>
      <w:r w:rsidR="0066767B" w:rsidRPr="00012C17">
        <w:rPr>
          <w:i/>
          <w:iCs/>
          <w:color w:val="000000"/>
          <w:sz w:val="24"/>
        </w:rPr>
        <w:t>s</w:t>
      </w:r>
      <w:r w:rsidRPr="00012C17">
        <w:rPr>
          <w:color w:val="000000"/>
          <w:sz w:val="24"/>
        </w:rPr>
        <w:t>”</w:t>
      </w:r>
      <w:r w:rsidR="00AB5D39" w:rsidRPr="00012C17">
        <w:rPr>
          <w:color w:val="000000"/>
          <w:sz w:val="24"/>
        </w:rPr>
        <w:t>;</w:t>
      </w:r>
      <w:r w:rsidRPr="00012C17">
        <w:rPr>
          <w:color w:val="000000"/>
          <w:sz w:val="24"/>
        </w:rPr>
        <w:t xml:space="preserve"> and</w:t>
      </w:r>
      <w:r w:rsidR="00AB5D39" w:rsidRPr="00012C17">
        <w:rPr>
          <w:color w:val="000000"/>
          <w:sz w:val="24"/>
        </w:rPr>
        <w:t xml:space="preserve"> </w:t>
      </w:r>
      <w:r w:rsidRPr="00012C17">
        <w:rPr>
          <w:color w:val="000000"/>
          <w:sz w:val="24"/>
        </w:rPr>
        <w:t>that (ii) the circumstances of the specific case and the respective allegations do not constitute “</w:t>
      </w:r>
      <w:r w:rsidRPr="00012C17">
        <w:rPr>
          <w:i/>
          <w:iCs/>
          <w:color w:val="000000"/>
          <w:sz w:val="24"/>
        </w:rPr>
        <w:t>exceptional circumstances”</w:t>
      </w:r>
      <w:r w:rsidRPr="00012C17">
        <w:rPr>
          <w:color w:val="000000"/>
          <w:sz w:val="24"/>
        </w:rPr>
        <w:t xml:space="preserve">. </w:t>
      </w:r>
    </w:p>
    <w:p w:rsidR="00527660" w:rsidRPr="00012C17" w:rsidRDefault="00527660" w:rsidP="001B11C5">
      <w:pPr>
        <w:spacing w:line="240" w:lineRule="auto"/>
        <w:ind w:left="810"/>
        <w:rPr>
          <w:bCs/>
          <w:iCs/>
          <w:color w:val="000000"/>
          <w:sz w:val="24"/>
        </w:rPr>
      </w:pPr>
    </w:p>
    <w:p w:rsidR="00E84FF8" w:rsidRPr="00012C17" w:rsidRDefault="00725A3C" w:rsidP="001B11C5">
      <w:pPr>
        <w:numPr>
          <w:ilvl w:val="0"/>
          <w:numId w:val="1"/>
        </w:numPr>
        <w:spacing w:line="240" w:lineRule="auto"/>
        <w:ind w:left="630" w:hanging="630"/>
        <w:rPr>
          <w:bCs/>
          <w:iCs/>
          <w:color w:val="000000"/>
          <w:sz w:val="24"/>
        </w:rPr>
      </w:pPr>
      <w:r w:rsidRPr="00012C17">
        <w:rPr>
          <w:color w:val="000000"/>
          <w:sz w:val="24"/>
        </w:rPr>
        <w:t>In addition</w:t>
      </w:r>
      <w:r w:rsidR="00E84FF8" w:rsidRPr="00012C17">
        <w:rPr>
          <w:color w:val="000000"/>
          <w:sz w:val="24"/>
        </w:rPr>
        <w:t xml:space="preserve">, </w:t>
      </w:r>
      <w:r w:rsidRPr="00012C17">
        <w:rPr>
          <w:color w:val="000000"/>
          <w:sz w:val="24"/>
        </w:rPr>
        <w:t xml:space="preserve">the Court notes that the circumstances of the present case and the allegations of the Applicants find no support in any of the cases of the ECtHR nor in the </w:t>
      </w:r>
      <w:r w:rsidR="00012C17" w:rsidRPr="00012C17">
        <w:rPr>
          <w:color w:val="000000"/>
          <w:sz w:val="24"/>
        </w:rPr>
        <w:t>case-law</w:t>
      </w:r>
      <w:r w:rsidRPr="00012C17">
        <w:rPr>
          <w:color w:val="000000"/>
          <w:sz w:val="24"/>
        </w:rPr>
        <w:t xml:space="preserve"> of the member states of the Venice Commission, as elaborated above</w:t>
      </w:r>
      <w:r w:rsidR="00E84FF8" w:rsidRPr="00012C17">
        <w:rPr>
          <w:color w:val="000000"/>
          <w:sz w:val="24"/>
        </w:rPr>
        <w:t xml:space="preserve">. </w:t>
      </w:r>
    </w:p>
    <w:p w:rsidR="00E84FF8" w:rsidRPr="00012C17" w:rsidRDefault="00E84FF8" w:rsidP="001B11C5">
      <w:pPr>
        <w:spacing w:line="240" w:lineRule="auto"/>
        <w:rPr>
          <w:color w:val="000000"/>
          <w:sz w:val="24"/>
        </w:rPr>
      </w:pPr>
    </w:p>
    <w:p w:rsidR="00E84FF8" w:rsidRPr="00012C17" w:rsidRDefault="00705C6C" w:rsidP="003532BE">
      <w:pPr>
        <w:spacing w:line="240" w:lineRule="auto"/>
        <w:ind w:left="630"/>
        <w:rPr>
          <w:bCs/>
          <w:i/>
          <w:iCs/>
          <w:color w:val="000000"/>
          <w:sz w:val="24"/>
        </w:rPr>
      </w:pPr>
      <w:r w:rsidRPr="00012C17">
        <w:rPr>
          <w:bCs/>
          <w:i/>
          <w:iCs/>
          <w:color w:val="000000"/>
          <w:sz w:val="24"/>
        </w:rPr>
        <w:t xml:space="preserve">(ii) </w:t>
      </w:r>
      <w:r w:rsidR="00E84FF8" w:rsidRPr="00012C17">
        <w:rPr>
          <w:bCs/>
          <w:i/>
          <w:iCs/>
          <w:color w:val="000000"/>
          <w:sz w:val="24"/>
        </w:rPr>
        <w:t>Regarding irregularities on the voting day</w:t>
      </w:r>
      <w:r w:rsidR="005D324B" w:rsidRPr="00012C17">
        <w:rPr>
          <w:bCs/>
          <w:i/>
          <w:iCs/>
          <w:color w:val="000000"/>
          <w:sz w:val="24"/>
        </w:rPr>
        <w:t xml:space="preserve"> and </w:t>
      </w:r>
      <w:r w:rsidR="00F45FBF" w:rsidRPr="00012C17">
        <w:rPr>
          <w:bCs/>
          <w:i/>
          <w:iCs/>
          <w:color w:val="000000"/>
          <w:sz w:val="24"/>
        </w:rPr>
        <w:t xml:space="preserve">deadline for </w:t>
      </w:r>
      <w:r w:rsidRPr="00012C17">
        <w:rPr>
          <w:bCs/>
          <w:i/>
          <w:iCs/>
          <w:color w:val="000000"/>
          <w:sz w:val="24"/>
        </w:rPr>
        <w:t xml:space="preserve">their </w:t>
      </w:r>
      <w:r w:rsidR="00F45FBF" w:rsidRPr="00012C17">
        <w:rPr>
          <w:bCs/>
          <w:i/>
          <w:iCs/>
          <w:color w:val="000000"/>
          <w:sz w:val="24"/>
        </w:rPr>
        <w:t xml:space="preserve">submission </w:t>
      </w:r>
    </w:p>
    <w:p w:rsidR="00E84FF8" w:rsidRPr="00012C17" w:rsidRDefault="00E84FF8" w:rsidP="001B11C5">
      <w:pPr>
        <w:spacing w:line="240" w:lineRule="auto"/>
        <w:rPr>
          <w:color w:val="000000"/>
          <w:sz w:val="24"/>
        </w:rPr>
      </w:pPr>
    </w:p>
    <w:p w:rsidR="00E84FF8" w:rsidRPr="00012C17" w:rsidRDefault="00E84FF8" w:rsidP="001B11C5">
      <w:pPr>
        <w:numPr>
          <w:ilvl w:val="0"/>
          <w:numId w:val="1"/>
        </w:numPr>
        <w:spacing w:line="240" w:lineRule="auto"/>
        <w:ind w:left="630" w:hanging="630"/>
        <w:rPr>
          <w:bCs/>
          <w:iCs/>
          <w:color w:val="000000"/>
          <w:sz w:val="24"/>
        </w:rPr>
      </w:pPr>
      <w:r w:rsidRPr="00012C17">
        <w:rPr>
          <w:bCs/>
          <w:iCs/>
          <w:color w:val="000000"/>
          <w:sz w:val="24"/>
        </w:rPr>
        <w:t xml:space="preserve">The Court recalls that the Applicants allege that the </w:t>
      </w:r>
      <w:r w:rsidR="00705C6C" w:rsidRPr="00012C17">
        <w:rPr>
          <w:bCs/>
          <w:iCs/>
          <w:color w:val="000000"/>
          <w:sz w:val="24"/>
        </w:rPr>
        <w:t>s</w:t>
      </w:r>
      <w:r w:rsidRPr="00012C17">
        <w:rPr>
          <w:bCs/>
          <w:iCs/>
          <w:color w:val="000000"/>
          <w:sz w:val="24"/>
        </w:rPr>
        <w:t xml:space="preserve">econd Decision [AA. U.ZH. No. 62/2017] of the Supreme Court has no legal basis. In this regard, the Applicants allege that </w:t>
      </w:r>
      <w:r w:rsidRPr="00012C17">
        <w:rPr>
          <w:rFonts w:cs="Helvetica"/>
          <w:color w:val="000000"/>
          <w:sz w:val="24"/>
        </w:rPr>
        <w:t>the</w:t>
      </w:r>
      <w:r w:rsidRPr="00012C17">
        <w:rPr>
          <w:bCs/>
          <w:iCs/>
          <w:color w:val="000000"/>
          <w:sz w:val="24"/>
        </w:rPr>
        <w:t xml:space="preserve"> reasoning of the Supreme Court that in the appeals proceedings it is limited only to the assessment of “</w:t>
      </w:r>
      <w:r w:rsidRPr="00012C17">
        <w:rPr>
          <w:bCs/>
          <w:i/>
          <w:color w:val="000000"/>
          <w:sz w:val="24"/>
        </w:rPr>
        <w:t>the irregularities related to the data administration</w:t>
      </w:r>
      <w:r w:rsidRPr="00012C17">
        <w:rPr>
          <w:bCs/>
          <w:iCs/>
          <w:color w:val="000000"/>
          <w:sz w:val="24"/>
        </w:rPr>
        <w:t xml:space="preserve">”, </w:t>
      </w:r>
      <w:r w:rsidR="000817BF" w:rsidRPr="00012C17">
        <w:rPr>
          <w:bCs/>
          <w:iCs/>
          <w:color w:val="000000"/>
          <w:sz w:val="24"/>
        </w:rPr>
        <w:t>does not have</w:t>
      </w:r>
      <w:r w:rsidRPr="00012C17">
        <w:rPr>
          <w:bCs/>
          <w:iCs/>
          <w:color w:val="000000"/>
          <w:sz w:val="24"/>
        </w:rPr>
        <w:t xml:space="preserve"> support in the applicable law. </w:t>
      </w:r>
      <w:r w:rsidR="000817BF" w:rsidRPr="00012C17">
        <w:rPr>
          <w:bCs/>
          <w:iCs/>
          <w:color w:val="000000"/>
          <w:sz w:val="24"/>
        </w:rPr>
        <w:t>According to the Applicants, the issues related to the</w:t>
      </w:r>
      <w:r w:rsidRPr="00012C17">
        <w:rPr>
          <w:bCs/>
          <w:iCs/>
          <w:color w:val="000000"/>
          <w:sz w:val="24"/>
        </w:rPr>
        <w:t xml:space="preserve"> “</w:t>
      </w:r>
      <w:r w:rsidRPr="00012C17">
        <w:rPr>
          <w:bCs/>
          <w:i/>
          <w:color w:val="000000"/>
          <w:sz w:val="24"/>
        </w:rPr>
        <w:t>irregularities regarding the administration of CRC data</w:t>
      </w:r>
      <w:r w:rsidRPr="00012C17">
        <w:rPr>
          <w:bCs/>
          <w:iCs/>
          <w:color w:val="000000"/>
          <w:sz w:val="24"/>
        </w:rPr>
        <w:t xml:space="preserve">” are based only on the special procedure provided for in Article 105 of the LGE, whereas the Applicants filed appeals pursuant to Article 119 of the LGE. In addition, the Applicants allege that Articles 118.4 and 119.1 of the LGE and the respective amendments and supplements recognize the right to supplement the appeals submitted to the ECAP with new evidence and facts. In this regard, the Applicants also refer to the Reports of the Venice Commission on Dispute Resolution, arguing that the admissibility criteria in such cases, should be clearly specified in the law in order to prevent the declaration of complaints as inadmissible. </w:t>
      </w:r>
    </w:p>
    <w:p w:rsidR="00375A4B" w:rsidRPr="00012C17" w:rsidRDefault="00375A4B" w:rsidP="001B11C5">
      <w:pPr>
        <w:spacing w:line="240" w:lineRule="auto"/>
        <w:ind w:left="720"/>
        <w:rPr>
          <w:bCs/>
          <w:iCs/>
          <w:color w:val="000000"/>
          <w:sz w:val="24"/>
        </w:rPr>
      </w:pPr>
    </w:p>
    <w:p w:rsidR="00375A4B" w:rsidRPr="00012C17" w:rsidRDefault="00375A4B" w:rsidP="001B11C5">
      <w:pPr>
        <w:numPr>
          <w:ilvl w:val="0"/>
          <w:numId w:val="1"/>
        </w:numPr>
        <w:spacing w:line="240" w:lineRule="auto"/>
        <w:ind w:left="630" w:hanging="630"/>
        <w:rPr>
          <w:bCs/>
          <w:iCs/>
          <w:color w:val="000000"/>
          <w:sz w:val="24"/>
        </w:rPr>
      </w:pPr>
      <w:r w:rsidRPr="00012C17">
        <w:rPr>
          <w:bCs/>
          <w:iCs/>
          <w:color w:val="000000"/>
          <w:sz w:val="24"/>
        </w:rPr>
        <w:t>The Court notes that,</w:t>
      </w:r>
      <w:r w:rsidR="001B11C5" w:rsidRPr="00012C17">
        <w:rPr>
          <w:bCs/>
          <w:iCs/>
          <w:color w:val="000000"/>
          <w:sz w:val="24"/>
        </w:rPr>
        <w:t xml:space="preserve"> </w:t>
      </w:r>
      <w:r w:rsidR="00FA0DC0" w:rsidRPr="00012C17">
        <w:rPr>
          <w:bCs/>
          <w:iCs/>
          <w:color w:val="000000"/>
          <w:sz w:val="24"/>
        </w:rPr>
        <w:t>in essence</w:t>
      </w:r>
      <w:r w:rsidRPr="00012C17">
        <w:rPr>
          <w:bCs/>
          <w:iCs/>
          <w:color w:val="000000"/>
          <w:sz w:val="24"/>
        </w:rPr>
        <w:t xml:space="preserve">, this </w:t>
      </w:r>
      <w:r w:rsidR="00FA0DC0" w:rsidRPr="00012C17">
        <w:rPr>
          <w:bCs/>
          <w:iCs/>
          <w:color w:val="000000"/>
          <w:sz w:val="24"/>
        </w:rPr>
        <w:t xml:space="preserve">allegation </w:t>
      </w:r>
      <w:r w:rsidRPr="00012C17">
        <w:rPr>
          <w:bCs/>
          <w:iCs/>
          <w:color w:val="000000"/>
          <w:sz w:val="24"/>
        </w:rPr>
        <w:t>of the Applicants concerns the declaration as out of time by the ECAP and the Supreme Court of the allegations of irregularities on the voting day</w:t>
      </w:r>
      <w:r w:rsidR="00FA0DC0" w:rsidRPr="00012C17">
        <w:rPr>
          <w:bCs/>
          <w:iCs/>
          <w:color w:val="000000"/>
          <w:sz w:val="24"/>
        </w:rPr>
        <w:t xml:space="preserve">, namely the allegations relating to (i) the use of road/taxi transport services; (ii) telephone calls; and (iii) sending sms by </w:t>
      </w:r>
      <w:r w:rsidR="00F05E0A" w:rsidRPr="00012C17">
        <w:rPr>
          <w:bCs/>
          <w:iCs/>
          <w:color w:val="000000"/>
          <w:sz w:val="24"/>
        </w:rPr>
        <w:t>VETËVENDOSJE! Movement</w:t>
      </w:r>
      <w:r w:rsidR="00FA0DC0" w:rsidRPr="00012C17">
        <w:rPr>
          <w:bCs/>
          <w:iCs/>
          <w:color w:val="000000"/>
          <w:sz w:val="24"/>
        </w:rPr>
        <w:t>,</w:t>
      </w:r>
      <w:r w:rsidRPr="00012C17">
        <w:rPr>
          <w:bCs/>
          <w:iCs/>
          <w:color w:val="000000"/>
          <w:sz w:val="24"/>
        </w:rPr>
        <w:t xml:space="preserve"> which were submitted to the ECAP after the announcement of the final result</w:t>
      </w:r>
      <w:r w:rsidR="00705C6C" w:rsidRPr="00012C17">
        <w:rPr>
          <w:bCs/>
          <w:iCs/>
          <w:color w:val="000000"/>
          <w:sz w:val="24"/>
        </w:rPr>
        <w:t>s</w:t>
      </w:r>
      <w:r w:rsidRPr="00012C17">
        <w:rPr>
          <w:bCs/>
          <w:iCs/>
          <w:color w:val="000000"/>
          <w:sz w:val="24"/>
        </w:rPr>
        <w:t>.</w:t>
      </w:r>
    </w:p>
    <w:p w:rsidR="00375A4B" w:rsidRPr="00012C17" w:rsidRDefault="00375A4B" w:rsidP="001B11C5">
      <w:pPr>
        <w:pStyle w:val="ListParagraph"/>
        <w:spacing w:after="0" w:line="240" w:lineRule="auto"/>
        <w:rPr>
          <w:bCs/>
          <w:iCs/>
          <w:color w:val="000000"/>
          <w:sz w:val="24"/>
          <w:lang w:val="en-US"/>
        </w:rPr>
      </w:pPr>
    </w:p>
    <w:p w:rsidR="00E84FF8" w:rsidRPr="00012C17" w:rsidRDefault="00E84FF8" w:rsidP="001B11C5">
      <w:pPr>
        <w:numPr>
          <w:ilvl w:val="0"/>
          <w:numId w:val="1"/>
        </w:numPr>
        <w:spacing w:line="240" w:lineRule="auto"/>
        <w:ind w:left="630" w:hanging="630"/>
        <w:rPr>
          <w:bCs/>
          <w:iCs/>
          <w:color w:val="000000"/>
          <w:sz w:val="24"/>
        </w:rPr>
      </w:pPr>
      <w:r w:rsidRPr="00012C17">
        <w:rPr>
          <w:rFonts w:eastAsia="Times New Roman" w:cs="Calibri"/>
          <w:color w:val="000000"/>
          <w:sz w:val="24"/>
        </w:rPr>
        <w:t xml:space="preserve">The context of this </w:t>
      </w:r>
      <w:r w:rsidR="00705C6C" w:rsidRPr="00012C17">
        <w:rPr>
          <w:rFonts w:eastAsia="Times New Roman" w:cs="Calibri"/>
          <w:color w:val="000000"/>
          <w:sz w:val="24"/>
        </w:rPr>
        <w:t>allegation raises</w:t>
      </w:r>
      <w:r w:rsidRPr="00012C17">
        <w:rPr>
          <w:rFonts w:eastAsia="Times New Roman" w:cs="Calibri"/>
          <w:color w:val="000000"/>
          <w:sz w:val="24"/>
        </w:rPr>
        <w:t xml:space="preserve"> </w:t>
      </w:r>
      <w:r w:rsidR="00375A4B" w:rsidRPr="00012C17">
        <w:rPr>
          <w:rFonts w:eastAsia="Times New Roman" w:cs="Calibri"/>
          <w:color w:val="000000"/>
          <w:sz w:val="24"/>
        </w:rPr>
        <w:t>four</w:t>
      </w:r>
      <w:r w:rsidRPr="00012C17">
        <w:rPr>
          <w:rFonts w:eastAsia="Times New Roman" w:cs="Calibri"/>
          <w:color w:val="000000"/>
          <w:sz w:val="24"/>
        </w:rPr>
        <w:t xml:space="preserve"> essential issues (i) the deadline for </w:t>
      </w:r>
      <w:r w:rsidR="00375A4B" w:rsidRPr="00012C17">
        <w:rPr>
          <w:rFonts w:eastAsia="Times New Roman" w:cs="Calibri"/>
          <w:color w:val="000000"/>
          <w:sz w:val="24"/>
        </w:rPr>
        <w:t>complaint</w:t>
      </w:r>
      <w:r w:rsidRPr="00012C17">
        <w:rPr>
          <w:rFonts w:eastAsia="Times New Roman" w:cs="Calibri"/>
          <w:color w:val="000000"/>
          <w:sz w:val="24"/>
        </w:rPr>
        <w:t xml:space="preserve">; (ii) the </w:t>
      </w:r>
      <w:r w:rsidR="00375A4B" w:rsidRPr="00012C17">
        <w:rPr>
          <w:rFonts w:eastAsia="Times New Roman" w:cs="Calibri"/>
          <w:color w:val="000000"/>
          <w:sz w:val="24"/>
        </w:rPr>
        <w:t>requirements</w:t>
      </w:r>
      <w:r w:rsidRPr="00012C17">
        <w:rPr>
          <w:rFonts w:eastAsia="Times New Roman" w:cs="Calibri"/>
          <w:color w:val="000000"/>
          <w:sz w:val="24"/>
        </w:rPr>
        <w:t xml:space="preserve"> for filing a complaint; (iii) the possibility of filing new evidence; and </w:t>
      </w:r>
      <w:r w:rsidR="00AB5D39" w:rsidRPr="00012C17">
        <w:rPr>
          <w:rFonts w:eastAsia="Times New Roman" w:cs="Calibri"/>
          <w:color w:val="000000"/>
          <w:sz w:val="24"/>
        </w:rPr>
        <w:t>(iv</w:t>
      </w:r>
      <w:r w:rsidRPr="00012C17">
        <w:rPr>
          <w:rFonts w:eastAsia="Times New Roman" w:cs="Calibri"/>
          <w:color w:val="000000"/>
          <w:sz w:val="24"/>
        </w:rPr>
        <w:t xml:space="preserve">) the competences of the authorities that review the </w:t>
      </w:r>
      <w:r w:rsidR="00705C6C" w:rsidRPr="00012C17">
        <w:rPr>
          <w:rFonts w:eastAsia="Times New Roman" w:cs="Calibri"/>
          <w:color w:val="000000"/>
          <w:sz w:val="24"/>
        </w:rPr>
        <w:t>complaints</w:t>
      </w:r>
      <w:r w:rsidRPr="00012C17">
        <w:rPr>
          <w:rFonts w:eastAsia="Times New Roman" w:cs="Calibri"/>
          <w:color w:val="000000"/>
          <w:sz w:val="24"/>
        </w:rPr>
        <w:t xml:space="preserve">. In this regard, the Court will again refer to the Code of Good Practice </w:t>
      </w:r>
      <w:r w:rsidR="00375A4B" w:rsidRPr="00012C17">
        <w:rPr>
          <w:rFonts w:eastAsia="Times New Roman" w:cs="Calibri"/>
          <w:color w:val="000000"/>
          <w:sz w:val="24"/>
        </w:rPr>
        <w:t xml:space="preserve">and respective Explanatory Report. </w:t>
      </w:r>
      <w:r w:rsidRPr="00012C17">
        <w:rPr>
          <w:rFonts w:eastAsia="Times New Roman" w:cs="Calibri"/>
          <w:color w:val="000000"/>
          <w:sz w:val="24"/>
        </w:rPr>
        <w:t>The latter and to the extent relevant to the circumstances of the case, in the section addressing the “</w:t>
      </w:r>
      <w:r w:rsidRPr="00012C17">
        <w:rPr>
          <w:rFonts w:eastAsia="Times New Roman" w:cs="Calibri"/>
          <w:i/>
          <w:iCs/>
          <w:color w:val="000000"/>
          <w:sz w:val="24"/>
        </w:rPr>
        <w:t>effective complaints systems</w:t>
      </w:r>
      <w:r w:rsidRPr="00012C17">
        <w:rPr>
          <w:rFonts w:eastAsia="Times New Roman" w:cs="Calibri"/>
          <w:color w:val="000000"/>
          <w:sz w:val="24"/>
        </w:rPr>
        <w:t xml:space="preserve">”, addresses, </w:t>
      </w:r>
      <w:r w:rsidRPr="00012C17">
        <w:rPr>
          <w:rFonts w:eastAsia="Times New Roman" w:cs="Calibri"/>
          <w:i/>
          <w:iCs/>
          <w:color w:val="000000"/>
          <w:sz w:val="24"/>
        </w:rPr>
        <w:t>inter alia</w:t>
      </w:r>
      <w:r w:rsidRPr="00012C17">
        <w:rPr>
          <w:rFonts w:eastAsia="Times New Roman" w:cs="Calibri"/>
          <w:color w:val="000000"/>
          <w:sz w:val="24"/>
        </w:rPr>
        <w:t>: (i) time limits for complaints; (ii) access to legal remedies; and (iii) the powers of the appellate bodies. (</w:t>
      </w:r>
      <w:r w:rsidR="00705C6C" w:rsidRPr="00012C17">
        <w:rPr>
          <w:rFonts w:eastAsia="Times New Roman" w:cs="Calibri"/>
          <w:color w:val="000000"/>
          <w:sz w:val="24"/>
        </w:rPr>
        <w:t>S</w:t>
      </w:r>
      <w:r w:rsidRPr="00012C17">
        <w:rPr>
          <w:rFonts w:eastAsia="Times New Roman" w:cs="Calibri"/>
          <w:color w:val="000000"/>
          <w:sz w:val="24"/>
        </w:rPr>
        <w:t>ee in more detail</w:t>
      </w:r>
      <w:r w:rsidR="00375A4B" w:rsidRPr="00012C17">
        <w:rPr>
          <w:rFonts w:eastAsia="Times New Roman" w:cs="Calibri"/>
          <w:color w:val="000000"/>
          <w:sz w:val="24"/>
        </w:rPr>
        <w:t xml:space="preserve"> item 3.3,</w:t>
      </w:r>
      <w:r w:rsidR="006E52F9" w:rsidRPr="00012C17">
        <w:rPr>
          <w:rFonts w:eastAsia="Times New Roman" w:cs="Calibri"/>
          <w:color w:val="000000"/>
          <w:sz w:val="24"/>
        </w:rPr>
        <w:t xml:space="preserve"> </w:t>
      </w:r>
      <w:r w:rsidRPr="00012C17">
        <w:rPr>
          <w:rFonts w:eastAsia="Times New Roman" w:cs="Calibri"/>
          <w:color w:val="000000"/>
          <w:sz w:val="24"/>
        </w:rPr>
        <w:t xml:space="preserve">paragraphs 95, 96 and 97 of the Explanatory Report). </w:t>
      </w:r>
    </w:p>
    <w:p w:rsidR="00375A4B" w:rsidRPr="00012C17" w:rsidRDefault="00375A4B" w:rsidP="001B11C5">
      <w:pPr>
        <w:pStyle w:val="ListParagraph"/>
        <w:spacing w:after="0" w:line="240" w:lineRule="auto"/>
        <w:rPr>
          <w:bCs/>
          <w:iCs/>
          <w:color w:val="000000"/>
          <w:sz w:val="24"/>
          <w:lang w:val="en-US"/>
        </w:rPr>
      </w:pPr>
    </w:p>
    <w:p w:rsidR="00E84FF8" w:rsidRPr="00012C17" w:rsidRDefault="00E84FF8" w:rsidP="001B11C5">
      <w:pPr>
        <w:numPr>
          <w:ilvl w:val="0"/>
          <w:numId w:val="1"/>
        </w:numPr>
        <w:spacing w:line="240" w:lineRule="auto"/>
        <w:ind w:left="630" w:hanging="630"/>
        <w:rPr>
          <w:bCs/>
          <w:iCs/>
          <w:color w:val="000000"/>
          <w:sz w:val="24"/>
        </w:rPr>
      </w:pPr>
      <w:r w:rsidRPr="00012C17">
        <w:rPr>
          <w:color w:val="000000"/>
          <w:sz w:val="24"/>
        </w:rPr>
        <w:t xml:space="preserve">Regarding the first, namely the </w:t>
      </w:r>
      <w:r w:rsidR="00907A28" w:rsidRPr="00012C17">
        <w:rPr>
          <w:color w:val="000000"/>
          <w:sz w:val="24"/>
        </w:rPr>
        <w:t>“</w:t>
      </w:r>
      <w:r w:rsidRPr="00012C17">
        <w:rPr>
          <w:i/>
          <w:iCs/>
          <w:color w:val="000000"/>
          <w:sz w:val="24"/>
        </w:rPr>
        <w:t>deadlines for complaints</w:t>
      </w:r>
      <w:r w:rsidR="00907A28" w:rsidRPr="00012C17">
        <w:rPr>
          <w:i/>
          <w:iCs/>
          <w:color w:val="000000"/>
          <w:sz w:val="24"/>
        </w:rPr>
        <w:t>”</w:t>
      </w:r>
      <w:r w:rsidRPr="00012C17">
        <w:rPr>
          <w:color w:val="000000"/>
          <w:sz w:val="24"/>
        </w:rPr>
        <w:t xml:space="preserve">, the Explanatory Report stipulates that they should be short and that </w:t>
      </w:r>
      <w:r w:rsidR="00705C6C" w:rsidRPr="00012C17">
        <w:rPr>
          <w:color w:val="000000"/>
          <w:sz w:val="24"/>
        </w:rPr>
        <w:t>the appeal</w:t>
      </w:r>
      <w:r w:rsidRPr="00012C17">
        <w:rPr>
          <w:color w:val="000000"/>
          <w:sz w:val="24"/>
        </w:rPr>
        <w:t xml:space="preserve"> bodies should also decide as soon as possible. A deadline of 3 to 5 days for the first instance (also for </w:t>
      </w:r>
      <w:r w:rsidR="00907A28" w:rsidRPr="00012C17">
        <w:rPr>
          <w:color w:val="000000"/>
          <w:sz w:val="24"/>
        </w:rPr>
        <w:t>the complaint</w:t>
      </w:r>
      <w:r w:rsidRPr="00012C17">
        <w:rPr>
          <w:color w:val="000000"/>
          <w:sz w:val="24"/>
        </w:rPr>
        <w:t xml:space="preserve"> and decision-making) is reasonable for decisions in </w:t>
      </w:r>
      <w:r w:rsidR="00705C6C" w:rsidRPr="00012C17">
        <w:rPr>
          <w:color w:val="000000"/>
          <w:sz w:val="24"/>
        </w:rPr>
        <w:t>election</w:t>
      </w:r>
      <w:r w:rsidRPr="00012C17">
        <w:rPr>
          <w:color w:val="000000"/>
          <w:sz w:val="24"/>
        </w:rPr>
        <w:t xml:space="preserve"> disputes according to the Explanatory Report. </w:t>
      </w:r>
      <w:r w:rsidRPr="00012C17">
        <w:rPr>
          <w:rFonts w:eastAsia="Times New Roman" w:cs="Calibri"/>
          <w:color w:val="000000"/>
          <w:sz w:val="24"/>
        </w:rPr>
        <w:t xml:space="preserve">Time limits are further specified in the Report on the Cancellation of </w:t>
      </w:r>
      <w:r w:rsidR="00705C6C" w:rsidRPr="00012C17">
        <w:rPr>
          <w:rFonts w:eastAsia="Times New Roman" w:cs="Calibri"/>
          <w:color w:val="000000"/>
          <w:sz w:val="24"/>
        </w:rPr>
        <w:t>Election</w:t>
      </w:r>
      <w:r w:rsidRPr="00012C17">
        <w:rPr>
          <w:rFonts w:eastAsia="Times New Roman" w:cs="Calibri"/>
          <w:color w:val="000000"/>
          <w:sz w:val="24"/>
        </w:rPr>
        <w:t xml:space="preserve"> Results, stating that European practice recognizes deadlines of one (1) to five (5) days </w:t>
      </w:r>
      <w:r w:rsidR="00705C6C" w:rsidRPr="00012C17">
        <w:rPr>
          <w:rFonts w:eastAsia="Times New Roman" w:cs="Calibri"/>
          <w:color w:val="000000"/>
          <w:sz w:val="24"/>
        </w:rPr>
        <w:t>for complaints related to election</w:t>
      </w:r>
      <w:r w:rsidRPr="00012C17">
        <w:rPr>
          <w:rFonts w:eastAsia="Times New Roman" w:cs="Calibri"/>
          <w:color w:val="000000"/>
          <w:sz w:val="24"/>
        </w:rPr>
        <w:t xml:space="preserve"> disputes. </w:t>
      </w:r>
      <w:r w:rsidR="00597C38" w:rsidRPr="00012C17">
        <w:rPr>
          <w:rFonts w:eastAsia="Times New Roman" w:cs="Calibri"/>
          <w:color w:val="000000"/>
          <w:sz w:val="24"/>
        </w:rPr>
        <w:t>According to the same report, it is permissible for constitutional courts to take more time for their decision-making</w:t>
      </w:r>
      <w:r w:rsidR="007C43F3" w:rsidRPr="00012C17">
        <w:rPr>
          <w:rFonts w:eastAsia="Times New Roman" w:cs="Calibri"/>
          <w:color w:val="000000"/>
          <w:sz w:val="24"/>
        </w:rPr>
        <w:t xml:space="preserve">. </w:t>
      </w:r>
      <w:r w:rsidR="00597C38" w:rsidRPr="00012C17">
        <w:rPr>
          <w:rFonts w:eastAsia="Times New Roman" w:cs="Calibri"/>
          <w:color w:val="000000"/>
          <w:sz w:val="24"/>
        </w:rPr>
        <w:t>(</w:t>
      </w:r>
      <w:r w:rsidR="007C43F3" w:rsidRPr="00012C17">
        <w:rPr>
          <w:rFonts w:eastAsia="Times New Roman" w:cs="Calibri"/>
          <w:color w:val="000000"/>
          <w:sz w:val="24"/>
        </w:rPr>
        <w:t xml:space="preserve">See </w:t>
      </w:r>
      <w:r w:rsidR="00597C38" w:rsidRPr="00012C17">
        <w:rPr>
          <w:rFonts w:eastAsia="Times New Roman" w:cs="Calibri"/>
          <w:color w:val="000000"/>
          <w:sz w:val="24"/>
        </w:rPr>
        <w:t>Report on the Cancellation of Results, paragraph 61).</w:t>
      </w:r>
      <w:r w:rsidR="007C43F3" w:rsidRPr="00012C17">
        <w:rPr>
          <w:rFonts w:eastAsia="Times New Roman" w:cs="Calibri"/>
          <w:color w:val="000000"/>
          <w:sz w:val="24"/>
        </w:rPr>
        <w:t xml:space="preserve"> </w:t>
      </w:r>
      <w:r w:rsidRPr="00012C17">
        <w:rPr>
          <w:rFonts w:eastAsia="Times New Roman" w:cs="Calibri"/>
          <w:color w:val="000000"/>
          <w:sz w:val="24"/>
        </w:rPr>
        <w:t xml:space="preserve">Regarding the second, </w:t>
      </w:r>
      <w:r w:rsidR="00E64652" w:rsidRPr="00012C17">
        <w:rPr>
          <w:rFonts w:eastAsia="Times New Roman" w:cs="Calibri"/>
          <w:color w:val="000000"/>
          <w:sz w:val="24"/>
        </w:rPr>
        <w:t>namely “</w:t>
      </w:r>
      <w:r w:rsidR="00E64652" w:rsidRPr="00012C17">
        <w:rPr>
          <w:rFonts w:eastAsia="Times New Roman" w:cs="Calibri"/>
          <w:i/>
          <w:iCs/>
          <w:color w:val="000000"/>
          <w:sz w:val="24"/>
        </w:rPr>
        <w:t>the</w:t>
      </w:r>
      <w:r w:rsidRPr="00012C17">
        <w:rPr>
          <w:rFonts w:eastAsia="Times New Roman" w:cs="Calibri"/>
          <w:i/>
          <w:iCs/>
          <w:color w:val="000000"/>
          <w:sz w:val="24"/>
        </w:rPr>
        <w:t xml:space="preserve"> access to legal remedies</w:t>
      </w:r>
      <w:r w:rsidR="00E64652" w:rsidRPr="00012C17">
        <w:rPr>
          <w:rFonts w:eastAsia="Times New Roman" w:cs="Calibri"/>
          <w:i/>
          <w:iCs/>
          <w:color w:val="000000"/>
          <w:sz w:val="24"/>
        </w:rPr>
        <w:t>”</w:t>
      </w:r>
      <w:r w:rsidRPr="00012C17">
        <w:rPr>
          <w:rFonts w:eastAsia="Times New Roman" w:cs="Calibri"/>
          <w:color w:val="000000"/>
          <w:sz w:val="24"/>
        </w:rPr>
        <w:t xml:space="preserve">, the Explanatory Report stipulates that the complaint procedure should be simple, it is necessary to avoid excessive formalization and to avoid decisions of inadmissibility, especially in politically sensitive cases. Specifically, the </w:t>
      </w:r>
      <w:r w:rsidR="00E64652" w:rsidRPr="00012C17">
        <w:rPr>
          <w:rFonts w:eastAsia="Times New Roman" w:cs="Calibri"/>
          <w:color w:val="000000"/>
          <w:sz w:val="24"/>
        </w:rPr>
        <w:t>complaint</w:t>
      </w:r>
      <w:r w:rsidRPr="00012C17">
        <w:rPr>
          <w:rFonts w:eastAsia="Times New Roman" w:cs="Calibri"/>
          <w:color w:val="000000"/>
          <w:sz w:val="24"/>
        </w:rPr>
        <w:t xml:space="preserve"> procedures should be simple and that the responsibilities of the various bodies involved in this process be well defined. As for the third, namely, </w:t>
      </w:r>
      <w:r w:rsidR="00E64652" w:rsidRPr="00012C17">
        <w:rPr>
          <w:rFonts w:eastAsia="Times New Roman" w:cs="Calibri"/>
          <w:color w:val="000000"/>
          <w:sz w:val="24"/>
        </w:rPr>
        <w:t>“</w:t>
      </w:r>
      <w:r w:rsidRPr="00012C17">
        <w:rPr>
          <w:rFonts w:eastAsia="Times New Roman" w:cs="Calibri"/>
          <w:i/>
          <w:iCs/>
          <w:color w:val="000000"/>
          <w:sz w:val="24"/>
        </w:rPr>
        <w:t xml:space="preserve">the powers of the </w:t>
      </w:r>
      <w:r w:rsidR="00D4307E" w:rsidRPr="00012C17">
        <w:rPr>
          <w:rFonts w:eastAsia="Times New Roman" w:cs="Calibri"/>
          <w:i/>
          <w:iCs/>
          <w:color w:val="000000"/>
          <w:sz w:val="24"/>
        </w:rPr>
        <w:t>complaint</w:t>
      </w:r>
      <w:r w:rsidRPr="00012C17">
        <w:rPr>
          <w:rFonts w:eastAsia="Times New Roman" w:cs="Calibri"/>
          <w:i/>
          <w:iCs/>
          <w:color w:val="000000"/>
          <w:sz w:val="24"/>
        </w:rPr>
        <w:t xml:space="preserve"> bodies</w:t>
      </w:r>
      <w:r w:rsidR="00E64652" w:rsidRPr="00012C17">
        <w:rPr>
          <w:rFonts w:eastAsia="Times New Roman" w:cs="Calibri"/>
          <w:i/>
          <w:iCs/>
          <w:color w:val="000000"/>
          <w:sz w:val="24"/>
        </w:rPr>
        <w:t>”</w:t>
      </w:r>
      <w:r w:rsidRPr="00012C17">
        <w:rPr>
          <w:rFonts w:eastAsia="Times New Roman" w:cs="Calibri"/>
          <w:color w:val="000000"/>
          <w:sz w:val="24"/>
        </w:rPr>
        <w:t>, the Explanatory Report stipulates that the risk of the successive bodies refusing to make a decision on merits should be eliminated, which</w:t>
      </w:r>
      <w:r w:rsidR="00D4307E" w:rsidRPr="00012C17">
        <w:rPr>
          <w:rFonts w:eastAsia="Times New Roman" w:cs="Calibri"/>
          <w:color w:val="000000"/>
          <w:sz w:val="24"/>
        </w:rPr>
        <w:t>, according to the Venice Commission,</w:t>
      </w:r>
      <w:r w:rsidRPr="00012C17">
        <w:rPr>
          <w:rFonts w:eastAsia="Times New Roman" w:cs="Calibri"/>
          <w:color w:val="000000"/>
          <w:sz w:val="24"/>
        </w:rPr>
        <w:t xml:space="preserve"> may occur when there is more than one possibility in theory to file a complaint to certain bodies, or in cases where the jurisdiction of different courts, for example, regular courts and constitutional courts - are not clearly differentiated</w:t>
      </w:r>
      <w:r w:rsidR="00012C17" w:rsidRPr="00012C17">
        <w:rPr>
          <w:rFonts w:eastAsia="Times New Roman" w:cs="Calibri"/>
          <w:color w:val="000000"/>
          <w:sz w:val="24"/>
        </w:rPr>
        <w:t>.</w:t>
      </w:r>
      <w:r w:rsidR="00D4307E" w:rsidRPr="00012C17">
        <w:rPr>
          <w:rFonts w:eastAsia="Times New Roman" w:cs="Calibri"/>
          <w:color w:val="000000"/>
          <w:sz w:val="24"/>
        </w:rPr>
        <w:t xml:space="preserve"> (See part 3 item 3.3, paragraph 97 of the Explanatory Report)</w:t>
      </w:r>
      <w:r w:rsidRPr="00012C17">
        <w:rPr>
          <w:rFonts w:eastAsia="Times New Roman" w:cs="Calibri"/>
          <w:color w:val="000000"/>
          <w:sz w:val="24"/>
        </w:rPr>
        <w:t xml:space="preserve">. </w:t>
      </w:r>
    </w:p>
    <w:p w:rsidR="00D4307E" w:rsidRPr="00012C17" w:rsidRDefault="00D4307E" w:rsidP="001B11C5">
      <w:pPr>
        <w:spacing w:line="240" w:lineRule="auto"/>
        <w:ind w:left="720"/>
        <w:rPr>
          <w:bCs/>
          <w:iCs/>
          <w:color w:val="000000"/>
          <w:sz w:val="24"/>
        </w:rPr>
      </w:pPr>
    </w:p>
    <w:p w:rsidR="00D4307E" w:rsidRPr="00012C17" w:rsidRDefault="00196084" w:rsidP="001B11C5">
      <w:pPr>
        <w:numPr>
          <w:ilvl w:val="0"/>
          <w:numId w:val="1"/>
        </w:numPr>
        <w:spacing w:line="240" w:lineRule="auto"/>
        <w:ind w:left="630" w:hanging="630"/>
        <w:rPr>
          <w:bCs/>
          <w:iCs/>
          <w:color w:val="000000"/>
          <w:sz w:val="24"/>
        </w:rPr>
      </w:pPr>
      <w:r w:rsidRPr="00012C17">
        <w:rPr>
          <w:rFonts w:cs="Arial"/>
          <w:color w:val="000000"/>
          <w:sz w:val="24"/>
        </w:rPr>
        <w:t>In applying these principles in the circumstances of the present allegation</w:t>
      </w:r>
      <w:r w:rsidR="00D4307E" w:rsidRPr="00012C17">
        <w:rPr>
          <w:rFonts w:cs="Arial"/>
          <w:color w:val="000000"/>
          <w:sz w:val="24"/>
        </w:rPr>
        <w:t xml:space="preserve">, the Court recalls that the </w:t>
      </w:r>
      <w:r w:rsidR="00705C6C" w:rsidRPr="00012C17">
        <w:rPr>
          <w:rFonts w:cs="Helvetica"/>
          <w:color w:val="000000"/>
          <w:sz w:val="24"/>
        </w:rPr>
        <w:t>s</w:t>
      </w:r>
      <w:r w:rsidR="00D4307E" w:rsidRPr="00012C17">
        <w:rPr>
          <w:rFonts w:cs="Helvetica"/>
          <w:color w:val="000000"/>
          <w:sz w:val="24"/>
        </w:rPr>
        <w:t>econd</w:t>
      </w:r>
      <w:r w:rsidR="00D4307E" w:rsidRPr="00012C17">
        <w:rPr>
          <w:rFonts w:cs="Arial"/>
          <w:color w:val="000000"/>
          <w:sz w:val="24"/>
        </w:rPr>
        <w:t xml:space="preserve"> Decision of the Supreme Court, namely </w:t>
      </w:r>
      <w:r w:rsidR="00C4604E" w:rsidRPr="00012C17">
        <w:rPr>
          <w:rFonts w:cs="Arial"/>
          <w:color w:val="000000"/>
          <w:sz w:val="24"/>
        </w:rPr>
        <w:t>Judgment</w:t>
      </w:r>
      <w:r w:rsidR="00D4307E" w:rsidRPr="00012C17">
        <w:rPr>
          <w:rFonts w:cs="Arial"/>
          <w:color w:val="000000"/>
          <w:sz w:val="24"/>
        </w:rPr>
        <w:t xml:space="preserve"> [A.A. U.ZH. No. 62/2017] </w:t>
      </w:r>
      <w:r w:rsidR="00C4604E" w:rsidRPr="00012C17">
        <w:rPr>
          <w:rFonts w:cs="Arial"/>
          <w:color w:val="000000"/>
          <w:sz w:val="24"/>
        </w:rPr>
        <w:t>which the Applicant challenges through this allegation</w:t>
      </w:r>
      <w:r w:rsidR="00705C6C" w:rsidRPr="00012C17">
        <w:rPr>
          <w:rFonts w:cs="Arial"/>
          <w:color w:val="000000"/>
          <w:sz w:val="24"/>
        </w:rPr>
        <w:t>,</w:t>
      </w:r>
      <w:r w:rsidR="00C4604E" w:rsidRPr="00012C17">
        <w:rPr>
          <w:rFonts w:cs="Arial"/>
          <w:color w:val="000000"/>
          <w:sz w:val="24"/>
        </w:rPr>
        <w:t xml:space="preserve"> was rendered as a result of the Applicants' appeal to the Supreme Court against Decision [A. ZL. No. 1125/2017] of 1 December 2017 of the ECAP after the announcement of the final results. The Supreme Court upheld the ECAP Decision which rejected the Applicants' allegations related to the announcement of the final result as ungrounded, while rejecting the category of the allegations relating to the announcement of the preliminary result</w:t>
      </w:r>
      <w:r w:rsidR="00705C6C" w:rsidRPr="00012C17">
        <w:rPr>
          <w:rFonts w:cs="Arial"/>
          <w:color w:val="000000"/>
          <w:sz w:val="24"/>
        </w:rPr>
        <w:t>s</w:t>
      </w:r>
      <w:r w:rsidR="00C4604E" w:rsidRPr="00012C17">
        <w:rPr>
          <w:rFonts w:cs="Arial"/>
          <w:color w:val="000000"/>
          <w:sz w:val="24"/>
        </w:rPr>
        <w:t xml:space="preserve">, </w:t>
      </w:r>
      <w:r w:rsidR="00705C6C" w:rsidRPr="00012C17">
        <w:rPr>
          <w:rFonts w:cs="Arial"/>
          <w:color w:val="000000"/>
          <w:sz w:val="24"/>
        </w:rPr>
        <w:t>namely</w:t>
      </w:r>
      <w:r w:rsidR="00C4604E" w:rsidRPr="00012C17">
        <w:rPr>
          <w:rFonts w:cs="Arial"/>
          <w:color w:val="000000"/>
          <w:sz w:val="24"/>
        </w:rPr>
        <w:t xml:space="preserve"> the irregularities on the </w:t>
      </w:r>
      <w:r w:rsidR="00705C6C" w:rsidRPr="00012C17">
        <w:rPr>
          <w:rFonts w:cs="Arial"/>
          <w:color w:val="000000"/>
          <w:sz w:val="24"/>
        </w:rPr>
        <w:t xml:space="preserve">election </w:t>
      </w:r>
      <w:r w:rsidR="00C4604E" w:rsidRPr="00012C17">
        <w:rPr>
          <w:rFonts w:cs="Arial"/>
          <w:color w:val="000000"/>
          <w:sz w:val="24"/>
        </w:rPr>
        <w:t>day, arguing that these allegations were out of time.</w:t>
      </w:r>
    </w:p>
    <w:p w:rsidR="00C4604E" w:rsidRPr="00012C17" w:rsidRDefault="00C4604E" w:rsidP="001B11C5">
      <w:pPr>
        <w:pStyle w:val="ListParagraph"/>
        <w:spacing w:after="0" w:line="240" w:lineRule="auto"/>
        <w:rPr>
          <w:bCs/>
          <w:iCs/>
          <w:color w:val="000000"/>
          <w:sz w:val="24"/>
          <w:lang w:val="en-US"/>
        </w:rPr>
      </w:pPr>
    </w:p>
    <w:p w:rsidR="00C4604E" w:rsidRPr="00012C17" w:rsidRDefault="00597C38" w:rsidP="001B11C5">
      <w:pPr>
        <w:numPr>
          <w:ilvl w:val="0"/>
          <w:numId w:val="1"/>
        </w:numPr>
        <w:spacing w:line="240" w:lineRule="auto"/>
        <w:ind w:left="630" w:hanging="630"/>
        <w:rPr>
          <w:bCs/>
          <w:color w:val="000000"/>
          <w:sz w:val="24"/>
        </w:rPr>
      </w:pPr>
      <w:r w:rsidRPr="00012C17">
        <w:rPr>
          <w:color w:val="000000"/>
          <w:sz w:val="24"/>
        </w:rPr>
        <w:t>In this regard, t</w:t>
      </w:r>
      <w:r w:rsidR="00C4604E" w:rsidRPr="00012C17">
        <w:rPr>
          <w:color w:val="000000"/>
          <w:sz w:val="24"/>
        </w:rPr>
        <w:t xml:space="preserve">he Court notes that the LGE and the relevant amendments stipulate that in principle the </w:t>
      </w:r>
      <w:r w:rsidR="00705C6C" w:rsidRPr="00012C17">
        <w:rPr>
          <w:color w:val="000000"/>
          <w:sz w:val="24"/>
        </w:rPr>
        <w:t>time limit</w:t>
      </w:r>
      <w:r w:rsidR="00C4604E" w:rsidRPr="00012C17">
        <w:rPr>
          <w:color w:val="000000"/>
          <w:sz w:val="24"/>
        </w:rPr>
        <w:t xml:space="preserve"> of complaints before ECAP and of the ECAP </w:t>
      </w:r>
      <w:r w:rsidR="00705C6C" w:rsidRPr="00012C17">
        <w:rPr>
          <w:color w:val="000000"/>
          <w:sz w:val="24"/>
        </w:rPr>
        <w:t>in</w:t>
      </w:r>
      <w:r w:rsidR="00C4604E" w:rsidRPr="00012C17">
        <w:rPr>
          <w:color w:val="000000"/>
          <w:sz w:val="24"/>
        </w:rPr>
        <w:t xml:space="preserve"> </w:t>
      </w:r>
      <w:r w:rsidR="00AB5D39" w:rsidRPr="00012C17">
        <w:rPr>
          <w:color w:val="000000"/>
          <w:sz w:val="24"/>
        </w:rPr>
        <w:t>before the</w:t>
      </w:r>
      <w:r w:rsidR="00C4604E" w:rsidRPr="00012C17">
        <w:rPr>
          <w:color w:val="000000"/>
          <w:sz w:val="24"/>
        </w:rPr>
        <w:t xml:space="preserve"> Supreme Court are 24 hours. </w:t>
      </w:r>
    </w:p>
    <w:p w:rsidR="00C4604E" w:rsidRPr="00012C17" w:rsidRDefault="00C4604E" w:rsidP="001B11C5">
      <w:pPr>
        <w:pStyle w:val="ListParagraph"/>
        <w:spacing w:after="0" w:line="240" w:lineRule="auto"/>
        <w:rPr>
          <w:bCs/>
          <w:color w:val="000000"/>
          <w:sz w:val="24"/>
          <w:lang w:val="en-US"/>
        </w:rPr>
      </w:pPr>
    </w:p>
    <w:p w:rsidR="00C4604E" w:rsidRPr="00012C17" w:rsidRDefault="00616121" w:rsidP="001B11C5">
      <w:pPr>
        <w:numPr>
          <w:ilvl w:val="0"/>
          <w:numId w:val="1"/>
        </w:numPr>
        <w:spacing w:line="240" w:lineRule="auto"/>
        <w:ind w:left="630" w:hanging="630"/>
        <w:rPr>
          <w:bCs/>
          <w:color w:val="000000"/>
          <w:sz w:val="24"/>
        </w:rPr>
      </w:pPr>
      <w:r w:rsidRPr="00012C17">
        <w:rPr>
          <w:color w:val="000000"/>
          <w:sz w:val="24"/>
        </w:rPr>
        <w:t>The Court notes that:</w:t>
      </w:r>
      <w:r w:rsidR="00C4604E" w:rsidRPr="00012C17">
        <w:rPr>
          <w:color w:val="000000"/>
          <w:sz w:val="24"/>
        </w:rPr>
        <w:t xml:space="preserve"> </w:t>
      </w:r>
      <w:r w:rsidRPr="00012C17">
        <w:rPr>
          <w:color w:val="000000"/>
          <w:sz w:val="24"/>
        </w:rPr>
        <w:t xml:space="preserve">(i) </w:t>
      </w:r>
      <w:r w:rsidR="00C4604E" w:rsidRPr="00012C17">
        <w:rPr>
          <w:color w:val="000000"/>
          <w:sz w:val="24"/>
        </w:rPr>
        <w:t>Article 13 of the Law on Amending and Supplementing in conjunction with paragraph 1 of Article 119 of the LGE also provides that appeals to ECAP must be filed within 24 hours of the closure of the polling stations</w:t>
      </w:r>
      <w:r w:rsidRPr="00012C17">
        <w:rPr>
          <w:color w:val="000000"/>
          <w:sz w:val="24"/>
        </w:rPr>
        <w:t>;</w:t>
      </w:r>
      <w:r w:rsidR="00C4604E" w:rsidRPr="00012C17">
        <w:rPr>
          <w:color w:val="000000"/>
          <w:sz w:val="24"/>
        </w:rPr>
        <w:t xml:space="preserve"> </w:t>
      </w:r>
      <w:r w:rsidRPr="00012C17">
        <w:rPr>
          <w:color w:val="000000"/>
          <w:sz w:val="24"/>
        </w:rPr>
        <w:t>(ii) the ECAP decisions, in accordance with</w:t>
      </w:r>
      <w:r w:rsidR="00C4604E" w:rsidRPr="00012C17">
        <w:rPr>
          <w:color w:val="000000"/>
          <w:sz w:val="24"/>
        </w:rPr>
        <w:t xml:space="preserve"> Article 12 of the Law on Amendment and Supplementation of the LGE in conjunction with paragraph 4 of Article 118 of the LGE </w:t>
      </w:r>
      <w:r w:rsidRPr="00012C17">
        <w:rPr>
          <w:color w:val="000000"/>
          <w:sz w:val="24"/>
        </w:rPr>
        <w:t xml:space="preserve">are appealed also </w:t>
      </w:r>
      <w:r w:rsidR="00C4604E" w:rsidRPr="00012C17">
        <w:rPr>
          <w:color w:val="000000"/>
          <w:sz w:val="24"/>
        </w:rPr>
        <w:t>within 24 hours to the Supreme Court in cases where the fine involved is higher than € 5,000 and the case concerns a fundamental right</w:t>
      </w:r>
      <w:r w:rsidRPr="00012C17">
        <w:rPr>
          <w:color w:val="000000"/>
          <w:sz w:val="24"/>
        </w:rPr>
        <w:t>. Based on the same Article,</w:t>
      </w:r>
      <w:r w:rsidR="00C4604E" w:rsidRPr="00012C17">
        <w:rPr>
          <w:color w:val="000000"/>
          <w:sz w:val="24"/>
        </w:rPr>
        <w:t xml:space="preserve"> the ECAP may “</w:t>
      </w:r>
      <w:r w:rsidR="00C4604E" w:rsidRPr="00012C17">
        <w:rPr>
          <w:i/>
          <w:iCs/>
          <w:color w:val="000000"/>
          <w:sz w:val="24"/>
        </w:rPr>
        <w:t>reconsider any of its decisions upon the presentation by an interested party of new evidence</w:t>
      </w:r>
      <w:r w:rsidR="00C4604E" w:rsidRPr="00012C17">
        <w:rPr>
          <w:color w:val="000000"/>
          <w:sz w:val="24"/>
        </w:rPr>
        <w:t>”</w:t>
      </w:r>
      <w:r w:rsidRPr="00012C17">
        <w:rPr>
          <w:color w:val="000000"/>
          <w:sz w:val="24"/>
        </w:rPr>
        <w:t>; and finally (iii)</w:t>
      </w:r>
      <w:r w:rsidR="00C4604E" w:rsidRPr="00012C17">
        <w:rPr>
          <w:color w:val="000000"/>
          <w:sz w:val="24"/>
        </w:rPr>
        <w:t xml:space="preserve"> </w:t>
      </w:r>
      <w:r w:rsidRPr="00012C17">
        <w:rPr>
          <w:color w:val="000000"/>
          <w:sz w:val="24"/>
        </w:rPr>
        <w:t>Article 4 of the Law on the Amendment and Supplementation of the LGE in conjunction with Article 105 of the LGE determines that for the complaints related to the counting administration procedure in the CRC the deadline is 24 hours from “</w:t>
      </w:r>
      <w:r w:rsidRPr="00012C17">
        <w:rPr>
          <w:i/>
          <w:iCs/>
          <w:color w:val="000000"/>
          <w:sz w:val="24"/>
        </w:rPr>
        <w:t>the occurrence of the alleged violation”</w:t>
      </w:r>
      <w:r w:rsidR="00C4604E" w:rsidRPr="00012C17">
        <w:rPr>
          <w:color w:val="000000"/>
          <w:sz w:val="24"/>
        </w:rPr>
        <w:t>.</w:t>
      </w:r>
    </w:p>
    <w:p w:rsidR="008D502C" w:rsidRPr="00012C17" w:rsidRDefault="008D502C" w:rsidP="001B11C5">
      <w:pPr>
        <w:pStyle w:val="ListParagraph"/>
        <w:spacing w:after="0" w:line="240" w:lineRule="auto"/>
        <w:rPr>
          <w:bCs/>
          <w:color w:val="000000"/>
          <w:sz w:val="24"/>
          <w:lang w:val="en-US"/>
        </w:rPr>
      </w:pPr>
    </w:p>
    <w:p w:rsidR="008D502C" w:rsidRPr="00012C17" w:rsidRDefault="008D502C" w:rsidP="001B11C5">
      <w:pPr>
        <w:numPr>
          <w:ilvl w:val="0"/>
          <w:numId w:val="1"/>
        </w:numPr>
        <w:spacing w:line="240" w:lineRule="auto"/>
        <w:ind w:left="630" w:hanging="630"/>
        <w:rPr>
          <w:bCs/>
          <w:color w:val="000000"/>
          <w:sz w:val="24"/>
        </w:rPr>
      </w:pPr>
      <w:r w:rsidRPr="00012C17">
        <w:rPr>
          <w:rFonts w:eastAsia="Times New Roman" w:cs="Calibri"/>
          <w:color w:val="000000"/>
          <w:sz w:val="24"/>
        </w:rPr>
        <w:t xml:space="preserve">The Court also notes that the initiation of these complaints relates to two </w:t>
      </w:r>
      <w:r w:rsidR="00F841D8" w:rsidRPr="00012C17">
        <w:rPr>
          <w:rFonts w:eastAsia="Times New Roman" w:cs="Calibri"/>
          <w:color w:val="000000"/>
          <w:sz w:val="24"/>
        </w:rPr>
        <w:t>phases</w:t>
      </w:r>
      <w:r w:rsidRPr="00012C17">
        <w:rPr>
          <w:rFonts w:eastAsia="Times New Roman" w:cs="Calibri"/>
          <w:color w:val="000000"/>
          <w:sz w:val="24"/>
        </w:rPr>
        <w:t xml:space="preserve"> after the </w:t>
      </w:r>
      <w:r w:rsidRPr="00012C17">
        <w:rPr>
          <w:rFonts w:cs="Helvetica"/>
          <w:color w:val="000000"/>
          <w:sz w:val="24"/>
        </w:rPr>
        <w:t>election</w:t>
      </w:r>
      <w:r w:rsidR="00F841D8" w:rsidRPr="00012C17">
        <w:rPr>
          <w:rFonts w:cs="Helvetica"/>
          <w:color w:val="000000"/>
          <w:sz w:val="24"/>
        </w:rPr>
        <w:t>s</w:t>
      </w:r>
      <w:r w:rsidRPr="00012C17">
        <w:rPr>
          <w:rFonts w:eastAsia="Times New Roman" w:cs="Calibri"/>
          <w:color w:val="000000"/>
          <w:sz w:val="24"/>
        </w:rPr>
        <w:t xml:space="preserve">, the </w:t>
      </w:r>
      <w:r w:rsidR="00F841D8" w:rsidRPr="00012C17">
        <w:rPr>
          <w:rFonts w:eastAsia="Times New Roman" w:cs="Calibri"/>
          <w:color w:val="000000"/>
          <w:sz w:val="24"/>
        </w:rPr>
        <w:t>phase</w:t>
      </w:r>
      <w:r w:rsidRPr="00012C17">
        <w:rPr>
          <w:rFonts w:eastAsia="Times New Roman" w:cs="Calibri"/>
          <w:color w:val="000000"/>
          <w:sz w:val="24"/>
        </w:rPr>
        <w:t xml:space="preserve"> after the announcement of the preliminary results and after the announcement of the final results, namely, in accordance with the Code of Good Practice. (See section 3, item 3.3, paragraph 95 of the Explanatory Report).</w:t>
      </w:r>
    </w:p>
    <w:p w:rsidR="008D502C" w:rsidRPr="00012C17" w:rsidRDefault="008D502C" w:rsidP="001B11C5">
      <w:pPr>
        <w:pStyle w:val="ListParagraph"/>
        <w:spacing w:after="0" w:line="240" w:lineRule="auto"/>
        <w:rPr>
          <w:bCs/>
          <w:color w:val="000000"/>
          <w:sz w:val="24"/>
          <w:lang w:val="en-US"/>
        </w:rPr>
      </w:pPr>
    </w:p>
    <w:p w:rsidR="008D502C" w:rsidRPr="00012C17" w:rsidRDefault="008D502C" w:rsidP="001B11C5">
      <w:pPr>
        <w:numPr>
          <w:ilvl w:val="0"/>
          <w:numId w:val="1"/>
        </w:numPr>
        <w:spacing w:line="240" w:lineRule="auto"/>
        <w:ind w:left="630" w:hanging="630"/>
        <w:rPr>
          <w:bCs/>
          <w:color w:val="000000"/>
          <w:sz w:val="24"/>
        </w:rPr>
      </w:pPr>
      <w:r w:rsidRPr="00012C17">
        <w:rPr>
          <w:rFonts w:cs="Arial"/>
          <w:color w:val="000000"/>
          <w:sz w:val="24"/>
        </w:rPr>
        <w:t xml:space="preserve">In the context of this allegation, the Court notes that one day after the second round of elections and the announcement of preliminary results by the CEC, the second Applicant filed a complaint with the ECAP. The content of the complaint concerned mainly the challenging of the ballot papers declared invalid and blank. In this complaint, the Applicants had not raised any other allegations relating to the irregularities on the voting day, specifically (i) the use of road/taxi transport services; (ii) telephone calls; and (iii) sending sms by </w:t>
      </w:r>
      <w:r w:rsidR="00F05E0A" w:rsidRPr="00012C17">
        <w:rPr>
          <w:rFonts w:cs="Arial"/>
          <w:color w:val="000000"/>
          <w:sz w:val="24"/>
        </w:rPr>
        <w:t>VETËVENDOSJE! Movement</w:t>
      </w:r>
      <w:r w:rsidRPr="00012C17">
        <w:rPr>
          <w:rFonts w:cs="Arial"/>
          <w:color w:val="000000"/>
          <w:sz w:val="24"/>
        </w:rPr>
        <w:t xml:space="preserve">. The Applicants reason that these irregularities had not been known to them when the deadline for complaints was closed and that they had understood </w:t>
      </w:r>
      <w:r w:rsidR="00F841D8" w:rsidRPr="00012C17">
        <w:rPr>
          <w:rFonts w:cs="Arial"/>
          <w:color w:val="000000"/>
          <w:sz w:val="24"/>
        </w:rPr>
        <w:t xml:space="preserve">about </w:t>
      </w:r>
      <w:r w:rsidRPr="00012C17">
        <w:rPr>
          <w:rFonts w:cs="Arial"/>
          <w:color w:val="000000"/>
          <w:sz w:val="24"/>
        </w:rPr>
        <w:t xml:space="preserve">them on 20 November 2017, after the expiry of the deadline for submission of the latter. </w:t>
      </w:r>
    </w:p>
    <w:p w:rsidR="008D502C" w:rsidRPr="00012C17" w:rsidRDefault="008D502C" w:rsidP="001B11C5">
      <w:pPr>
        <w:pStyle w:val="ListParagraph"/>
        <w:spacing w:after="0" w:line="240" w:lineRule="auto"/>
        <w:rPr>
          <w:bCs/>
          <w:color w:val="000000"/>
          <w:sz w:val="24"/>
          <w:lang w:val="en-US"/>
        </w:rPr>
      </w:pPr>
    </w:p>
    <w:p w:rsidR="008D502C" w:rsidRPr="00012C17" w:rsidRDefault="008D502C" w:rsidP="001B11C5">
      <w:pPr>
        <w:numPr>
          <w:ilvl w:val="0"/>
          <w:numId w:val="1"/>
        </w:numPr>
        <w:spacing w:line="240" w:lineRule="auto"/>
        <w:ind w:left="630" w:hanging="630"/>
        <w:rPr>
          <w:bCs/>
          <w:color w:val="000000"/>
          <w:sz w:val="24"/>
        </w:rPr>
      </w:pPr>
      <w:r w:rsidRPr="00012C17">
        <w:rPr>
          <w:rFonts w:cs="Arial"/>
          <w:color w:val="000000"/>
          <w:sz w:val="24"/>
        </w:rPr>
        <w:t xml:space="preserve">However, the Court notes that the following day, namely on 21 November 2017, the ECAP allowed the Applicants to supplement their request because they considered the latter to be generalized. According to the case file, the Applicants did not submit the </w:t>
      </w:r>
      <w:r w:rsidR="00AB5D39" w:rsidRPr="00012C17">
        <w:rPr>
          <w:rFonts w:cs="Arial"/>
          <w:color w:val="000000"/>
          <w:sz w:val="24"/>
        </w:rPr>
        <w:t xml:space="preserve">aforementioned </w:t>
      </w:r>
      <w:r w:rsidRPr="00012C17">
        <w:rPr>
          <w:rFonts w:cs="Arial"/>
          <w:color w:val="000000"/>
          <w:sz w:val="24"/>
        </w:rPr>
        <w:t xml:space="preserve">allegations related to the irregularities on the voting day, but </w:t>
      </w:r>
      <w:r w:rsidRPr="00012C17">
        <w:rPr>
          <w:rFonts w:cs="Helvetica"/>
          <w:color w:val="000000"/>
          <w:sz w:val="24"/>
        </w:rPr>
        <w:t>supplemented</w:t>
      </w:r>
      <w:r w:rsidRPr="00012C17">
        <w:rPr>
          <w:rFonts w:cs="Arial"/>
          <w:color w:val="000000"/>
          <w:sz w:val="24"/>
        </w:rPr>
        <w:t xml:space="preserve"> the claim only in respect of allegations that relate mainly to invalid and blank ballot papers. The ECAP issued the decision the following day, namely on 22 November 2017, in favor of the Applicant ordering the recount of all ballots. This decision was appealed in the Supreme Court by </w:t>
      </w:r>
      <w:r w:rsidR="00F05E0A" w:rsidRPr="00012C17">
        <w:rPr>
          <w:rFonts w:cs="Arial"/>
          <w:color w:val="000000"/>
          <w:sz w:val="24"/>
        </w:rPr>
        <w:t>VETËVENDOSJE! Movement</w:t>
      </w:r>
      <w:r w:rsidRPr="00012C17">
        <w:rPr>
          <w:rFonts w:cs="Arial"/>
          <w:color w:val="000000"/>
          <w:sz w:val="24"/>
        </w:rPr>
        <w:t xml:space="preserve"> on 23 November 2017. According to the case file, the Applicants had not submitted the</w:t>
      </w:r>
      <w:r w:rsidR="004622A8" w:rsidRPr="00012C17">
        <w:rPr>
          <w:rFonts w:cs="Arial"/>
          <w:color w:val="000000"/>
          <w:sz w:val="24"/>
        </w:rPr>
        <w:t>se</w:t>
      </w:r>
      <w:r w:rsidRPr="00012C17">
        <w:rPr>
          <w:rFonts w:cs="Arial"/>
          <w:color w:val="000000"/>
          <w:sz w:val="24"/>
        </w:rPr>
        <w:t xml:space="preserve"> allegations in response to the appeal to the Supreme Court. The Supreme Court, rendered its </w:t>
      </w:r>
      <w:r w:rsidR="00F841D8" w:rsidRPr="00012C17">
        <w:rPr>
          <w:rFonts w:cs="Arial"/>
          <w:color w:val="000000"/>
          <w:sz w:val="24"/>
        </w:rPr>
        <w:t>f</w:t>
      </w:r>
      <w:r w:rsidR="0009142C" w:rsidRPr="00012C17">
        <w:rPr>
          <w:rFonts w:cs="Arial"/>
          <w:color w:val="000000"/>
          <w:sz w:val="24"/>
        </w:rPr>
        <w:t xml:space="preserve">irst Decision </w:t>
      </w:r>
      <w:r w:rsidRPr="00012C17">
        <w:rPr>
          <w:rFonts w:cs="Arial"/>
          <w:color w:val="000000"/>
          <w:sz w:val="24"/>
        </w:rPr>
        <w:t xml:space="preserve">on 25 November 2017 by approving the appeal of </w:t>
      </w:r>
      <w:r w:rsidR="00F05E0A" w:rsidRPr="00012C17">
        <w:rPr>
          <w:rFonts w:cs="Arial"/>
          <w:color w:val="000000"/>
          <w:sz w:val="24"/>
        </w:rPr>
        <w:t>VETËVENDOSJE! Movement</w:t>
      </w:r>
      <w:r w:rsidRPr="00012C17">
        <w:rPr>
          <w:rFonts w:cs="Arial"/>
          <w:color w:val="000000"/>
          <w:sz w:val="24"/>
        </w:rPr>
        <w:t xml:space="preserve"> and by annulling the ECAP decision. </w:t>
      </w:r>
      <w:r w:rsidR="0009142C" w:rsidRPr="00012C17">
        <w:rPr>
          <w:rFonts w:cs="Arial"/>
          <w:color w:val="000000"/>
          <w:sz w:val="24"/>
        </w:rPr>
        <w:t xml:space="preserve">Upon completion of the procedure for challenging the preliminary results </w:t>
      </w:r>
      <w:r w:rsidR="00F841D8" w:rsidRPr="00012C17">
        <w:rPr>
          <w:rFonts w:cs="Arial"/>
          <w:color w:val="000000"/>
          <w:sz w:val="24"/>
        </w:rPr>
        <w:t>to</w:t>
      </w:r>
      <w:r w:rsidR="0009142C" w:rsidRPr="00012C17">
        <w:rPr>
          <w:rFonts w:cs="Arial"/>
          <w:color w:val="000000"/>
          <w:sz w:val="24"/>
        </w:rPr>
        <w:t xml:space="preserve"> the ECAP and the Supreme Court, on 29 November 2017, the CEC announced the final results of the second round of elections for the </w:t>
      </w:r>
      <w:r w:rsidR="00F32DC5" w:rsidRPr="00012C17">
        <w:rPr>
          <w:rFonts w:cs="Arial"/>
          <w:color w:val="000000"/>
          <w:sz w:val="24"/>
        </w:rPr>
        <w:t xml:space="preserve">Mayor </w:t>
      </w:r>
      <w:r w:rsidR="0009142C" w:rsidRPr="00012C17">
        <w:rPr>
          <w:rFonts w:cs="Arial"/>
          <w:color w:val="000000"/>
          <w:sz w:val="24"/>
        </w:rPr>
        <w:t xml:space="preserve">of the Municipality of Prishtina. </w:t>
      </w:r>
      <w:r w:rsidRPr="00012C17">
        <w:rPr>
          <w:rFonts w:cs="Arial"/>
          <w:color w:val="000000"/>
          <w:sz w:val="24"/>
        </w:rPr>
        <w:t xml:space="preserve">On 30 November 2017, </w:t>
      </w:r>
      <w:r w:rsidRPr="00012C17">
        <w:rPr>
          <w:rFonts w:cs="Arial"/>
          <w:color w:val="000000"/>
          <w:sz w:val="24"/>
        </w:rPr>
        <w:lastRenderedPageBreak/>
        <w:t>one day after the announcement of the final results by the CEC, the Applicants filed a complaint with the ECAP by challenging the final result of the elections, alleging, among other things, violations of the law and the Constitution, an allegation, which among others, was justified by the allegations of irregularities on the voting day.</w:t>
      </w:r>
      <w:r w:rsidR="0009142C" w:rsidRPr="00012C17">
        <w:rPr>
          <w:rFonts w:cs="Arial"/>
          <w:color w:val="000000"/>
          <w:sz w:val="24"/>
        </w:rPr>
        <w:t xml:space="preserve"> Consequently, the Court notes that these irregularities allegedly were understood on 20 November 2017, according to the allegation 1 hour after the deadline for complaints relating to the announcement of the preliminary results, for the first time filed with the ECAP on 30 November 2017, after the announcement of the final results, and 10 days after </w:t>
      </w:r>
      <w:r w:rsidR="00F841D8" w:rsidRPr="00012C17">
        <w:rPr>
          <w:rFonts w:cs="Arial"/>
          <w:color w:val="000000"/>
          <w:sz w:val="24"/>
        </w:rPr>
        <w:t>the closure of</w:t>
      </w:r>
      <w:r w:rsidR="0009142C" w:rsidRPr="00012C17">
        <w:rPr>
          <w:rFonts w:cs="Arial"/>
          <w:color w:val="000000"/>
          <w:sz w:val="24"/>
        </w:rPr>
        <w:t xml:space="preserve"> the voting centers.</w:t>
      </w:r>
      <w:r w:rsidRPr="00012C17">
        <w:rPr>
          <w:rFonts w:cs="Arial"/>
          <w:color w:val="000000"/>
          <w:sz w:val="24"/>
        </w:rPr>
        <w:t xml:space="preserve"> </w:t>
      </w:r>
    </w:p>
    <w:p w:rsidR="0009142C" w:rsidRPr="00012C17" w:rsidRDefault="0009142C" w:rsidP="001B11C5">
      <w:pPr>
        <w:spacing w:line="240" w:lineRule="auto"/>
        <w:ind w:left="720"/>
        <w:rPr>
          <w:bCs/>
          <w:color w:val="000000"/>
          <w:sz w:val="24"/>
        </w:rPr>
      </w:pPr>
    </w:p>
    <w:p w:rsidR="00D16382" w:rsidRPr="00012C17" w:rsidRDefault="00D16382" w:rsidP="001B11C5">
      <w:pPr>
        <w:numPr>
          <w:ilvl w:val="0"/>
          <w:numId w:val="1"/>
        </w:numPr>
        <w:spacing w:line="240" w:lineRule="auto"/>
        <w:ind w:left="630" w:hanging="630"/>
        <w:rPr>
          <w:rFonts w:cs="Helvetica"/>
          <w:color w:val="000000"/>
          <w:sz w:val="24"/>
        </w:rPr>
      </w:pPr>
      <w:r w:rsidRPr="00012C17">
        <w:rPr>
          <w:rFonts w:cs="Helvetica"/>
          <w:color w:val="000000"/>
          <w:sz w:val="24"/>
        </w:rPr>
        <w:t xml:space="preserve">In addition, the Court </w:t>
      </w:r>
      <w:r w:rsidR="00597C38" w:rsidRPr="00012C17">
        <w:rPr>
          <w:rFonts w:cs="Helvetica"/>
          <w:color w:val="000000"/>
          <w:sz w:val="24"/>
        </w:rPr>
        <w:t xml:space="preserve">recalls </w:t>
      </w:r>
      <w:r w:rsidRPr="00012C17">
        <w:rPr>
          <w:rFonts w:cs="Helvetica"/>
          <w:color w:val="000000"/>
          <w:sz w:val="24"/>
        </w:rPr>
        <w:t>that the Applicants also allege that their claims should not have been declared as out of time, because the</w:t>
      </w:r>
      <w:r w:rsidR="00597C38" w:rsidRPr="00012C17">
        <w:rPr>
          <w:rFonts w:cs="Helvetica"/>
          <w:color w:val="000000"/>
          <w:sz w:val="24"/>
        </w:rPr>
        <w:t>ir</w:t>
      </w:r>
      <w:r w:rsidRPr="00012C17">
        <w:rPr>
          <w:rFonts w:cs="Helvetica"/>
          <w:color w:val="000000"/>
          <w:sz w:val="24"/>
        </w:rPr>
        <w:t xml:space="preserve"> appeals were not based on Article 105 of the LGE and the relevant amendments but on Articles 118 and 119 of the LGE and the relevant amendments. The Court first notes that</w:t>
      </w:r>
      <w:r w:rsidR="00597C38" w:rsidRPr="00012C17">
        <w:rPr>
          <w:rFonts w:cs="Helvetica"/>
          <w:color w:val="000000"/>
          <w:sz w:val="24"/>
        </w:rPr>
        <w:t>: (i)</w:t>
      </w:r>
      <w:r w:rsidR="00F841D8" w:rsidRPr="00012C17">
        <w:rPr>
          <w:rFonts w:cs="Helvetica"/>
          <w:color w:val="000000"/>
          <w:sz w:val="24"/>
        </w:rPr>
        <w:t xml:space="preserve"> </w:t>
      </w:r>
      <w:r w:rsidRPr="00012C17">
        <w:rPr>
          <w:rFonts w:cs="Helvetica"/>
          <w:color w:val="000000"/>
          <w:sz w:val="24"/>
        </w:rPr>
        <w:t xml:space="preserve">the </w:t>
      </w:r>
      <w:r w:rsidR="00F841D8" w:rsidRPr="00012C17">
        <w:rPr>
          <w:rFonts w:cs="Helvetica"/>
          <w:color w:val="000000"/>
          <w:sz w:val="24"/>
        </w:rPr>
        <w:t>appeal</w:t>
      </w:r>
      <w:r w:rsidRPr="00012C17">
        <w:rPr>
          <w:rFonts w:cs="Helvetica"/>
          <w:color w:val="000000"/>
          <w:sz w:val="24"/>
        </w:rPr>
        <w:t xml:space="preserve"> of 20 September 2017 is based on Article 119 of the LGE and the relevant amendments; </w:t>
      </w:r>
      <w:r w:rsidR="00597C38" w:rsidRPr="00012C17">
        <w:rPr>
          <w:rFonts w:cs="Helvetica"/>
          <w:color w:val="000000"/>
          <w:sz w:val="24"/>
        </w:rPr>
        <w:t xml:space="preserve">(ii) </w:t>
      </w:r>
      <w:r w:rsidRPr="00012C17">
        <w:rPr>
          <w:rFonts w:cs="Helvetica"/>
          <w:color w:val="000000"/>
          <w:sz w:val="24"/>
        </w:rPr>
        <w:t xml:space="preserve">the </w:t>
      </w:r>
      <w:r w:rsidR="00F841D8" w:rsidRPr="00012C17">
        <w:rPr>
          <w:rFonts w:cs="Helvetica"/>
          <w:color w:val="000000"/>
          <w:sz w:val="24"/>
        </w:rPr>
        <w:t>appeal</w:t>
      </w:r>
      <w:r w:rsidRPr="00012C17">
        <w:rPr>
          <w:rFonts w:cs="Helvetica"/>
          <w:color w:val="000000"/>
          <w:sz w:val="24"/>
        </w:rPr>
        <w:t xml:space="preserve"> of 30 November 2017 is based on Articles 105 and 119 of the LGE and the relevant amendments; while</w:t>
      </w:r>
      <w:r w:rsidR="00597C38" w:rsidRPr="00012C17">
        <w:rPr>
          <w:rFonts w:cs="Helvetica"/>
          <w:color w:val="000000"/>
          <w:sz w:val="24"/>
        </w:rPr>
        <w:t>, (iii)</w:t>
      </w:r>
      <w:r w:rsidRPr="00012C17">
        <w:rPr>
          <w:rFonts w:cs="Helvetica"/>
          <w:color w:val="000000"/>
          <w:sz w:val="24"/>
        </w:rPr>
        <w:t xml:space="preserve"> the </w:t>
      </w:r>
      <w:r w:rsidR="00F841D8" w:rsidRPr="00012C17">
        <w:rPr>
          <w:rFonts w:cs="Helvetica"/>
          <w:color w:val="000000"/>
          <w:sz w:val="24"/>
        </w:rPr>
        <w:t>appeal</w:t>
      </w:r>
      <w:r w:rsidRPr="00012C17">
        <w:rPr>
          <w:rFonts w:cs="Helvetica"/>
          <w:color w:val="000000"/>
          <w:sz w:val="24"/>
        </w:rPr>
        <w:t xml:space="preserve"> of 5 December 2017 was also based on Articles 105 and 119 of the LGE and relevant amendments. However, the fact that the Applicants allege to have filed appeals based on one article and not the other, does not change the situation in the circumstances of the </w:t>
      </w:r>
      <w:r w:rsidR="00F841D8" w:rsidRPr="00012C17">
        <w:rPr>
          <w:rFonts w:cs="Helvetica"/>
          <w:color w:val="000000"/>
          <w:sz w:val="24"/>
        </w:rPr>
        <w:t xml:space="preserve">present </w:t>
      </w:r>
      <w:r w:rsidRPr="00012C17">
        <w:rPr>
          <w:rFonts w:cs="Helvetica"/>
          <w:color w:val="000000"/>
          <w:sz w:val="24"/>
        </w:rPr>
        <w:t>case.</w:t>
      </w:r>
    </w:p>
    <w:p w:rsidR="00D16382" w:rsidRPr="00012C17" w:rsidRDefault="00D16382" w:rsidP="001B11C5">
      <w:pPr>
        <w:spacing w:line="240" w:lineRule="auto"/>
        <w:ind w:left="810"/>
        <w:rPr>
          <w:rFonts w:cs="Helvetica"/>
          <w:color w:val="000000"/>
          <w:sz w:val="24"/>
        </w:rPr>
      </w:pPr>
    </w:p>
    <w:p w:rsidR="00D16382" w:rsidRPr="00012C17" w:rsidRDefault="00D16382" w:rsidP="001B11C5">
      <w:pPr>
        <w:numPr>
          <w:ilvl w:val="0"/>
          <w:numId w:val="1"/>
        </w:numPr>
        <w:spacing w:line="240" w:lineRule="auto"/>
        <w:ind w:left="630" w:hanging="630"/>
        <w:rPr>
          <w:rFonts w:cs="Helvetica"/>
          <w:color w:val="000000"/>
          <w:sz w:val="24"/>
        </w:rPr>
      </w:pPr>
      <w:r w:rsidRPr="00012C17">
        <w:rPr>
          <w:rFonts w:cs="Helvetica"/>
          <w:color w:val="000000"/>
          <w:sz w:val="24"/>
        </w:rPr>
        <w:t>This is because Article 13 of the Law on Amending and Supplementing the LGE, in conjunction with paragraph 1 of Article 119 stipulates that the time limit for filing an appeal to the ECAP is 24 hours from the moment of the closure of the polling center. In this context, Article 12 of the Law on Amending and Supplementing the LGE in conjunction with paragraph 4 of Article 118 of the LGE specifies that ECAP decisions may be appealed within 24 hours to the Supreme Court. The same article, and as noted above, established that the ECAP may “</w:t>
      </w:r>
      <w:r w:rsidRPr="00012C17">
        <w:rPr>
          <w:i/>
          <w:iCs/>
          <w:color w:val="000000"/>
          <w:sz w:val="24"/>
        </w:rPr>
        <w:t>reconsider any of its decisions upon the presentation by an interested party of new evidence</w:t>
      </w:r>
      <w:r w:rsidRPr="00012C17">
        <w:rPr>
          <w:rFonts w:cs="Helvetica"/>
          <w:color w:val="000000"/>
          <w:sz w:val="24"/>
        </w:rPr>
        <w:t xml:space="preserve">”. However, the Court notes that before the announcement of the final results, the Applicants did not use any of these options for filing the respective allegations. </w:t>
      </w:r>
    </w:p>
    <w:p w:rsidR="00D16382" w:rsidRPr="00012C17" w:rsidRDefault="00D16382" w:rsidP="001B11C5">
      <w:pPr>
        <w:pStyle w:val="ListParagraph"/>
        <w:spacing w:after="0" w:line="240" w:lineRule="auto"/>
        <w:rPr>
          <w:rFonts w:cs="Helvetica"/>
          <w:color w:val="000000"/>
          <w:sz w:val="24"/>
          <w:lang w:val="en-US"/>
        </w:rPr>
      </w:pPr>
    </w:p>
    <w:p w:rsidR="00D16382" w:rsidRPr="00012C17" w:rsidRDefault="00D16382" w:rsidP="001B11C5">
      <w:pPr>
        <w:numPr>
          <w:ilvl w:val="0"/>
          <w:numId w:val="1"/>
        </w:numPr>
        <w:spacing w:line="240" w:lineRule="auto"/>
        <w:ind w:left="630" w:hanging="630"/>
        <w:rPr>
          <w:bCs/>
          <w:iCs/>
          <w:color w:val="000000"/>
          <w:sz w:val="24"/>
        </w:rPr>
      </w:pPr>
      <w:r w:rsidRPr="00012C17">
        <w:rPr>
          <w:rFonts w:cs="Arial"/>
          <w:color w:val="000000"/>
          <w:sz w:val="24"/>
        </w:rPr>
        <w:t xml:space="preserve">The Court notes that the Applicants had ample opportunities to submit these claims before the ECAP and the </w:t>
      </w:r>
      <w:r w:rsidRPr="00012C17">
        <w:rPr>
          <w:rFonts w:cs="Helvetica"/>
          <w:color w:val="000000"/>
          <w:sz w:val="24"/>
        </w:rPr>
        <w:t>Supreme</w:t>
      </w:r>
      <w:r w:rsidRPr="00012C17">
        <w:rPr>
          <w:rFonts w:cs="Arial"/>
          <w:color w:val="000000"/>
          <w:sz w:val="24"/>
        </w:rPr>
        <w:t xml:space="preserve"> Court prior to the announcement of the final result</w:t>
      </w:r>
      <w:r w:rsidR="00E9195A" w:rsidRPr="00012C17">
        <w:rPr>
          <w:rFonts w:cs="Arial"/>
          <w:color w:val="000000"/>
          <w:sz w:val="24"/>
        </w:rPr>
        <w:t>s</w:t>
      </w:r>
      <w:r w:rsidRPr="00012C17">
        <w:rPr>
          <w:rFonts w:cs="Arial"/>
          <w:color w:val="000000"/>
          <w:sz w:val="24"/>
        </w:rPr>
        <w:t xml:space="preserve">: (i) by supplementing the initial complaint, the opportunity given by ECAP on 21 November 2017; (ii) by responding to the complaint of </w:t>
      </w:r>
      <w:r w:rsidR="00F05E0A" w:rsidRPr="00012C17">
        <w:rPr>
          <w:rFonts w:cs="Arial"/>
          <w:color w:val="000000"/>
          <w:sz w:val="24"/>
        </w:rPr>
        <w:t>VETËVENDOSJE! Movement</w:t>
      </w:r>
      <w:r w:rsidRPr="00012C17">
        <w:rPr>
          <w:rFonts w:cs="Arial"/>
          <w:color w:val="000000"/>
          <w:sz w:val="24"/>
        </w:rPr>
        <w:t xml:space="preserve"> in the Supreme Court before rendering the decision of the latter; (iii) at any time from the filing of the first </w:t>
      </w:r>
      <w:r w:rsidR="00E9195A" w:rsidRPr="00012C17">
        <w:rPr>
          <w:rFonts w:cs="Arial"/>
          <w:color w:val="000000"/>
          <w:sz w:val="24"/>
        </w:rPr>
        <w:t>complaint</w:t>
      </w:r>
      <w:r w:rsidRPr="00012C17">
        <w:rPr>
          <w:rFonts w:cs="Arial"/>
          <w:color w:val="000000"/>
          <w:sz w:val="24"/>
        </w:rPr>
        <w:t xml:space="preserve"> until the decision of the </w:t>
      </w:r>
      <w:r w:rsidR="00FA0DC0" w:rsidRPr="00012C17">
        <w:rPr>
          <w:rFonts w:cs="Arial"/>
          <w:color w:val="000000"/>
          <w:sz w:val="24"/>
        </w:rPr>
        <w:t xml:space="preserve">Supreme Court </w:t>
      </w:r>
      <w:r w:rsidRPr="00012C17">
        <w:rPr>
          <w:rFonts w:cs="Arial"/>
          <w:color w:val="000000"/>
          <w:sz w:val="24"/>
        </w:rPr>
        <w:t>is rendered based on paragraph 2 of Article 12 of the Law on Supplementing and Amending Article 4 paragraph 118 of the LGE</w:t>
      </w:r>
      <w:r w:rsidR="000845E8" w:rsidRPr="00012C17">
        <w:rPr>
          <w:rFonts w:cs="Arial"/>
          <w:color w:val="000000"/>
          <w:sz w:val="24"/>
        </w:rPr>
        <w:t>. The latter allow the ECAP to “</w:t>
      </w:r>
      <w:r w:rsidR="000845E8" w:rsidRPr="00012C17">
        <w:rPr>
          <w:rFonts w:cs="Arial"/>
          <w:i/>
          <w:iCs/>
          <w:color w:val="000000"/>
          <w:sz w:val="24"/>
        </w:rPr>
        <w:t>review any of the decisions taken after the presentation of new facts by the interested party</w:t>
      </w:r>
      <w:r w:rsidR="000845E8" w:rsidRPr="00012C17">
        <w:rPr>
          <w:rFonts w:cs="Arial"/>
          <w:color w:val="000000"/>
          <w:sz w:val="24"/>
        </w:rPr>
        <w:t>”. The Court notes that the Venice Commission also recognizes the right to present evidence/facts after a complaint has been filed. (See section 6, paragraph 3.3, paragraph 65 item (a) of the Report on Dispute Resolution).</w:t>
      </w:r>
      <w:r w:rsidRPr="00012C17">
        <w:rPr>
          <w:rFonts w:cs="Arial"/>
          <w:color w:val="000000"/>
          <w:sz w:val="24"/>
        </w:rPr>
        <w:t xml:space="preserve"> </w:t>
      </w:r>
      <w:r w:rsidR="000845E8" w:rsidRPr="00012C17">
        <w:rPr>
          <w:rFonts w:cs="Arial"/>
          <w:color w:val="000000"/>
          <w:sz w:val="24"/>
        </w:rPr>
        <w:t>In fact, these</w:t>
      </w:r>
      <w:r w:rsidRPr="00012C17">
        <w:rPr>
          <w:rFonts w:cs="Arial"/>
          <w:color w:val="000000"/>
          <w:sz w:val="24"/>
        </w:rPr>
        <w:t xml:space="preserve"> allegations of irregularities on the Election Day</w:t>
      </w:r>
      <w:r w:rsidR="000845E8" w:rsidRPr="00012C17">
        <w:rPr>
          <w:rFonts w:cs="Arial"/>
          <w:color w:val="000000"/>
          <w:sz w:val="24"/>
        </w:rPr>
        <w:t>,</w:t>
      </w:r>
      <w:r w:rsidRPr="00012C17">
        <w:rPr>
          <w:rFonts w:cs="Arial"/>
          <w:color w:val="000000"/>
          <w:sz w:val="24"/>
        </w:rPr>
        <w:t xml:space="preserve"> </w:t>
      </w:r>
      <w:r w:rsidR="000845E8" w:rsidRPr="00012C17">
        <w:rPr>
          <w:rFonts w:cs="Arial"/>
          <w:color w:val="000000"/>
          <w:sz w:val="24"/>
        </w:rPr>
        <w:t>which</w:t>
      </w:r>
      <w:r w:rsidRPr="00012C17">
        <w:rPr>
          <w:rFonts w:cs="Arial"/>
          <w:color w:val="000000"/>
          <w:sz w:val="24"/>
        </w:rPr>
        <w:t xml:space="preserve"> according to the </w:t>
      </w:r>
      <w:r w:rsidR="000845E8" w:rsidRPr="00012C17">
        <w:rPr>
          <w:rFonts w:cs="Arial"/>
          <w:color w:val="000000"/>
          <w:sz w:val="24"/>
        </w:rPr>
        <w:t xml:space="preserve">case file, </w:t>
      </w:r>
      <w:r w:rsidRPr="00012C17">
        <w:rPr>
          <w:rFonts w:cs="Arial"/>
          <w:color w:val="000000"/>
          <w:sz w:val="24"/>
        </w:rPr>
        <w:t>were submitted to the ECAP only after 10 days</w:t>
      </w:r>
      <w:r w:rsidR="00FA0DC0" w:rsidRPr="00012C17">
        <w:rPr>
          <w:rFonts w:cs="Arial"/>
          <w:color w:val="000000"/>
          <w:sz w:val="24"/>
        </w:rPr>
        <w:t>, after the first decision was rendered by the Supreme Court</w:t>
      </w:r>
      <w:r w:rsidRPr="00012C17">
        <w:rPr>
          <w:rFonts w:cs="Arial"/>
          <w:color w:val="000000"/>
          <w:sz w:val="24"/>
        </w:rPr>
        <w:t xml:space="preserve">, </w:t>
      </w:r>
      <w:r w:rsidRPr="00012C17">
        <w:rPr>
          <w:rFonts w:cs="Arial"/>
          <w:color w:val="000000"/>
          <w:sz w:val="24"/>
        </w:rPr>
        <w:lastRenderedPageBreak/>
        <w:t>and</w:t>
      </w:r>
      <w:r w:rsidR="00FA0DC0" w:rsidRPr="00012C17">
        <w:rPr>
          <w:rFonts w:cs="Arial"/>
          <w:color w:val="000000"/>
          <w:sz w:val="24"/>
        </w:rPr>
        <w:t>, accordingly,</w:t>
      </w:r>
      <w:r w:rsidR="001B11C5" w:rsidRPr="00012C17">
        <w:rPr>
          <w:rFonts w:cs="Arial"/>
          <w:color w:val="000000"/>
          <w:sz w:val="24"/>
        </w:rPr>
        <w:t xml:space="preserve"> </w:t>
      </w:r>
      <w:r w:rsidRPr="00012C17">
        <w:rPr>
          <w:rFonts w:cs="Arial"/>
          <w:color w:val="000000"/>
          <w:sz w:val="24"/>
        </w:rPr>
        <w:t>after all the deadlines for complaints and decision-making necessary for the announcement of the final results</w:t>
      </w:r>
      <w:r w:rsidR="000845E8" w:rsidRPr="00012C17">
        <w:rPr>
          <w:rFonts w:cs="Arial"/>
          <w:color w:val="000000"/>
          <w:sz w:val="24"/>
        </w:rPr>
        <w:t xml:space="preserve"> have expired</w:t>
      </w:r>
      <w:r w:rsidRPr="00012C17">
        <w:rPr>
          <w:rFonts w:cs="Arial"/>
          <w:color w:val="000000"/>
          <w:sz w:val="24"/>
        </w:rPr>
        <w:t xml:space="preserve">. </w:t>
      </w:r>
    </w:p>
    <w:p w:rsidR="000845E8" w:rsidRPr="00012C17" w:rsidRDefault="000845E8" w:rsidP="001B11C5">
      <w:pPr>
        <w:spacing w:line="240" w:lineRule="auto"/>
        <w:ind w:left="720"/>
        <w:rPr>
          <w:bCs/>
          <w:iCs/>
          <w:color w:val="000000"/>
          <w:sz w:val="24"/>
        </w:rPr>
      </w:pPr>
    </w:p>
    <w:p w:rsidR="00D16382" w:rsidRPr="00012C17" w:rsidRDefault="000845E8" w:rsidP="001B11C5">
      <w:pPr>
        <w:numPr>
          <w:ilvl w:val="0"/>
          <w:numId w:val="1"/>
        </w:numPr>
        <w:spacing w:line="240" w:lineRule="auto"/>
        <w:ind w:left="630" w:hanging="630"/>
        <w:rPr>
          <w:rFonts w:cs="Helvetica"/>
          <w:color w:val="000000"/>
          <w:sz w:val="24"/>
        </w:rPr>
      </w:pPr>
      <w:r w:rsidRPr="00012C17">
        <w:rPr>
          <w:rFonts w:cs="Helvetica"/>
          <w:color w:val="000000"/>
          <w:sz w:val="24"/>
        </w:rPr>
        <w:t>Moreover, relevant to the circumstances of the present case, is the fact that the Explanatory Report also stipulates that it is important to avoid decisions on inadmissibility or to refuse to award decisions on merits, but the Expl</w:t>
      </w:r>
      <w:r w:rsidR="00E9195A" w:rsidRPr="00012C17">
        <w:rPr>
          <w:rFonts w:cs="Helvetica"/>
          <w:color w:val="000000"/>
          <w:sz w:val="24"/>
        </w:rPr>
        <w:t xml:space="preserve">anatory </w:t>
      </w:r>
      <w:r w:rsidRPr="00012C17">
        <w:rPr>
          <w:rFonts w:cs="Helvetica"/>
          <w:color w:val="000000"/>
          <w:sz w:val="24"/>
        </w:rPr>
        <w:t xml:space="preserve">Report relates the latter with the circumstances where there may be a conflict of jurisdiction over the election appeals or for other formal reasons on which the relevant courts may refuse to answer the merits. The Court notes, however, that the Code of Good Practice, </w:t>
      </w:r>
      <w:r w:rsidR="004622A8" w:rsidRPr="00012C17">
        <w:rPr>
          <w:rFonts w:cs="Helvetica"/>
          <w:color w:val="000000"/>
          <w:sz w:val="24"/>
        </w:rPr>
        <w:t xml:space="preserve">the </w:t>
      </w:r>
      <w:r w:rsidRPr="00012C17">
        <w:rPr>
          <w:rFonts w:cs="Helvetica"/>
          <w:color w:val="000000"/>
          <w:sz w:val="24"/>
        </w:rPr>
        <w:t xml:space="preserve">Explanatory Report, </w:t>
      </w:r>
      <w:r w:rsidR="004622A8" w:rsidRPr="00012C17">
        <w:rPr>
          <w:rFonts w:cs="Helvetica"/>
          <w:color w:val="000000"/>
          <w:sz w:val="24"/>
        </w:rPr>
        <w:t xml:space="preserve">the </w:t>
      </w:r>
      <w:r w:rsidR="00E9195A" w:rsidRPr="00012C17">
        <w:rPr>
          <w:rFonts w:cs="Helvetica"/>
          <w:color w:val="000000"/>
          <w:sz w:val="24"/>
        </w:rPr>
        <w:t xml:space="preserve">Report on </w:t>
      </w:r>
      <w:r w:rsidRPr="00012C17">
        <w:rPr>
          <w:rFonts w:cs="Helvetica"/>
          <w:color w:val="000000"/>
          <w:sz w:val="24"/>
        </w:rPr>
        <w:t>Dispute</w:t>
      </w:r>
      <w:r w:rsidR="00597C38" w:rsidRPr="00012C17">
        <w:rPr>
          <w:rFonts w:cs="Helvetica"/>
          <w:color w:val="000000"/>
          <w:sz w:val="24"/>
        </w:rPr>
        <w:t xml:space="preserve"> Resolution</w:t>
      </w:r>
      <w:r w:rsidRPr="00012C17">
        <w:rPr>
          <w:rFonts w:cs="Helvetica"/>
          <w:color w:val="000000"/>
          <w:sz w:val="24"/>
        </w:rPr>
        <w:t xml:space="preserve">, and the Report on </w:t>
      </w:r>
      <w:r w:rsidR="00E9195A" w:rsidRPr="00012C17">
        <w:rPr>
          <w:rFonts w:cs="Helvetica"/>
          <w:color w:val="000000"/>
          <w:sz w:val="24"/>
        </w:rPr>
        <w:t xml:space="preserve">the </w:t>
      </w:r>
      <w:r w:rsidRPr="00012C17">
        <w:rPr>
          <w:rFonts w:cs="Helvetica"/>
          <w:color w:val="000000"/>
          <w:sz w:val="24"/>
        </w:rPr>
        <w:t xml:space="preserve">Cancellation of Results, and in this </w:t>
      </w:r>
      <w:r w:rsidR="00FA0DC0" w:rsidRPr="00012C17">
        <w:rPr>
          <w:rFonts w:cs="Helvetica"/>
          <w:color w:val="000000"/>
          <w:sz w:val="24"/>
        </w:rPr>
        <w:t>view</w:t>
      </w:r>
      <w:r w:rsidRPr="00012C17">
        <w:rPr>
          <w:rFonts w:cs="Helvetica"/>
          <w:color w:val="000000"/>
          <w:sz w:val="24"/>
        </w:rPr>
        <w:t xml:space="preserve">, </w:t>
      </w:r>
      <w:r w:rsidR="00341371" w:rsidRPr="00012C17">
        <w:rPr>
          <w:rFonts w:cs="Helvetica"/>
          <w:color w:val="000000"/>
          <w:sz w:val="24"/>
        </w:rPr>
        <w:t xml:space="preserve">also </w:t>
      </w:r>
      <w:r w:rsidRPr="00012C17">
        <w:rPr>
          <w:rFonts w:cs="Helvetica"/>
          <w:color w:val="000000"/>
          <w:sz w:val="24"/>
        </w:rPr>
        <w:t xml:space="preserve">the </w:t>
      </w:r>
      <w:r w:rsidR="00012C17" w:rsidRPr="00012C17">
        <w:rPr>
          <w:rFonts w:cs="Helvetica"/>
          <w:color w:val="000000"/>
          <w:sz w:val="24"/>
        </w:rPr>
        <w:t>case-law</w:t>
      </w:r>
      <w:r w:rsidRPr="00012C17">
        <w:rPr>
          <w:rFonts w:cs="Helvetica"/>
          <w:color w:val="000000"/>
          <w:sz w:val="24"/>
        </w:rPr>
        <w:t xml:space="preserve"> of the EC</w:t>
      </w:r>
      <w:r w:rsidR="00341371" w:rsidRPr="00012C17">
        <w:rPr>
          <w:rFonts w:cs="Helvetica"/>
          <w:color w:val="000000"/>
          <w:sz w:val="24"/>
        </w:rPr>
        <w:t>t</w:t>
      </w:r>
      <w:r w:rsidRPr="00012C17">
        <w:rPr>
          <w:rFonts w:cs="Helvetica"/>
          <w:color w:val="000000"/>
          <w:sz w:val="24"/>
        </w:rPr>
        <w:t xml:space="preserve">HR, in the context of requests for lack of formalities or even requests for </w:t>
      </w:r>
      <w:r w:rsidR="00341371" w:rsidRPr="00012C17">
        <w:rPr>
          <w:rFonts w:cs="Helvetica"/>
          <w:color w:val="000000"/>
          <w:sz w:val="24"/>
        </w:rPr>
        <w:t>avoiding</w:t>
      </w:r>
      <w:r w:rsidRPr="00012C17">
        <w:rPr>
          <w:rFonts w:cs="Helvetica"/>
          <w:color w:val="000000"/>
          <w:sz w:val="24"/>
        </w:rPr>
        <w:t xml:space="preserve"> </w:t>
      </w:r>
      <w:r w:rsidR="00341371" w:rsidRPr="00012C17">
        <w:rPr>
          <w:rFonts w:cs="Helvetica"/>
          <w:color w:val="000000"/>
          <w:sz w:val="24"/>
        </w:rPr>
        <w:t>the</w:t>
      </w:r>
      <w:r w:rsidRPr="00012C17">
        <w:rPr>
          <w:rFonts w:cs="Helvetica"/>
          <w:color w:val="000000"/>
          <w:sz w:val="24"/>
        </w:rPr>
        <w:t xml:space="preserve"> decisions </w:t>
      </w:r>
      <w:r w:rsidR="00341371" w:rsidRPr="00012C17">
        <w:rPr>
          <w:rFonts w:cs="Helvetica"/>
          <w:color w:val="000000"/>
          <w:sz w:val="24"/>
        </w:rPr>
        <w:t xml:space="preserve">on </w:t>
      </w:r>
      <w:r w:rsidRPr="00012C17">
        <w:rPr>
          <w:rFonts w:cs="Helvetica"/>
          <w:color w:val="000000"/>
          <w:sz w:val="24"/>
        </w:rPr>
        <w:t xml:space="preserve">inadmissibility, do not refer to non-compliance with deadlines for filing complaints related to </w:t>
      </w:r>
      <w:r w:rsidR="00341371" w:rsidRPr="00012C17">
        <w:rPr>
          <w:rFonts w:cs="Helvetica"/>
          <w:color w:val="000000"/>
          <w:sz w:val="24"/>
        </w:rPr>
        <w:t>election</w:t>
      </w:r>
      <w:r w:rsidRPr="00012C17">
        <w:rPr>
          <w:rFonts w:cs="Helvetica"/>
          <w:color w:val="000000"/>
          <w:sz w:val="24"/>
        </w:rPr>
        <w:t xml:space="preserve"> disputes. </w:t>
      </w:r>
      <w:r w:rsidR="00341371" w:rsidRPr="00012C17">
        <w:rPr>
          <w:rFonts w:cs="Helvetica"/>
          <w:color w:val="000000"/>
          <w:sz w:val="24"/>
        </w:rPr>
        <w:t>On the contrary</w:t>
      </w:r>
      <w:r w:rsidRPr="00012C17">
        <w:rPr>
          <w:rFonts w:cs="Helvetica"/>
          <w:color w:val="000000"/>
          <w:sz w:val="24"/>
        </w:rPr>
        <w:t xml:space="preserve">, </w:t>
      </w:r>
      <w:r w:rsidR="00341371" w:rsidRPr="00012C17">
        <w:rPr>
          <w:rFonts w:cs="Helvetica"/>
          <w:color w:val="000000"/>
          <w:sz w:val="24"/>
        </w:rPr>
        <w:t>the latter</w:t>
      </w:r>
      <w:r w:rsidRPr="00012C17">
        <w:rPr>
          <w:rFonts w:cs="Helvetica"/>
          <w:color w:val="000000"/>
          <w:sz w:val="24"/>
        </w:rPr>
        <w:t xml:space="preserve"> emphasize the importance of short deadlines. Except</w:t>
      </w:r>
      <w:r w:rsidR="00341371" w:rsidRPr="00012C17">
        <w:rPr>
          <w:rFonts w:cs="Helvetica"/>
          <w:color w:val="000000"/>
          <w:sz w:val="24"/>
        </w:rPr>
        <w:t>ion</w:t>
      </w:r>
      <w:r w:rsidRPr="00012C17">
        <w:rPr>
          <w:rFonts w:cs="Helvetica"/>
          <w:color w:val="000000"/>
          <w:sz w:val="24"/>
        </w:rPr>
        <w:t xml:space="preserve"> for </w:t>
      </w:r>
      <w:r w:rsidR="00C21BBF" w:rsidRPr="00012C17">
        <w:rPr>
          <w:rFonts w:cs="Helvetica"/>
          <w:color w:val="000000"/>
          <w:sz w:val="24"/>
        </w:rPr>
        <w:t>this</w:t>
      </w:r>
      <w:r w:rsidRPr="00012C17">
        <w:rPr>
          <w:rFonts w:cs="Helvetica"/>
          <w:color w:val="000000"/>
          <w:sz w:val="24"/>
        </w:rPr>
        <w:t xml:space="preserve"> </w:t>
      </w:r>
      <w:r w:rsidR="00341371" w:rsidRPr="00012C17">
        <w:rPr>
          <w:rFonts w:cs="Helvetica"/>
          <w:color w:val="000000"/>
          <w:sz w:val="24"/>
        </w:rPr>
        <w:t>is</w:t>
      </w:r>
      <w:r w:rsidRPr="00012C17">
        <w:rPr>
          <w:rFonts w:cs="Helvetica"/>
          <w:color w:val="000000"/>
          <w:sz w:val="24"/>
        </w:rPr>
        <w:t xml:space="preserve"> the right to present evidence</w:t>
      </w:r>
      <w:r w:rsidR="00341371" w:rsidRPr="00012C17">
        <w:rPr>
          <w:rFonts w:cs="Helvetica"/>
          <w:color w:val="000000"/>
          <w:sz w:val="24"/>
        </w:rPr>
        <w:t>/</w:t>
      </w:r>
      <w:r w:rsidRPr="00012C17">
        <w:rPr>
          <w:rFonts w:cs="Helvetica"/>
          <w:color w:val="000000"/>
          <w:sz w:val="24"/>
        </w:rPr>
        <w:t xml:space="preserve">facts after a complaint has been filed, and before the relevant </w:t>
      </w:r>
      <w:r w:rsidR="00FA0DC0" w:rsidRPr="00012C17">
        <w:rPr>
          <w:rFonts w:cs="Helvetica"/>
          <w:color w:val="000000"/>
          <w:sz w:val="24"/>
        </w:rPr>
        <w:t xml:space="preserve">final </w:t>
      </w:r>
      <w:r w:rsidRPr="00012C17">
        <w:rPr>
          <w:rFonts w:cs="Helvetica"/>
          <w:color w:val="000000"/>
          <w:sz w:val="24"/>
        </w:rPr>
        <w:t>decision has bee</w:t>
      </w:r>
      <w:r w:rsidR="00341371" w:rsidRPr="00012C17">
        <w:rPr>
          <w:rFonts w:cs="Helvetica"/>
          <w:color w:val="000000"/>
          <w:sz w:val="24"/>
        </w:rPr>
        <w:t xml:space="preserve">n taken. (See section 6, item </w:t>
      </w:r>
      <w:r w:rsidRPr="00012C17">
        <w:rPr>
          <w:rFonts w:cs="Helvetica"/>
          <w:color w:val="000000"/>
          <w:sz w:val="24"/>
        </w:rPr>
        <w:t xml:space="preserve">3.3, paragraph 65 item (a) of the Report on Dispute Resolution). Appeals </w:t>
      </w:r>
      <w:r w:rsidR="004622A8" w:rsidRPr="00012C17">
        <w:rPr>
          <w:rFonts w:cs="Helvetica"/>
          <w:color w:val="000000"/>
          <w:sz w:val="24"/>
        </w:rPr>
        <w:t xml:space="preserve">and evidence/facts </w:t>
      </w:r>
      <w:r w:rsidRPr="00012C17">
        <w:rPr>
          <w:rFonts w:cs="Helvetica"/>
          <w:color w:val="000000"/>
          <w:sz w:val="24"/>
        </w:rPr>
        <w:t>submitted after the deadlines set by law do not fall into this category.</w:t>
      </w:r>
    </w:p>
    <w:p w:rsidR="00341371" w:rsidRPr="00012C17" w:rsidRDefault="00341371" w:rsidP="001B11C5">
      <w:pPr>
        <w:tabs>
          <w:tab w:val="left" w:pos="720"/>
        </w:tabs>
        <w:spacing w:line="240" w:lineRule="auto"/>
        <w:ind w:left="720"/>
        <w:rPr>
          <w:rFonts w:cs="Helvetica"/>
          <w:color w:val="000000"/>
          <w:sz w:val="24"/>
        </w:rPr>
      </w:pPr>
    </w:p>
    <w:p w:rsidR="0009142C" w:rsidRPr="00012C17" w:rsidRDefault="00341371" w:rsidP="001B11C5">
      <w:pPr>
        <w:numPr>
          <w:ilvl w:val="0"/>
          <w:numId w:val="1"/>
        </w:numPr>
        <w:spacing w:line="240" w:lineRule="auto"/>
        <w:ind w:left="630" w:hanging="630"/>
        <w:rPr>
          <w:bCs/>
          <w:color w:val="000000"/>
          <w:sz w:val="24"/>
        </w:rPr>
      </w:pPr>
      <w:r w:rsidRPr="00012C17">
        <w:rPr>
          <w:bCs/>
          <w:color w:val="000000"/>
          <w:sz w:val="24"/>
        </w:rPr>
        <w:t>Therefore, the Court finds that the Second Decision [A</w:t>
      </w:r>
      <w:r w:rsidR="006634E8" w:rsidRPr="00012C17">
        <w:rPr>
          <w:bCs/>
          <w:color w:val="000000"/>
          <w:sz w:val="24"/>
        </w:rPr>
        <w:t>.</w:t>
      </w:r>
      <w:r w:rsidRPr="00012C17">
        <w:rPr>
          <w:bCs/>
          <w:color w:val="000000"/>
          <w:sz w:val="24"/>
        </w:rPr>
        <w:t xml:space="preserve">A. U.ZH. No. 62/2017] of the Supreme Court was not rendered in contravention of the law and has not interpreted the applicable election law in an arbitrary manner. Moreover, the Court notes that the circumstances of the present case and the allegations of the Applicants do not find support in any of the cases of the ECtHR, </w:t>
      </w:r>
      <w:r w:rsidR="00C21BBF" w:rsidRPr="00012C17">
        <w:rPr>
          <w:bCs/>
          <w:color w:val="000000"/>
          <w:sz w:val="24"/>
        </w:rPr>
        <w:t>or</w:t>
      </w:r>
      <w:r w:rsidRPr="00012C17">
        <w:rPr>
          <w:bCs/>
          <w:color w:val="000000"/>
          <w:sz w:val="24"/>
        </w:rPr>
        <w:t xml:space="preserve"> in the </w:t>
      </w:r>
      <w:r w:rsidR="00012C17" w:rsidRPr="00012C17">
        <w:rPr>
          <w:bCs/>
          <w:color w:val="000000"/>
          <w:sz w:val="24"/>
        </w:rPr>
        <w:t>case-law</w:t>
      </w:r>
      <w:r w:rsidRPr="00012C17">
        <w:rPr>
          <w:bCs/>
          <w:color w:val="000000"/>
          <w:sz w:val="24"/>
        </w:rPr>
        <w:t xml:space="preserve"> of the Venice Commission member states, as elaborated above.</w:t>
      </w:r>
    </w:p>
    <w:p w:rsidR="008D502C" w:rsidRPr="00012C17" w:rsidRDefault="008D502C" w:rsidP="001B11C5">
      <w:pPr>
        <w:spacing w:line="240" w:lineRule="auto"/>
        <w:ind w:left="720"/>
        <w:rPr>
          <w:bCs/>
          <w:iCs/>
          <w:color w:val="000000"/>
          <w:sz w:val="24"/>
        </w:rPr>
      </w:pPr>
    </w:p>
    <w:p w:rsidR="00E84FF8" w:rsidRPr="00012C17" w:rsidRDefault="003532BE" w:rsidP="003532BE">
      <w:pPr>
        <w:autoSpaceDE w:val="0"/>
        <w:autoSpaceDN w:val="0"/>
        <w:adjustRightInd w:val="0"/>
        <w:spacing w:line="240" w:lineRule="auto"/>
        <w:ind w:left="720" w:hanging="90"/>
        <w:rPr>
          <w:rFonts w:eastAsia="Calibri" w:cs="Helvetica"/>
          <w:i/>
          <w:color w:val="000000"/>
          <w:sz w:val="24"/>
        </w:rPr>
      </w:pPr>
      <w:r w:rsidRPr="00012C17">
        <w:rPr>
          <w:rFonts w:eastAsia="Calibri" w:cs="Helvetica"/>
          <w:i/>
          <w:color w:val="000000"/>
          <w:sz w:val="24"/>
        </w:rPr>
        <w:t xml:space="preserve">(iii) </w:t>
      </w:r>
      <w:r w:rsidR="00E84FF8" w:rsidRPr="00012C17">
        <w:rPr>
          <w:rFonts w:eastAsia="Calibri" w:cs="Helvetica"/>
          <w:i/>
          <w:color w:val="000000"/>
          <w:sz w:val="24"/>
        </w:rPr>
        <w:t xml:space="preserve">Regarding “minimal and balanced irregularities” </w:t>
      </w:r>
    </w:p>
    <w:p w:rsidR="00E84FF8" w:rsidRPr="00012C17" w:rsidRDefault="00E84FF8" w:rsidP="001B11C5">
      <w:pPr>
        <w:spacing w:line="240" w:lineRule="auto"/>
        <w:rPr>
          <w:color w:val="000000"/>
          <w:sz w:val="24"/>
        </w:rPr>
      </w:pPr>
    </w:p>
    <w:p w:rsidR="00E84FF8" w:rsidRPr="00012C17" w:rsidRDefault="00E84FF8" w:rsidP="001B11C5">
      <w:pPr>
        <w:numPr>
          <w:ilvl w:val="0"/>
          <w:numId w:val="1"/>
        </w:numPr>
        <w:spacing w:line="240" w:lineRule="auto"/>
        <w:ind w:left="630" w:hanging="630"/>
        <w:rPr>
          <w:color w:val="000000"/>
          <w:sz w:val="24"/>
        </w:rPr>
      </w:pPr>
      <w:r w:rsidRPr="00012C17">
        <w:rPr>
          <w:bCs/>
          <w:color w:val="000000"/>
          <w:sz w:val="24"/>
        </w:rPr>
        <w:t xml:space="preserve">The Court recalls that the </w:t>
      </w:r>
      <w:r w:rsidRPr="00012C17">
        <w:rPr>
          <w:rFonts w:cs="Helvetica"/>
          <w:color w:val="000000"/>
          <w:sz w:val="24"/>
        </w:rPr>
        <w:t>Applicants</w:t>
      </w:r>
      <w:r w:rsidRPr="00012C17">
        <w:rPr>
          <w:bCs/>
          <w:color w:val="000000"/>
          <w:sz w:val="24"/>
        </w:rPr>
        <w:t xml:space="preserve"> allege that the findings of the Supreme Court are arbitrary because they conclude that “</w:t>
      </w:r>
      <w:r w:rsidRPr="00012C17">
        <w:rPr>
          <w:bCs/>
          <w:i/>
          <w:iCs/>
          <w:color w:val="000000"/>
          <w:sz w:val="24"/>
        </w:rPr>
        <w:t>during the counting in some polling stations, the irregularities were noted but were minimal and balanced, because the two candidates were affected</w:t>
      </w:r>
      <w:r w:rsidRPr="00012C17">
        <w:rPr>
          <w:bCs/>
          <w:color w:val="000000"/>
          <w:sz w:val="24"/>
        </w:rPr>
        <w:t>”.</w:t>
      </w:r>
      <w:r w:rsidRPr="00012C17">
        <w:rPr>
          <w:bCs/>
          <w:i/>
          <w:iCs/>
          <w:color w:val="000000"/>
          <w:sz w:val="24"/>
        </w:rPr>
        <w:t xml:space="preserve"> </w:t>
      </w:r>
      <w:r w:rsidRPr="00012C17">
        <w:rPr>
          <w:bCs/>
          <w:color w:val="000000"/>
          <w:sz w:val="24"/>
        </w:rPr>
        <w:t>In this regard, the Applicant</w:t>
      </w:r>
      <w:r w:rsidR="00341371" w:rsidRPr="00012C17">
        <w:rPr>
          <w:bCs/>
          <w:color w:val="000000"/>
          <w:sz w:val="24"/>
        </w:rPr>
        <w:t>s allege</w:t>
      </w:r>
      <w:r w:rsidRPr="00012C17">
        <w:rPr>
          <w:bCs/>
          <w:color w:val="000000"/>
          <w:sz w:val="24"/>
        </w:rPr>
        <w:t xml:space="preserve"> that</w:t>
      </w:r>
      <w:r w:rsidRPr="00012C17">
        <w:rPr>
          <w:bCs/>
          <w:i/>
          <w:iCs/>
          <w:color w:val="000000"/>
          <w:sz w:val="24"/>
        </w:rPr>
        <w:t xml:space="preserve"> “violation of constitutional rights exists or does not exist- it cannot be said to have been violated little or much”.</w:t>
      </w:r>
    </w:p>
    <w:p w:rsidR="00341371" w:rsidRPr="00012C17" w:rsidRDefault="00341371" w:rsidP="001B11C5">
      <w:pPr>
        <w:spacing w:line="240" w:lineRule="auto"/>
        <w:ind w:left="720"/>
        <w:rPr>
          <w:color w:val="000000"/>
          <w:sz w:val="24"/>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 xml:space="preserve">In addressing this allegation, the Court first notes that it does not find that the ECAP or the Supreme </w:t>
      </w:r>
      <w:r w:rsidRPr="00012C17">
        <w:rPr>
          <w:rFonts w:cs="Helvetica"/>
          <w:color w:val="000000"/>
          <w:sz w:val="24"/>
        </w:rPr>
        <w:t>Court</w:t>
      </w:r>
      <w:r w:rsidRPr="00012C17">
        <w:rPr>
          <w:color w:val="000000"/>
          <w:sz w:val="24"/>
        </w:rPr>
        <w:t xml:space="preserve"> reached this conclusion or found that there were any irregularities which could be “</w:t>
      </w:r>
      <w:r w:rsidRPr="00012C17">
        <w:rPr>
          <w:i/>
          <w:iCs/>
          <w:color w:val="000000"/>
          <w:sz w:val="24"/>
        </w:rPr>
        <w:t>minimal and balanced</w:t>
      </w:r>
      <w:r w:rsidRPr="00012C17">
        <w:rPr>
          <w:color w:val="000000"/>
          <w:sz w:val="24"/>
        </w:rPr>
        <w:t>”</w:t>
      </w:r>
      <w:r w:rsidR="001B286F" w:rsidRPr="00012C17">
        <w:rPr>
          <w:color w:val="000000"/>
          <w:sz w:val="24"/>
        </w:rPr>
        <w:t xml:space="preserve"> -</w:t>
      </w:r>
      <w:r w:rsidR="006E52F9" w:rsidRPr="00012C17">
        <w:rPr>
          <w:color w:val="000000"/>
          <w:sz w:val="24"/>
        </w:rPr>
        <w:t xml:space="preserve"> </w:t>
      </w:r>
      <w:r w:rsidRPr="00012C17">
        <w:rPr>
          <w:color w:val="000000"/>
          <w:sz w:val="24"/>
        </w:rPr>
        <w:t xml:space="preserve">as claimed by the Applicants. </w:t>
      </w:r>
    </w:p>
    <w:p w:rsidR="001B286F" w:rsidRPr="00012C17" w:rsidRDefault="001B286F"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 xml:space="preserve">However, the Court notes that such an allegation may be related to the </w:t>
      </w:r>
      <w:r w:rsidR="001B286F" w:rsidRPr="00012C17">
        <w:rPr>
          <w:color w:val="000000"/>
          <w:sz w:val="24"/>
        </w:rPr>
        <w:t xml:space="preserve">context of the </w:t>
      </w:r>
      <w:r w:rsidR="00C21BBF" w:rsidRPr="00012C17">
        <w:rPr>
          <w:color w:val="000000"/>
          <w:sz w:val="24"/>
        </w:rPr>
        <w:t>s</w:t>
      </w:r>
      <w:r w:rsidR="001B286F" w:rsidRPr="00012C17">
        <w:rPr>
          <w:color w:val="000000"/>
          <w:sz w:val="24"/>
        </w:rPr>
        <w:t xml:space="preserve">econd Decision </w:t>
      </w:r>
      <w:r w:rsidRPr="00012C17">
        <w:rPr>
          <w:color w:val="000000"/>
          <w:sz w:val="24"/>
        </w:rPr>
        <w:t>of the ECAP, namely Decision [ZL. A</w:t>
      </w:r>
      <w:r w:rsidR="00453209" w:rsidRPr="00012C17">
        <w:rPr>
          <w:color w:val="000000"/>
          <w:sz w:val="24"/>
        </w:rPr>
        <w:t xml:space="preserve">. </w:t>
      </w:r>
      <w:r w:rsidRPr="00012C17">
        <w:rPr>
          <w:color w:val="000000"/>
          <w:sz w:val="24"/>
        </w:rPr>
        <w:t xml:space="preserve">no. 1125/2017] of 1 December 2017, and the second </w:t>
      </w:r>
      <w:r w:rsidR="00C21BBF" w:rsidRPr="00012C17">
        <w:rPr>
          <w:color w:val="000000"/>
          <w:sz w:val="24"/>
        </w:rPr>
        <w:t>D</w:t>
      </w:r>
      <w:r w:rsidRPr="00012C17">
        <w:rPr>
          <w:color w:val="000000"/>
          <w:sz w:val="24"/>
        </w:rPr>
        <w:t>ecision of the Supreme Court, namely</w:t>
      </w:r>
      <w:r w:rsidR="001B286F" w:rsidRPr="00012C17">
        <w:rPr>
          <w:color w:val="000000"/>
          <w:sz w:val="24"/>
        </w:rPr>
        <w:t xml:space="preserve"> Judgment [A</w:t>
      </w:r>
      <w:r w:rsidR="006634E8" w:rsidRPr="00012C17">
        <w:rPr>
          <w:color w:val="000000"/>
          <w:sz w:val="24"/>
        </w:rPr>
        <w:t>.</w:t>
      </w:r>
      <w:r w:rsidR="001B286F" w:rsidRPr="00012C17">
        <w:rPr>
          <w:color w:val="000000"/>
          <w:sz w:val="24"/>
        </w:rPr>
        <w:t>A.</w:t>
      </w:r>
      <w:r w:rsidRPr="00012C17">
        <w:rPr>
          <w:color w:val="000000"/>
          <w:sz w:val="24"/>
        </w:rPr>
        <w:t xml:space="preserve">U.ZH. No. 62/2017] of 7 December 2017, decisions which, </w:t>
      </w:r>
      <w:r w:rsidRPr="00012C17">
        <w:rPr>
          <w:i/>
          <w:iCs/>
          <w:color w:val="000000"/>
          <w:sz w:val="24"/>
        </w:rPr>
        <w:t>inter alia</w:t>
      </w:r>
      <w:r w:rsidRPr="00012C17">
        <w:rPr>
          <w:color w:val="000000"/>
          <w:sz w:val="24"/>
        </w:rPr>
        <w:t>, dealt with the findings of the ECA</w:t>
      </w:r>
      <w:r w:rsidR="001B286F" w:rsidRPr="00012C17">
        <w:rPr>
          <w:color w:val="000000"/>
          <w:sz w:val="24"/>
        </w:rPr>
        <w:t>P</w:t>
      </w:r>
      <w:r w:rsidRPr="00012C17">
        <w:rPr>
          <w:color w:val="000000"/>
          <w:sz w:val="24"/>
        </w:rPr>
        <w:t xml:space="preserve"> investigative teams for addressing the Applicants’ allegation regarding invalid and </w:t>
      </w:r>
      <w:r w:rsidR="001B286F" w:rsidRPr="00012C17">
        <w:rPr>
          <w:color w:val="000000"/>
          <w:sz w:val="24"/>
        </w:rPr>
        <w:t>blank</w:t>
      </w:r>
      <w:r w:rsidRPr="00012C17">
        <w:rPr>
          <w:color w:val="000000"/>
          <w:sz w:val="24"/>
        </w:rPr>
        <w:t xml:space="preserve"> ballot papers. </w:t>
      </w:r>
    </w:p>
    <w:p w:rsidR="001B286F" w:rsidRPr="00012C17" w:rsidRDefault="001B286F"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lastRenderedPageBreak/>
        <w:t xml:space="preserve">In this regard, the </w:t>
      </w:r>
      <w:r w:rsidRPr="00012C17">
        <w:rPr>
          <w:rFonts w:cs="Helvetica"/>
          <w:color w:val="000000"/>
          <w:sz w:val="24"/>
        </w:rPr>
        <w:t>Court</w:t>
      </w:r>
      <w:r w:rsidRPr="00012C17">
        <w:rPr>
          <w:color w:val="000000"/>
          <w:sz w:val="24"/>
        </w:rPr>
        <w:t xml:space="preserve"> recalls that the ECAP based on </w:t>
      </w:r>
      <w:r w:rsidR="00453209" w:rsidRPr="00012C17">
        <w:rPr>
          <w:color w:val="000000"/>
          <w:sz w:val="24"/>
        </w:rPr>
        <w:t>Article</w:t>
      </w:r>
      <w:r w:rsidRPr="00012C17">
        <w:rPr>
          <w:color w:val="000000"/>
          <w:sz w:val="24"/>
        </w:rPr>
        <w:t xml:space="preserve"> 14 of </w:t>
      </w:r>
      <w:r w:rsidR="001B286F" w:rsidRPr="00012C17">
        <w:rPr>
          <w:color w:val="000000"/>
          <w:sz w:val="24"/>
        </w:rPr>
        <w:t>Regulation</w:t>
      </w:r>
      <w:r w:rsidRPr="00012C17">
        <w:rPr>
          <w:color w:val="000000"/>
          <w:sz w:val="24"/>
        </w:rPr>
        <w:t xml:space="preserve"> No. 02/2015, engaged investigative teams to review Applicants’ allegations, namely, the irregularities of invalid ballots, </w:t>
      </w:r>
      <w:r w:rsidR="001B286F" w:rsidRPr="00012C17">
        <w:rPr>
          <w:color w:val="000000"/>
          <w:sz w:val="24"/>
        </w:rPr>
        <w:t>blank</w:t>
      </w:r>
      <w:r w:rsidRPr="00012C17">
        <w:rPr>
          <w:color w:val="000000"/>
          <w:sz w:val="24"/>
        </w:rPr>
        <w:t xml:space="preserve"> ballots, and missing envelopes containing the conditional </w:t>
      </w:r>
      <w:r w:rsidR="001B286F" w:rsidRPr="00012C17">
        <w:rPr>
          <w:color w:val="000000"/>
          <w:sz w:val="24"/>
        </w:rPr>
        <w:t>votes</w:t>
      </w:r>
      <w:r w:rsidRPr="00012C17">
        <w:rPr>
          <w:color w:val="000000"/>
          <w:sz w:val="24"/>
        </w:rPr>
        <w:t>, which may have resulted in irregularities of a chain character known as the “</w:t>
      </w:r>
      <w:r w:rsidRPr="00012C17">
        <w:rPr>
          <w:i/>
          <w:iCs/>
          <w:color w:val="000000"/>
          <w:sz w:val="24"/>
        </w:rPr>
        <w:t>Bulgarian train</w:t>
      </w:r>
      <w:r w:rsidRPr="00012C17">
        <w:rPr>
          <w:color w:val="000000"/>
          <w:sz w:val="24"/>
        </w:rPr>
        <w:t xml:space="preserve">” in 31 polling stations that were challenged </w:t>
      </w:r>
      <w:r w:rsidR="00C21BBF" w:rsidRPr="00012C17">
        <w:rPr>
          <w:color w:val="000000"/>
          <w:sz w:val="24"/>
        </w:rPr>
        <w:t xml:space="preserve">by </w:t>
      </w:r>
      <w:r w:rsidRPr="00012C17">
        <w:rPr>
          <w:color w:val="000000"/>
          <w:sz w:val="24"/>
        </w:rPr>
        <w:t xml:space="preserve">the Applicants. The Court recalls that this investigating team, according to the reasoning of the ECAP and </w:t>
      </w:r>
      <w:r w:rsidR="00C21BBF" w:rsidRPr="00012C17">
        <w:rPr>
          <w:color w:val="000000"/>
          <w:sz w:val="24"/>
        </w:rPr>
        <w:t xml:space="preserve">the </w:t>
      </w:r>
      <w:r w:rsidRPr="00012C17">
        <w:rPr>
          <w:color w:val="000000"/>
          <w:sz w:val="24"/>
        </w:rPr>
        <w:t>Supreme Court, reviewed and re-evaluated invalid votes in all the polling stations specified by the Applicants and found that 4 of 183 ballots which had been declared invalid were in fact valid. This difference in the number of votes was included in the final result</w:t>
      </w:r>
      <w:r w:rsidR="00C21BBF" w:rsidRPr="00012C17">
        <w:rPr>
          <w:color w:val="000000"/>
          <w:sz w:val="24"/>
        </w:rPr>
        <w:t>s</w:t>
      </w:r>
      <w:r w:rsidRPr="00012C17">
        <w:rPr>
          <w:color w:val="000000"/>
          <w:sz w:val="24"/>
        </w:rPr>
        <w:t>. The findings of the ECAP investigative teams had shown that from these 4 votes declared invalid initially</w:t>
      </w:r>
      <w:r w:rsidR="00C21BBF" w:rsidRPr="00012C17">
        <w:rPr>
          <w:color w:val="000000"/>
          <w:sz w:val="24"/>
        </w:rPr>
        <w:t>,</w:t>
      </w:r>
      <w:r w:rsidRPr="00012C17">
        <w:rPr>
          <w:color w:val="000000"/>
          <w:sz w:val="24"/>
        </w:rPr>
        <w:t xml:space="preserve"> and </w:t>
      </w:r>
      <w:r w:rsidR="001B286F" w:rsidRPr="00012C17">
        <w:rPr>
          <w:color w:val="000000"/>
          <w:sz w:val="24"/>
        </w:rPr>
        <w:t>which</w:t>
      </w:r>
      <w:r w:rsidRPr="00012C17">
        <w:rPr>
          <w:color w:val="000000"/>
          <w:sz w:val="24"/>
        </w:rPr>
        <w:t xml:space="preserve"> </w:t>
      </w:r>
      <w:r w:rsidR="001B286F" w:rsidRPr="00012C17">
        <w:rPr>
          <w:color w:val="000000"/>
          <w:sz w:val="24"/>
        </w:rPr>
        <w:t>resulted</w:t>
      </w:r>
      <w:r w:rsidRPr="00012C17">
        <w:rPr>
          <w:color w:val="000000"/>
          <w:sz w:val="24"/>
        </w:rPr>
        <w:t xml:space="preserve"> valid, 2 had been in favor of the </w:t>
      </w:r>
      <w:r w:rsidR="001B286F" w:rsidRPr="00012C17">
        <w:rPr>
          <w:color w:val="000000"/>
          <w:sz w:val="24"/>
        </w:rPr>
        <w:t>Applicants</w:t>
      </w:r>
      <w:r w:rsidRPr="00012C17">
        <w:rPr>
          <w:color w:val="000000"/>
          <w:sz w:val="24"/>
        </w:rPr>
        <w:t xml:space="preserve"> while 2 in favor of Mr. Shpend Ahmeti. </w:t>
      </w:r>
    </w:p>
    <w:p w:rsidR="001B286F" w:rsidRPr="00012C17" w:rsidRDefault="001B286F"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The ECAP and the Supreme Court found that such findings did not result in “</w:t>
      </w:r>
      <w:r w:rsidRPr="00012C17">
        <w:rPr>
          <w:i/>
          <w:iCs/>
          <w:color w:val="000000"/>
          <w:sz w:val="24"/>
        </w:rPr>
        <w:t>inability to determine the will of the voters</w:t>
      </w:r>
      <w:r w:rsidRPr="00012C17">
        <w:rPr>
          <w:color w:val="000000"/>
          <w:sz w:val="24"/>
        </w:rPr>
        <w:t>” and that the latter “</w:t>
      </w:r>
      <w:r w:rsidRPr="00012C17">
        <w:rPr>
          <w:i/>
          <w:iCs/>
          <w:color w:val="000000"/>
          <w:sz w:val="24"/>
        </w:rPr>
        <w:t xml:space="preserve">did not affect the final </w:t>
      </w:r>
      <w:r w:rsidR="001B286F" w:rsidRPr="00012C17">
        <w:rPr>
          <w:i/>
          <w:iCs/>
          <w:color w:val="000000"/>
          <w:sz w:val="24"/>
        </w:rPr>
        <w:t>result</w:t>
      </w:r>
      <w:r w:rsidRPr="00012C17">
        <w:rPr>
          <w:i/>
          <w:iCs/>
          <w:color w:val="000000"/>
          <w:sz w:val="24"/>
        </w:rPr>
        <w:t>”</w:t>
      </w:r>
      <w:r w:rsidRPr="00012C17">
        <w:rPr>
          <w:color w:val="000000"/>
          <w:sz w:val="24"/>
        </w:rPr>
        <w:t xml:space="preserve">. As elaborated above, based on the ECtHR </w:t>
      </w:r>
      <w:r w:rsidR="00012C17" w:rsidRPr="00012C17">
        <w:rPr>
          <w:color w:val="000000"/>
          <w:sz w:val="24"/>
        </w:rPr>
        <w:t>case-law</w:t>
      </w:r>
      <w:r w:rsidRPr="00012C17">
        <w:rPr>
          <w:color w:val="000000"/>
          <w:sz w:val="24"/>
        </w:rPr>
        <w:t xml:space="preserve"> and the principles of the Venice Commission summarized in the Code of Good Practice, the respective Explanatory Report and the Report on Dispute Resolution, the assessment of whether the irregularities have affected the final result belongs to the authorities which review the election appeals, and in the present case the ECAP and the Supreme Court. </w:t>
      </w:r>
    </w:p>
    <w:p w:rsidR="001B286F" w:rsidRPr="00012C17" w:rsidRDefault="001B286F" w:rsidP="001B11C5">
      <w:pPr>
        <w:pStyle w:val="ListParagraph"/>
        <w:spacing w:after="0" w:line="240" w:lineRule="auto"/>
        <w:rPr>
          <w:color w:val="000000"/>
          <w:sz w:val="24"/>
          <w:lang w:val="en-US"/>
        </w:rPr>
      </w:pPr>
    </w:p>
    <w:p w:rsidR="00E84FF8" w:rsidRPr="00012C17" w:rsidRDefault="001B286F" w:rsidP="001B11C5">
      <w:pPr>
        <w:numPr>
          <w:ilvl w:val="0"/>
          <w:numId w:val="1"/>
        </w:numPr>
        <w:spacing w:line="240" w:lineRule="auto"/>
        <w:ind w:left="630" w:hanging="630"/>
        <w:rPr>
          <w:color w:val="000000"/>
          <w:sz w:val="24"/>
        </w:rPr>
      </w:pPr>
      <w:r w:rsidRPr="00012C17">
        <w:rPr>
          <w:color w:val="000000"/>
          <w:sz w:val="24"/>
        </w:rPr>
        <w:t xml:space="preserve">In addition and </w:t>
      </w:r>
      <w:r w:rsidRPr="00012C17">
        <w:rPr>
          <w:rFonts w:cs="Helvetica"/>
          <w:color w:val="000000"/>
          <w:sz w:val="24"/>
        </w:rPr>
        <w:t>b</w:t>
      </w:r>
      <w:r w:rsidR="00E84FF8" w:rsidRPr="00012C17">
        <w:rPr>
          <w:rFonts w:cs="Helvetica"/>
          <w:color w:val="000000"/>
          <w:sz w:val="24"/>
        </w:rPr>
        <w:t>eyond</w:t>
      </w:r>
      <w:r w:rsidR="00E84FF8" w:rsidRPr="00012C17">
        <w:rPr>
          <w:color w:val="000000"/>
          <w:sz w:val="24"/>
        </w:rPr>
        <w:t xml:space="preserve"> the reasoning and assessment of ECAP and the Supreme Court, the Court also refers to the Code of Good Practice, as far as the issue of invalid, </w:t>
      </w:r>
      <w:r w:rsidRPr="00012C17">
        <w:rPr>
          <w:color w:val="000000"/>
          <w:sz w:val="24"/>
        </w:rPr>
        <w:t>blank</w:t>
      </w:r>
      <w:r w:rsidR="00E84FF8" w:rsidRPr="00012C17">
        <w:rPr>
          <w:color w:val="000000"/>
          <w:sz w:val="24"/>
        </w:rPr>
        <w:t xml:space="preserve"> or </w:t>
      </w:r>
      <w:r w:rsidRPr="00012C17">
        <w:rPr>
          <w:color w:val="000000"/>
          <w:sz w:val="24"/>
        </w:rPr>
        <w:t>spoiled</w:t>
      </w:r>
      <w:r w:rsidR="00E84FF8" w:rsidRPr="00012C17">
        <w:rPr>
          <w:color w:val="000000"/>
          <w:sz w:val="24"/>
        </w:rPr>
        <w:t xml:space="preserve"> ballots is concerned. In addressing the issues related to “</w:t>
      </w:r>
      <w:r w:rsidR="00E84FF8" w:rsidRPr="00012C17">
        <w:rPr>
          <w:i/>
          <w:iCs/>
          <w:color w:val="000000"/>
          <w:sz w:val="24"/>
        </w:rPr>
        <w:t>counting</w:t>
      </w:r>
      <w:r w:rsidR="00E84FF8" w:rsidRPr="00012C17">
        <w:rPr>
          <w:color w:val="000000"/>
          <w:sz w:val="24"/>
        </w:rPr>
        <w:t>”, the Code of Good Practice maintains that “</w:t>
      </w:r>
      <w:r w:rsidR="00E84FF8" w:rsidRPr="00012C17">
        <w:rPr>
          <w:i/>
          <w:iCs/>
          <w:color w:val="000000"/>
          <w:sz w:val="24"/>
        </w:rPr>
        <w:t>It is best to avoid treating too many ballot papers as invalid or spoiled. In case of doubt, an attempt should be made to ascertain the voter’s intention</w:t>
      </w:r>
      <w:r w:rsidR="00E84FF8" w:rsidRPr="00012C17">
        <w:rPr>
          <w:color w:val="000000"/>
          <w:sz w:val="24"/>
        </w:rPr>
        <w:t>”</w:t>
      </w:r>
      <w:r w:rsidR="00012C17" w:rsidRPr="00012C17">
        <w:rPr>
          <w:color w:val="000000"/>
          <w:sz w:val="24"/>
        </w:rPr>
        <w:t>.</w:t>
      </w:r>
      <w:r w:rsidR="00E84FF8" w:rsidRPr="00012C17">
        <w:rPr>
          <w:color w:val="000000"/>
          <w:sz w:val="24"/>
        </w:rPr>
        <w:t xml:space="preserve"> (See</w:t>
      </w:r>
      <w:r w:rsidRPr="00012C17">
        <w:rPr>
          <w:color w:val="000000"/>
          <w:sz w:val="24"/>
        </w:rPr>
        <w:t xml:space="preserve"> item 3.2,</w:t>
      </w:r>
      <w:r w:rsidR="006E52F9" w:rsidRPr="00012C17">
        <w:rPr>
          <w:color w:val="000000"/>
          <w:sz w:val="24"/>
        </w:rPr>
        <w:t xml:space="preserve"> </w:t>
      </w:r>
      <w:r w:rsidR="00E84FF8" w:rsidRPr="00012C17">
        <w:rPr>
          <w:color w:val="000000"/>
          <w:sz w:val="24"/>
        </w:rPr>
        <w:t xml:space="preserve">paragraph 49 of </w:t>
      </w:r>
      <w:r w:rsidRPr="00012C17">
        <w:rPr>
          <w:color w:val="000000"/>
          <w:sz w:val="24"/>
        </w:rPr>
        <w:t xml:space="preserve">the </w:t>
      </w:r>
      <w:r w:rsidR="00597C38" w:rsidRPr="00012C17">
        <w:rPr>
          <w:color w:val="000000"/>
          <w:sz w:val="24"/>
        </w:rPr>
        <w:t>Explanatory Report</w:t>
      </w:r>
      <w:r w:rsidR="00E84FF8" w:rsidRPr="00012C17">
        <w:rPr>
          <w:color w:val="000000"/>
          <w:sz w:val="24"/>
        </w:rPr>
        <w:t xml:space="preserve">). </w:t>
      </w:r>
    </w:p>
    <w:p w:rsidR="001B286F" w:rsidRPr="00012C17" w:rsidRDefault="001B286F"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 xml:space="preserve">The Court notes that this principle does not necessarily mean recounting or even </w:t>
      </w:r>
      <w:r w:rsidR="00C21BBF" w:rsidRPr="00012C17">
        <w:rPr>
          <w:color w:val="000000"/>
          <w:sz w:val="24"/>
        </w:rPr>
        <w:t>cancelling</w:t>
      </w:r>
      <w:r w:rsidRPr="00012C17">
        <w:rPr>
          <w:color w:val="000000"/>
          <w:sz w:val="24"/>
        </w:rPr>
        <w:t xml:space="preserve"> the election result</w:t>
      </w:r>
      <w:r w:rsidR="00C21BBF" w:rsidRPr="00012C17">
        <w:rPr>
          <w:color w:val="000000"/>
          <w:sz w:val="24"/>
        </w:rPr>
        <w:t>s</w:t>
      </w:r>
      <w:r w:rsidRPr="00012C17">
        <w:rPr>
          <w:color w:val="000000"/>
          <w:sz w:val="24"/>
        </w:rPr>
        <w:t>, namely the re-</w:t>
      </w:r>
      <w:r w:rsidR="001B286F" w:rsidRPr="00012C17">
        <w:rPr>
          <w:color w:val="000000"/>
          <w:sz w:val="24"/>
        </w:rPr>
        <w:t>voting</w:t>
      </w:r>
      <w:r w:rsidRPr="00012C17">
        <w:rPr>
          <w:color w:val="000000"/>
          <w:sz w:val="24"/>
        </w:rPr>
        <w:t>. Fulfillment of criteria that would result in the cancellation of</w:t>
      </w:r>
      <w:r w:rsidR="001B286F" w:rsidRPr="00012C17">
        <w:rPr>
          <w:color w:val="000000"/>
          <w:sz w:val="24"/>
        </w:rPr>
        <w:t xml:space="preserve"> the</w:t>
      </w:r>
      <w:r w:rsidRPr="00012C17">
        <w:rPr>
          <w:color w:val="000000"/>
          <w:sz w:val="24"/>
        </w:rPr>
        <w:t xml:space="preserve"> election results are elaborated in detail above. This principle in fact means that in the case of invalid, </w:t>
      </w:r>
      <w:r w:rsidR="001B286F" w:rsidRPr="00012C17">
        <w:rPr>
          <w:color w:val="000000"/>
          <w:sz w:val="24"/>
        </w:rPr>
        <w:t>blank</w:t>
      </w:r>
      <w:r w:rsidRPr="00012C17">
        <w:rPr>
          <w:color w:val="000000"/>
          <w:sz w:val="24"/>
        </w:rPr>
        <w:t xml:space="preserve"> or spoiled votes, the practice of the member states of the Venice Commission stipulates that one additional effort should be made to reevaluate those ballot papers. </w:t>
      </w:r>
    </w:p>
    <w:p w:rsidR="005B6008" w:rsidRPr="00012C17" w:rsidRDefault="005B6008"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 xml:space="preserve">The Court finds that </w:t>
      </w:r>
      <w:r w:rsidRPr="00012C17">
        <w:rPr>
          <w:rFonts w:cs="Helvetica"/>
          <w:color w:val="000000"/>
          <w:sz w:val="24"/>
        </w:rPr>
        <w:t>this</w:t>
      </w:r>
      <w:r w:rsidRPr="00012C17">
        <w:rPr>
          <w:color w:val="000000"/>
          <w:sz w:val="24"/>
        </w:rPr>
        <w:t xml:space="preserve"> effort has been made in the circumstances of the present case. As noted above, the ECAP investigative teams have not only counted all the ballots in the 31 polling stations challenged after the announcement of the final result</w:t>
      </w:r>
      <w:r w:rsidR="00C21BBF" w:rsidRPr="00012C17">
        <w:rPr>
          <w:color w:val="000000"/>
          <w:sz w:val="24"/>
        </w:rPr>
        <w:t>s</w:t>
      </w:r>
      <w:r w:rsidRPr="00012C17">
        <w:rPr>
          <w:color w:val="000000"/>
          <w:sz w:val="24"/>
        </w:rPr>
        <w:t xml:space="preserve"> in the ECAP by the Applicants, but have reviewed and re-evaluated all the ballot papers declared invalid and </w:t>
      </w:r>
      <w:r w:rsidR="005B6008" w:rsidRPr="00012C17">
        <w:rPr>
          <w:color w:val="000000"/>
          <w:sz w:val="24"/>
        </w:rPr>
        <w:t>blank</w:t>
      </w:r>
      <w:r w:rsidRPr="00012C17">
        <w:rPr>
          <w:color w:val="000000"/>
          <w:sz w:val="24"/>
        </w:rPr>
        <w:t xml:space="preserve">, finding that the difference between invalid and valid votes is 4 votes out of 183. </w:t>
      </w:r>
    </w:p>
    <w:p w:rsidR="005B6008" w:rsidRPr="00012C17" w:rsidRDefault="005B6008"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 xml:space="preserve">In this regard, the Court also refers to the ECHR Guide on Article 3 of </w:t>
      </w:r>
      <w:r w:rsidR="00C40D12" w:rsidRPr="00012C17">
        <w:rPr>
          <w:color w:val="000000"/>
          <w:sz w:val="24"/>
        </w:rPr>
        <w:t>Protocol no.1</w:t>
      </w:r>
      <w:r w:rsidRPr="00012C17">
        <w:rPr>
          <w:color w:val="000000"/>
          <w:sz w:val="24"/>
        </w:rPr>
        <w:t xml:space="preserve"> to the ECHR, </w:t>
      </w:r>
      <w:r w:rsidRPr="00012C17">
        <w:rPr>
          <w:rFonts w:cs="Helvetica"/>
          <w:color w:val="000000"/>
          <w:sz w:val="24"/>
        </w:rPr>
        <w:t>according</w:t>
      </w:r>
      <w:r w:rsidRPr="00012C17">
        <w:rPr>
          <w:color w:val="000000"/>
          <w:sz w:val="24"/>
        </w:rPr>
        <w:t xml:space="preserve"> to which: “</w:t>
      </w:r>
      <w:r w:rsidRPr="00012C17">
        <w:rPr>
          <w:i/>
          <w:iCs/>
          <w:color w:val="000000"/>
          <w:sz w:val="24"/>
        </w:rPr>
        <w:t xml:space="preserve">A still less stringent scrutiny would apply to the more technical stage of vote counting and tabulation. A mere mistake or irregularity at this technical stage would not, per se, signify </w:t>
      </w:r>
      <w:r w:rsidRPr="00012C17">
        <w:rPr>
          <w:i/>
          <w:iCs/>
          <w:color w:val="000000"/>
          <w:sz w:val="24"/>
        </w:rPr>
        <w:lastRenderedPageBreak/>
        <w:t>unfairness of the elections, if the general principles of equality, transparency, impartiality and independence of the electoral administration were complied with. The concept of free elections would be put at risk only if (i) there is evidence of procedural breaches that would be capable of thwarting the free expression of the opinion of the people, for instance through gross distortion of the voters’ intent; and (ii) where such complaints receive no effective examination at the domestic level</w:t>
      </w:r>
      <w:r w:rsidRPr="00012C17">
        <w:rPr>
          <w:rFonts w:cs="Calibri"/>
          <w:color w:val="000000"/>
          <w:sz w:val="24"/>
          <w:bdr w:val="none" w:sz="0" w:space="0" w:color="auto" w:frame="1"/>
          <w:shd w:val="clear" w:color="auto" w:fill="FFFFFF"/>
        </w:rPr>
        <w:t xml:space="preserve">.” </w:t>
      </w:r>
      <w:r w:rsidRPr="00012C17">
        <w:rPr>
          <w:rFonts w:eastAsia="Calibri" w:cs="Calibri"/>
          <w:color w:val="000000"/>
          <w:sz w:val="24"/>
        </w:rPr>
        <w:t>(</w:t>
      </w:r>
      <w:r w:rsidR="005B6008" w:rsidRPr="00012C17">
        <w:rPr>
          <w:rFonts w:eastAsia="Calibri" w:cs="Calibri"/>
          <w:color w:val="000000"/>
          <w:sz w:val="24"/>
        </w:rPr>
        <w:t xml:space="preserve">See ECtHR </w:t>
      </w:r>
      <w:r w:rsidRPr="00012C17">
        <w:rPr>
          <w:color w:val="000000"/>
          <w:sz w:val="24"/>
        </w:rPr>
        <w:t xml:space="preserve">Guide on Article 3 of </w:t>
      </w:r>
      <w:r w:rsidR="00C40D12" w:rsidRPr="00012C17">
        <w:rPr>
          <w:color w:val="000000"/>
          <w:sz w:val="24"/>
        </w:rPr>
        <w:t>Protocol no.1</w:t>
      </w:r>
      <w:r w:rsidRPr="00012C17">
        <w:rPr>
          <w:color w:val="000000"/>
          <w:sz w:val="24"/>
        </w:rPr>
        <w:t xml:space="preserve"> to the ECHR, paragraph 96). </w:t>
      </w:r>
    </w:p>
    <w:p w:rsidR="005B6008" w:rsidRPr="00012C17" w:rsidRDefault="005B6008"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 xml:space="preserve">Accordingly, </w:t>
      </w:r>
      <w:r w:rsidR="005B6008" w:rsidRPr="00012C17">
        <w:rPr>
          <w:color w:val="000000"/>
          <w:sz w:val="24"/>
        </w:rPr>
        <w:t xml:space="preserve">the Court does not find that the challenged decision of the Supreme </w:t>
      </w:r>
      <w:r w:rsidR="005B6008" w:rsidRPr="00012C17">
        <w:rPr>
          <w:rFonts w:cs="Helvetica"/>
          <w:color w:val="000000"/>
          <w:sz w:val="24"/>
        </w:rPr>
        <w:t>Court</w:t>
      </w:r>
      <w:r w:rsidR="005B6008" w:rsidRPr="00012C17">
        <w:rPr>
          <w:color w:val="000000"/>
          <w:sz w:val="24"/>
        </w:rPr>
        <w:t xml:space="preserve"> </w:t>
      </w:r>
      <w:r w:rsidR="00C21BBF" w:rsidRPr="00012C17">
        <w:rPr>
          <w:color w:val="000000"/>
          <w:sz w:val="24"/>
        </w:rPr>
        <w:t>was</w:t>
      </w:r>
      <w:r w:rsidR="005B6008" w:rsidRPr="00012C17">
        <w:rPr>
          <w:color w:val="000000"/>
          <w:sz w:val="24"/>
        </w:rPr>
        <w:t xml:space="preserve"> rendered contrary to the law, nor </w:t>
      </w:r>
      <w:r w:rsidR="00453209" w:rsidRPr="00012C17">
        <w:rPr>
          <w:color w:val="000000"/>
          <w:sz w:val="24"/>
        </w:rPr>
        <w:t xml:space="preserve">has it </w:t>
      </w:r>
      <w:r w:rsidR="005B6008" w:rsidRPr="00012C17">
        <w:rPr>
          <w:color w:val="000000"/>
          <w:sz w:val="24"/>
        </w:rPr>
        <w:t xml:space="preserve">interpreted the election law in an arbitrary manner. In addition, the Court finds that the circumstances of this allegation find no support in any of the cases of the ECtHR and the </w:t>
      </w:r>
      <w:r w:rsidR="00012C17" w:rsidRPr="00012C17">
        <w:rPr>
          <w:color w:val="000000"/>
          <w:sz w:val="24"/>
        </w:rPr>
        <w:t>case-law</w:t>
      </w:r>
      <w:r w:rsidR="005B6008" w:rsidRPr="00012C17">
        <w:rPr>
          <w:color w:val="000000"/>
          <w:sz w:val="24"/>
        </w:rPr>
        <w:t xml:space="preserve"> of the Venice Commission member states, as elaborated above</w:t>
      </w:r>
      <w:r w:rsidRPr="00012C17">
        <w:rPr>
          <w:color w:val="000000"/>
          <w:sz w:val="24"/>
        </w:rPr>
        <w:t xml:space="preserve">. </w:t>
      </w:r>
    </w:p>
    <w:p w:rsidR="00C21BBF" w:rsidRPr="00012C17" w:rsidRDefault="00C21BBF" w:rsidP="001B11C5">
      <w:pPr>
        <w:spacing w:line="240" w:lineRule="auto"/>
        <w:rPr>
          <w:bCs/>
          <w:i/>
          <w:iCs/>
          <w:color w:val="000000"/>
          <w:sz w:val="24"/>
        </w:rPr>
      </w:pPr>
    </w:p>
    <w:p w:rsidR="00E84FF8" w:rsidRPr="00012C17" w:rsidRDefault="00C21BBF" w:rsidP="00453209">
      <w:pPr>
        <w:spacing w:line="240" w:lineRule="auto"/>
        <w:ind w:left="630"/>
        <w:rPr>
          <w:bCs/>
          <w:i/>
          <w:iCs/>
          <w:color w:val="000000"/>
          <w:sz w:val="24"/>
        </w:rPr>
      </w:pPr>
      <w:r w:rsidRPr="00012C17">
        <w:rPr>
          <w:bCs/>
          <w:i/>
          <w:iCs/>
          <w:color w:val="000000"/>
          <w:sz w:val="24"/>
        </w:rPr>
        <w:t xml:space="preserve">(iv) </w:t>
      </w:r>
      <w:r w:rsidR="00E84FF8" w:rsidRPr="00012C17">
        <w:rPr>
          <w:bCs/>
          <w:i/>
          <w:iCs/>
          <w:color w:val="000000"/>
          <w:sz w:val="24"/>
        </w:rPr>
        <w:t>Regarding the allegations related to the assessment of legality and constitutionality by the Supreme Court</w:t>
      </w:r>
    </w:p>
    <w:p w:rsidR="00E84FF8" w:rsidRPr="00012C17" w:rsidRDefault="00E84FF8" w:rsidP="001B11C5">
      <w:pPr>
        <w:spacing w:line="240" w:lineRule="auto"/>
        <w:ind w:left="540" w:hanging="540"/>
        <w:rPr>
          <w:bCs/>
          <w:iCs/>
          <w:color w:val="000000"/>
          <w:sz w:val="24"/>
        </w:rPr>
      </w:pPr>
    </w:p>
    <w:p w:rsidR="005B6008" w:rsidRPr="00012C17" w:rsidRDefault="00E84FF8" w:rsidP="001B11C5">
      <w:pPr>
        <w:numPr>
          <w:ilvl w:val="0"/>
          <w:numId w:val="1"/>
        </w:numPr>
        <w:spacing w:line="240" w:lineRule="auto"/>
        <w:ind w:left="630" w:hanging="630"/>
        <w:rPr>
          <w:color w:val="000000"/>
          <w:sz w:val="24"/>
        </w:rPr>
      </w:pPr>
      <w:r w:rsidRPr="00012C17">
        <w:rPr>
          <w:rFonts w:cs="Arial"/>
          <w:color w:val="000000"/>
          <w:sz w:val="24"/>
        </w:rPr>
        <w:t xml:space="preserve">The Court recalls that the Applicants allege that the Supreme Court has violated their right to judicial protection of rights guaranteed by Article 54 of the Constitution, because through </w:t>
      </w:r>
      <w:r w:rsidR="005B6008" w:rsidRPr="00012C17">
        <w:rPr>
          <w:rFonts w:cs="Arial"/>
          <w:color w:val="000000"/>
          <w:sz w:val="24"/>
        </w:rPr>
        <w:t>challenged</w:t>
      </w:r>
      <w:r w:rsidRPr="00012C17">
        <w:rPr>
          <w:rFonts w:cs="Arial"/>
          <w:color w:val="000000"/>
          <w:sz w:val="24"/>
        </w:rPr>
        <w:t xml:space="preserve"> decisions only the </w:t>
      </w:r>
      <w:r w:rsidR="005B6008" w:rsidRPr="00012C17">
        <w:rPr>
          <w:rFonts w:cs="Arial"/>
          <w:color w:val="000000"/>
          <w:sz w:val="24"/>
        </w:rPr>
        <w:t>legality</w:t>
      </w:r>
      <w:r w:rsidRPr="00012C17">
        <w:rPr>
          <w:rFonts w:cs="Arial"/>
          <w:color w:val="000000"/>
          <w:sz w:val="24"/>
        </w:rPr>
        <w:t xml:space="preserve"> of the ECAP decisions was assessed without addressing their constitutionality. This has resulted, according to them, in violation of the principle of the</w:t>
      </w:r>
      <w:r w:rsidR="006E52F9" w:rsidRPr="00012C17">
        <w:rPr>
          <w:rFonts w:cs="Arial"/>
          <w:color w:val="000000"/>
          <w:sz w:val="24"/>
        </w:rPr>
        <w:t xml:space="preserve"> </w:t>
      </w:r>
      <w:r w:rsidRPr="00012C17">
        <w:rPr>
          <w:bCs/>
          <w:i/>
          <w:iCs/>
          <w:color w:val="000000"/>
          <w:sz w:val="24"/>
        </w:rPr>
        <w:t>“constitutional supremacy”</w:t>
      </w:r>
      <w:r w:rsidR="005B6008" w:rsidRPr="00012C17">
        <w:rPr>
          <w:bCs/>
          <w:i/>
          <w:iCs/>
          <w:color w:val="000000"/>
          <w:sz w:val="24"/>
        </w:rPr>
        <w:t>.</w:t>
      </w:r>
    </w:p>
    <w:p w:rsidR="005B6008" w:rsidRPr="00012C17" w:rsidRDefault="005B6008" w:rsidP="001B11C5">
      <w:pPr>
        <w:spacing w:line="240" w:lineRule="auto"/>
        <w:ind w:left="540"/>
        <w:rPr>
          <w:color w:val="000000"/>
          <w:sz w:val="24"/>
        </w:rPr>
      </w:pPr>
    </w:p>
    <w:p w:rsidR="00E84FF8" w:rsidRPr="00012C17" w:rsidRDefault="005B6008" w:rsidP="001B11C5">
      <w:pPr>
        <w:numPr>
          <w:ilvl w:val="0"/>
          <w:numId w:val="1"/>
        </w:numPr>
        <w:spacing w:line="240" w:lineRule="auto"/>
        <w:ind w:left="630" w:hanging="630"/>
        <w:rPr>
          <w:color w:val="000000"/>
          <w:sz w:val="24"/>
        </w:rPr>
      </w:pPr>
      <w:r w:rsidRPr="00012C17">
        <w:rPr>
          <w:color w:val="000000"/>
          <w:sz w:val="24"/>
        </w:rPr>
        <w:t xml:space="preserve"> </w:t>
      </w:r>
      <w:r w:rsidR="00E84FF8" w:rsidRPr="00012C17">
        <w:rPr>
          <w:color w:val="000000"/>
          <w:sz w:val="24"/>
        </w:rPr>
        <w:t xml:space="preserve">In essence, the Court notes that this allegation raises two essential issues: (i) the obligation of regular courts to assess, when making their decisions, the fundamental rights and freedoms guaranteed by the Constitution, beyond the rights and freedoms guaranteed by law; and (ii) the lack of reasoning of the challenged decisions of the Supreme Court regarding allegations </w:t>
      </w:r>
      <w:r w:rsidR="00C21BBF" w:rsidRPr="00012C17">
        <w:rPr>
          <w:color w:val="000000"/>
          <w:sz w:val="24"/>
        </w:rPr>
        <w:t xml:space="preserve">of constitutional violation </w:t>
      </w:r>
      <w:r w:rsidR="00E84FF8" w:rsidRPr="00012C17">
        <w:rPr>
          <w:color w:val="000000"/>
          <w:sz w:val="24"/>
        </w:rPr>
        <w:t xml:space="preserve">of the Applicants. </w:t>
      </w:r>
    </w:p>
    <w:p w:rsidR="00D927BF" w:rsidRPr="00012C17" w:rsidRDefault="00D927BF"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color w:val="000000"/>
          <w:sz w:val="24"/>
        </w:rPr>
        <w:t xml:space="preserve">With regard to the </w:t>
      </w:r>
      <w:r w:rsidR="00FA0DC0" w:rsidRPr="00012C17">
        <w:rPr>
          <w:color w:val="000000"/>
          <w:sz w:val="24"/>
        </w:rPr>
        <w:t>first</w:t>
      </w:r>
      <w:r w:rsidRPr="00012C17">
        <w:rPr>
          <w:color w:val="000000"/>
          <w:sz w:val="24"/>
        </w:rPr>
        <w:t>, the Court emphasizes that, beyond the Constitutional Court, it is also a duty of the regular courts to interpret the fundamental rights and freedoms guaranteed by the Constitution when assessing the alleged violations. This obligation derives from Article 21 [General Principles]</w:t>
      </w:r>
      <w:r w:rsidR="00FA0DC0" w:rsidRPr="00012C17">
        <w:rPr>
          <w:color w:val="000000"/>
          <w:sz w:val="24"/>
        </w:rPr>
        <w:t xml:space="preserve"> of the Constitution</w:t>
      </w:r>
      <w:r w:rsidRPr="00012C17">
        <w:rPr>
          <w:color w:val="000000"/>
          <w:sz w:val="24"/>
        </w:rPr>
        <w:t xml:space="preserve">, according to which, among other things, fundamental human freedoms are the basis of the legal order of the Republic of Kosovo. Within these rights are those guaranteed by international agreements and instruments included in Article 22 [Direct Applicability of International Agreements and Instruments] of the Constitution; and </w:t>
      </w:r>
      <w:r w:rsidR="00D927BF" w:rsidRPr="00012C17">
        <w:rPr>
          <w:color w:val="000000"/>
          <w:sz w:val="24"/>
        </w:rPr>
        <w:t xml:space="preserve">(ii) </w:t>
      </w:r>
      <w:r w:rsidRPr="00012C17">
        <w:rPr>
          <w:color w:val="000000"/>
          <w:sz w:val="24"/>
        </w:rPr>
        <w:t xml:space="preserve">Article 102 [General Principles of the Judicial System] of the Constitution, according to which the courts adjudicate based on the Constitution and the law. Therefore, the rights guaranteed by the Constitution are protected by all judicial instances and the Constitutional Court, </w:t>
      </w:r>
      <w:r w:rsidR="00FA0DC0" w:rsidRPr="00012C17">
        <w:rPr>
          <w:color w:val="000000"/>
          <w:sz w:val="24"/>
        </w:rPr>
        <w:t xml:space="preserve">which </w:t>
      </w:r>
      <w:r w:rsidRPr="00012C17">
        <w:rPr>
          <w:color w:val="000000"/>
          <w:sz w:val="24"/>
        </w:rPr>
        <w:t xml:space="preserve">based on Article 112 of the Constitution, is the final authority to assess the alleged violations by public authorities of fundamental rights and freedoms guaranteed by Constitution. </w:t>
      </w:r>
    </w:p>
    <w:p w:rsidR="00D927BF" w:rsidRPr="00012C17" w:rsidRDefault="00D927BF" w:rsidP="001B11C5">
      <w:pPr>
        <w:spacing w:line="240" w:lineRule="auto"/>
        <w:ind w:left="540"/>
        <w:rPr>
          <w:color w:val="000000"/>
          <w:sz w:val="24"/>
        </w:rPr>
      </w:pPr>
    </w:p>
    <w:p w:rsidR="00646D7E" w:rsidRPr="00012C17" w:rsidRDefault="00646D7E" w:rsidP="001B11C5">
      <w:pPr>
        <w:numPr>
          <w:ilvl w:val="0"/>
          <w:numId w:val="1"/>
        </w:numPr>
        <w:spacing w:line="240" w:lineRule="auto"/>
        <w:ind w:left="630" w:hanging="630"/>
        <w:rPr>
          <w:rFonts w:cs="Arial"/>
          <w:color w:val="000000"/>
          <w:sz w:val="24"/>
        </w:rPr>
      </w:pPr>
      <w:r w:rsidRPr="00012C17">
        <w:rPr>
          <w:rFonts w:cs="Arial"/>
          <w:color w:val="000000"/>
          <w:sz w:val="24"/>
        </w:rPr>
        <w:t xml:space="preserve">The above-mentioned constitutional </w:t>
      </w:r>
      <w:r w:rsidR="00333657" w:rsidRPr="00012C17">
        <w:rPr>
          <w:rFonts w:cs="Arial"/>
          <w:color w:val="000000"/>
          <w:sz w:val="24"/>
        </w:rPr>
        <w:t>A</w:t>
      </w:r>
      <w:r w:rsidRPr="00012C17">
        <w:rPr>
          <w:rFonts w:cs="Arial"/>
          <w:color w:val="000000"/>
          <w:sz w:val="24"/>
        </w:rPr>
        <w:t xml:space="preserve">rticles also guarantee the principle of </w:t>
      </w:r>
      <w:r w:rsidR="00333657" w:rsidRPr="00012C17">
        <w:rPr>
          <w:rFonts w:cs="Arial"/>
          <w:color w:val="000000"/>
          <w:sz w:val="24"/>
        </w:rPr>
        <w:t>“</w:t>
      </w:r>
      <w:r w:rsidRPr="00012C17">
        <w:rPr>
          <w:rFonts w:cs="Arial"/>
          <w:i/>
          <w:iCs/>
          <w:color w:val="000000"/>
          <w:sz w:val="24"/>
        </w:rPr>
        <w:t>constitutional supremacy</w:t>
      </w:r>
      <w:r w:rsidR="00333657" w:rsidRPr="00012C17">
        <w:rPr>
          <w:rFonts w:cs="Arial"/>
          <w:color w:val="000000"/>
          <w:sz w:val="24"/>
        </w:rPr>
        <w:t>”</w:t>
      </w:r>
      <w:r w:rsidRPr="00012C17">
        <w:rPr>
          <w:rFonts w:cs="Arial"/>
          <w:color w:val="000000"/>
          <w:sz w:val="24"/>
        </w:rPr>
        <w:t xml:space="preserve">, according to which the Constitution, in hierarchical </w:t>
      </w:r>
      <w:r w:rsidRPr="00012C17">
        <w:rPr>
          <w:rFonts w:cs="Arial"/>
          <w:color w:val="000000"/>
          <w:sz w:val="24"/>
        </w:rPr>
        <w:lastRenderedPageBreak/>
        <w:t xml:space="preserve">terms, stands at the top of the pyramid and is the source of all laws and </w:t>
      </w:r>
      <w:r w:rsidR="00333657" w:rsidRPr="00012C17">
        <w:rPr>
          <w:rFonts w:cs="Arial"/>
          <w:color w:val="000000"/>
          <w:sz w:val="24"/>
        </w:rPr>
        <w:t>sub-legal acts</w:t>
      </w:r>
      <w:r w:rsidRPr="00012C17">
        <w:rPr>
          <w:rFonts w:cs="Arial"/>
          <w:color w:val="000000"/>
          <w:sz w:val="24"/>
        </w:rPr>
        <w:t xml:space="preserve"> in the Republic of Kosovo. In the latter, the </w:t>
      </w:r>
      <w:r w:rsidR="00333657" w:rsidRPr="00012C17">
        <w:rPr>
          <w:rFonts w:cs="Arial"/>
          <w:color w:val="000000"/>
          <w:sz w:val="24"/>
        </w:rPr>
        <w:t>“</w:t>
      </w:r>
      <w:r w:rsidRPr="00012C17">
        <w:rPr>
          <w:rFonts w:cs="Arial"/>
          <w:i/>
          <w:iCs/>
          <w:color w:val="000000"/>
          <w:sz w:val="24"/>
        </w:rPr>
        <w:t>supremacy</w:t>
      </w:r>
      <w:r w:rsidR="00333657" w:rsidRPr="00012C17">
        <w:rPr>
          <w:rFonts w:cs="Arial"/>
          <w:color w:val="000000"/>
          <w:sz w:val="24"/>
        </w:rPr>
        <w:t>”</w:t>
      </w:r>
      <w:r w:rsidRPr="00012C17">
        <w:rPr>
          <w:rFonts w:cs="Arial"/>
          <w:color w:val="000000"/>
          <w:sz w:val="24"/>
        </w:rPr>
        <w:t xml:space="preserve"> of the Constitution is also ensured through the application of a mechanism for controlling the constitutionality of laws and verifying their </w:t>
      </w:r>
      <w:r w:rsidR="00333657" w:rsidRPr="00012C17">
        <w:rPr>
          <w:rFonts w:cs="Arial"/>
          <w:color w:val="000000"/>
          <w:sz w:val="24"/>
        </w:rPr>
        <w:t>compatibility</w:t>
      </w:r>
      <w:r w:rsidRPr="00012C17">
        <w:rPr>
          <w:rFonts w:cs="Arial"/>
          <w:color w:val="000000"/>
          <w:sz w:val="24"/>
        </w:rPr>
        <w:t xml:space="preserve"> with the Constitution, always in the manner provided by the Constitution.</w:t>
      </w:r>
    </w:p>
    <w:p w:rsidR="00646D7E" w:rsidRPr="00012C17" w:rsidRDefault="00646D7E" w:rsidP="001B11C5">
      <w:pPr>
        <w:pStyle w:val="ListParagraph"/>
        <w:spacing w:after="0" w:line="240" w:lineRule="auto"/>
        <w:rPr>
          <w:rFonts w:cs="Arial"/>
          <w:color w:val="000000"/>
          <w:sz w:val="24"/>
          <w:lang w:val="en-US"/>
        </w:rPr>
      </w:pPr>
    </w:p>
    <w:p w:rsidR="00646D7E" w:rsidRPr="00012C17" w:rsidRDefault="00646D7E" w:rsidP="001B11C5">
      <w:pPr>
        <w:numPr>
          <w:ilvl w:val="0"/>
          <w:numId w:val="1"/>
        </w:numPr>
        <w:spacing w:line="240" w:lineRule="auto"/>
        <w:ind w:left="630" w:hanging="630"/>
        <w:rPr>
          <w:rFonts w:cs="Arial"/>
          <w:color w:val="000000"/>
          <w:sz w:val="24"/>
        </w:rPr>
      </w:pPr>
      <w:r w:rsidRPr="00012C17">
        <w:rPr>
          <w:rFonts w:cs="Arial"/>
          <w:color w:val="000000"/>
          <w:sz w:val="24"/>
        </w:rPr>
        <w:t xml:space="preserve">However, in the context of the assessment of fundamental </w:t>
      </w:r>
      <w:r w:rsidR="00FA0DC0" w:rsidRPr="00012C17">
        <w:rPr>
          <w:rFonts w:cs="Arial"/>
          <w:color w:val="000000"/>
          <w:sz w:val="24"/>
        </w:rPr>
        <w:t xml:space="preserve">rights </w:t>
      </w:r>
      <w:r w:rsidRPr="00012C17">
        <w:rPr>
          <w:rFonts w:cs="Arial"/>
          <w:color w:val="000000"/>
          <w:sz w:val="24"/>
        </w:rPr>
        <w:t>and</w:t>
      </w:r>
      <w:r w:rsidR="00333657" w:rsidRPr="00012C17">
        <w:rPr>
          <w:rFonts w:cs="Arial"/>
          <w:color w:val="000000"/>
          <w:sz w:val="24"/>
        </w:rPr>
        <w:t xml:space="preserve"> </w:t>
      </w:r>
      <w:r w:rsidR="00FA0DC0" w:rsidRPr="00012C17">
        <w:rPr>
          <w:rFonts w:cs="Arial"/>
          <w:color w:val="000000"/>
          <w:sz w:val="24"/>
        </w:rPr>
        <w:t>freedoms</w:t>
      </w:r>
      <w:r w:rsidRPr="00012C17">
        <w:rPr>
          <w:rFonts w:cs="Arial"/>
          <w:color w:val="000000"/>
          <w:sz w:val="24"/>
        </w:rPr>
        <w:t xml:space="preserve">, </w:t>
      </w:r>
      <w:r w:rsidR="00333657" w:rsidRPr="00012C17">
        <w:rPr>
          <w:rFonts w:cs="Arial"/>
          <w:color w:val="000000"/>
          <w:sz w:val="24"/>
        </w:rPr>
        <w:t>namely</w:t>
      </w:r>
      <w:r w:rsidRPr="00012C17">
        <w:rPr>
          <w:rFonts w:cs="Arial"/>
          <w:color w:val="000000"/>
          <w:sz w:val="24"/>
        </w:rPr>
        <w:t xml:space="preserve"> individual </w:t>
      </w:r>
      <w:r w:rsidR="00333657" w:rsidRPr="00012C17">
        <w:rPr>
          <w:rFonts w:cs="Arial"/>
          <w:color w:val="000000"/>
          <w:sz w:val="24"/>
        </w:rPr>
        <w:t>referrals</w:t>
      </w:r>
      <w:r w:rsidRPr="00012C17">
        <w:rPr>
          <w:rFonts w:cs="Arial"/>
          <w:color w:val="000000"/>
          <w:sz w:val="24"/>
        </w:rPr>
        <w:t xml:space="preserve">, as is the case in the circumstances of the </w:t>
      </w:r>
      <w:r w:rsidR="00333657" w:rsidRPr="00012C17">
        <w:rPr>
          <w:rFonts w:cs="Arial"/>
          <w:color w:val="000000"/>
          <w:sz w:val="24"/>
        </w:rPr>
        <w:t xml:space="preserve">present </w:t>
      </w:r>
      <w:r w:rsidRPr="00012C17">
        <w:rPr>
          <w:rFonts w:cs="Arial"/>
          <w:color w:val="000000"/>
          <w:sz w:val="24"/>
        </w:rPr>
        <w:t xml:space="preserve">case, the Court notes that the boundary between the jurisdiction of the Constitutional Court and the regular courts in assessing </w:t>
      </w:r>
      <w:r w:rsidR="00333657" w:rsidRPr="00012C17">
        <w:rPr>
          <w:rFonts w:cs="Arial"/>
          <w:color w:val="000000"/>
          <w:sz w:val="24"/>
        </w:rPr>
        <w:t xml:space="preserve">the </w:t>
      </w:r>
      <w:r w:rsidRPr="00012C17">
        <w:rPr>
          <w:rFonts w:cs="Arial"/>
          <w:color w:val="000000"/>
          <w:sz w:val="24"/>
        </w:rPr>
        <w:t xml:space="preserve">constitutionality and </w:t>
      </w:r>
      <w:r w:rsidR="00333657" w:rsidRPr="00012C17">
        <w:rPr>
          <w:rFonts w:cs="Arial"/>
          <w:color w:val="000000"/>
          <w:sz w:val="24"/>
        </w:rPr>
        <w:t>legality</w:t>
      </w:r>
      <w:r w:rsidRPr="00012C17">
        <w:rPr>
          <w:rFonts w:cs="Arial"/>
          <w:color w:val="000000"/>
          <w:sz w:val="24"/>
        </w:rPr>
        <w:t xml:space="preserve"> is not </w:t>
      </w:r>
      <w:r w:rsidR="00FA0DC0" w:rsidRPr="00012C17">
        <w:rPr>
          <w:rFonts w:cs="Arial"/>
          <w:color w:val="000000"/>
          <w:sz w:val="24"/>
        </w:rPr>
        <w:t xml:space="preserve">always </w:t>
      </w:r>
      <w:r w:rsidR="00333657" w:rsidRPr="00012C17">
        <w:rPr>
          <w:rFonts w:cs="Arial"/>
          <w:color w:val="000000"/>
          <w:sz w:val="24"/>
        </w:rPr>
        <w:t>accurately</w:t>
      </w:r>
      <w:r w:rsidRPr="00012C17">
        <w:rPr>
          <w:rFonts w:cs="Arial"/>
          <w:color w:val="000000"/>
          <w:sz w:val="24"/>
        </w:rPr>
        <w:t xml:space="preserve"> defined. The Constitutional Court</w:t>
      </w:r>
      <w:r w:rsidR="00333657" w:rsidRPr="00012C17">
        <w:rPr>
          <w:rFonts w:cs="Arial"/>
          <w:color w:val="000000"/>
          <w:sz w:val="24"/>
        </w:rPr>
        <w:t>,</w:t>
      </w:r>
      <w:r w:rsidRPr="00012C17">
        <w:rPr>
          <w:rFonts w:cs="Arial"/>
          <w:color w:val="000000"/>
          <w:sz w:val="24"/>
        </w:rPr>
        <w:t xml:space="preserve"> </w:t>
      </w:r>
      <w:r w:rsidR="00333657" w:rsidRPr="00012C17">
        <w:rPr>
          <w:rFonts w:cs="Arial"/>
          <w:color w:val="000000"/>
          <w:sz w:val="24"/>
        </w:rPr>
        <w:t>but also</w:t>
      </w:r>
      <w:r w:rsidRPr="00012C17">
        <w:rPr>
          <w:rFonts w:cs="Arial"/>
          <w:color w:val="000000"/>
          <w:sz w:val="24"/>
        </w:rPr>
        <w:t xml:space="preserve"> the regular courts</w:t>
      </w:r>
      <w:r w:rsidR="00333657" w:rsidRPr="00012C17">
        <w:rPr>
          <w:rFonts w:cs="Arial"/>
          <w:color w:val="000000"/>
          <w:sz w:val="24"/>
        </w:rPr>
        <w:t>,</w:t>
      </w:r>
      <w:r w:rsidRPr="00012C17">
        <w:rPr>
          <w:rFonts w:cs="Arial"/>
          <w:color w:val="000000"/>
          <w:sz w:val="24"/>
        </w:rPr>
        <w:t xml:space="preserve"> are often in a position </w:t>
      </w:r>
      <w:r w:rsidR="00453209" w:rsidRPr="00012C17">
        <w:rPr>
          <w:rFonts w:cs="Arial"/>
          <w:color w:val="000000"/>
          <w:sz w:val="24"/>
        </w:rPr>
        <w:t xml:space="preserve">to </w:t>
      </w:r>
      <w:r w:rsidRPr="00012C17">
        <w:rPr>
          <w:rFonts w:cs="Arial"/>
          <w:color w:val="000000"/>
          <w:sz w:val="24"/>
        </w:rPr>
        <w:t xml:space="preserve">interpret the law, the </w:t>
      </w:r>
      <w:r w:rsidR="00333657" w:rsidRPr="00012C17">
        <w:rPr>
          <w:rFonts w:cs="Arial"/>
          <w:color w:val="000000"/>
          <w:sz w:val="24"/>
        </w:rPr>
        <w:t>C</w:t>
      </w:r>
      <w:r w:rsidRPr="00012C17">
        <w:rPr>
          <w:rFonts w:cs="Arial"/>
          <w:color w:val="000000"/>
          <w:sz w:val="24"/>
        </w:rPr>
        <w:t xml:space="preserve">onstitution, but also the international instruments, as guaranteed by Article 22 of the Constitution. It is the principle of subsidiarity and the fourth </w:t>
      </w:r>
      <w:r w:rsidR="00333657" w:rsidRPr="00012C17">
        <w:rPr>
          <w:rFonts w:cs="Arial"/>
          <w:color w:val="000000"/>
          <w:sz w:val="24"/>
        </w:rPr>
        <w:t>instance doctrine</w:t>
      </w:r>
      <w:r w:rsidRPr="00012C17">
        <w:rPr>
          <w:rFonts w:cs="Arial"/>
          <w:color w:val="000000"/>
          <w:sz w:val="24"/>
        </w:rPr>
        <w:t>, which, in principle, but depending on the particular circumstances of each case, make that distinction.</w:t>
      </w:r>
    </w:p>
    <w:p w:rsidR="00646D7E" w:rsidRPr="00012C17" w:rsidRDefault="00646D7E" w:rsidP="001B11C5">
      <w:pPr>
        <w:spacing w:line="240" w:lineRule="auto"/>
        <w:ind w:left="630"/>
        <w:rPr>
          <w:rFonts w:cs="Arial"/>
          <w:color w:val="000000"/>
          <w:sz w:val="24"/>
        </w:rPr>
      </w:pPr>
    </w:p>
    <w:p w:rsidR="00333657" w:rsidRPr="00012C17" w:rsidRDefault="00FA0DC0" w:rsidP="001B11C5">
      <w:pPr>
        <w:numPr>
          <w:ilvl w:val="0"/>
          <w:numId w:val="1"/>
        </w:numPr>
        <w:spacing w:line="240" w:lineRule="auto"/>
        <w:ind w:left="630" w:hanging="630"/>
        <w:rPr>
          <w:color w:val="000000"/>
          <w:sz w:val="24"/>
        </w:rPr>
      </w:pPr>
      <w:r w:rsidRPr="00012C17">
        <w:rPr>
          <w:rFonts w:cs="Arial"/>
          <w:color w:val="000000"/>
          <w:sz w:val="24"/>
        </w:rPr>
        <w:t>In light of the abovementioned explanations</w:t>
      </w:r>
      <w:r w:rsidR="00646D7E" w:rsidRPr="00012C17">
        <w:rPr>
          <w:rFonts w:cs="Arial"/>
          <w:color w:val="000000"/>
          <w:sz w:val="24"/>
        </w:rPr>
        <w:t xml:space="preserve">, and to assess whether the Supreme Court </w:t>
      </w:r>
      <w:r w:rsidR="00487E7F" w:rsidRPr="00012C17">
        <w:rPr>
          <w:rFonts w:cs="Arial"/>
          <w:color w:val="000000"/>
          <w:sz w:val="24"/>
        </w:rPr>
        <w:t>reviewed</w:t>
      </w:r>
      <w:r w:rsidR="00646D7E" w:rsidRPr="00012C17">
        <w:rPr>
          <w:rFonts w:cs="Arial"/>
          <w:color w:val="000000"/>
          <w:sz w:val="24"/>
        </w:rPr>
        <w:t xml:space="preserve"> the substantive allegations of the Applicants, the Court refers to the second </w:t>
      </w:r>
      <w:r w:rsidR="00487E7F" w:rsidRPr="00012C17">
        <w:rPr>
          <w:rFonts w:cs="Arial"/>
          <w:color w:val="000000"/>
          <w:sz w:val="24"/>
        </w:rPr>
        <w:t>issue</w:t>
      </w:r>
      <w:r w:rsidR="00646D7E" w:rsidRPr="00012C17">
        <w:rPr>
          <w:rFonts w:cs="Arial"/>
          <w:color w:val="000000"/>
          <w:sz w:val="24"/>
        </w:rPr>
        <w:t xml:space="preserve"> </w:t>
      </w:r>
      <w:r w:rsidR="00487E7F" w:rsidRPr="00012C17">
        <w:rPr>
          <w:rFonts w:cs="Arial"/>
          <w:color w:val="000000"/>
          <w:sz w:val="24"/>
        </w:rPr>
        <w:t>presented</w:t>
      </w:r>
      <w:r w:rsidR="00646D7E" w:rsidRPr="00012C17">
        <w:rPr>
          <w:rFonts w:cs="Arial"/>
          <w:color w:val="000000"/>
          <w:sz w:val="24"/>
        </w:rPr>
        <w:t xml:space="preserve"> above, namely the alleged lack of reasoning of the </w:t>
      </w:r>
      <w:r w:rsidR="00333657" w:rsidRPr="00012C17">
        <w:rPr>
          <w:rFonts w:cs="Arial"/>
          <w:color w:val="000000"/>
          <w:sz w:val="24"/>
        </w:rPr>
        <w:t>challenged</w:t>
      </w:r>
      <w:r w:rsidR="00646D7E" w:rsidRPr="00012C17">
        <w:rPr>
          <w:rFonts w:cs="Arial"/>
          <w:color w:val="000000"/>
          <w:sz w:val="24"/>
        </w:rPr>
        <w:t xml:space="preserve"> decisions of the Supreme Court </w:t>
      </w:r>
      <w:r w:rsidR="00333657" w:rsidRPr="00012C17">
        <w:rPr>
          <w:rFonts w:cs="Arial"/>
          <w:color w:val="000000"/>
          <w:sz w:val="24"/>
        </w:rPr>
        <w:t>regarding</w:t>
      </w:r>
      <w:r w:rsidR="00646D7E" w:rsidRPr="00012C17">
        <w:rPr>
          <w:rFonts w:cs="Arial"/>
          <w:color w:val="000000"/>
          <w:sz w:val="24"/>
        </w:rPr>
        <w:t xml:space="preserve"> the </w:t>
      </w:r>
      <w:r w:rsidR="00333657" w:rsidRPr="00012C17">
        <w:rPr>
          <w:rFonts w:cs="Arial"/>
          <w:color w:val="000000"/>
          <w:sz w:val="24"/>
        </w:rPr>
        <w:t xml:space="preserve">Applicants’ </w:t>
      </w:r>
      <w:r w:rsidR="00646D7E" w:rsidRPr="00012C17">
        <w:rPr>
          <w:rFonts w:cs="Arial"/>
          <w:color w:val="000000"/>
          <w:sz w:val="24"/>
        </w:rPr>
        <w:t>allegations of constitutional violation.</w:t>
      </w:r>
    </w:p>
    <w:p w:rsidR="00D927BF" w:rsidRPr="00012C17" w:rsidRDefault="00D927BF" w:rsidP="001B11C5">
      <w:pPr>
        <w:pStyle w:val="ListParagraph"/>
        <w:spacing w:after="0" w:line="240" w:lineRule="auto"/>
        <w:rPr>
          <w:color w:val="000000"/>
          <w:sz w:val="24"/>
          <w:lang w:val="en-US"/>
        </w:rPr>
      </w:pPr>
    </w:p>
    <w:p w:rsidR="00E84FF8" w:rsidRPr="00012C17" w:rsidRDefault="00E84FF8" w:rsidP="001B11C5">
      <w:pPr>
        <w:numPr>
          <w:ilvl w:val="0"/>
          <w:numId w:val="1"/>
        </w:numPr>
        <w:spacing w:line="240" w:lineRule="auto"/>
        <w:ind w:left="630" w:hanging="630"/>
        <w:rPr>
          <w:color w:val="000000"/>
          <w:sz w:val="24"/>
        </w:rPr>
      </w:pPr>
      <w:r w:rsidRPr="00012C17">
        <w:rPr>
          <w:bCs/>
          <w:color w:val="000000"/>
          <w:sz w:val="24"/>
        </w:rPr>
        <w:t xml:space="preserve">In this regard, the Court </w:t>
      </w:r>
      <w:r w:rsidRPr="00012C17">
        <w:rPr>
          <w:color w:val="000000"/>
          <w:sz w:val="24"/>
        </w:rPr>
        <w:t>should</w:t>
      </w:r>
      <w:r w:rsidRPr="00012C17">
        <w:rPr>
          <w:bCs/>
          <w:color w:val="000000"/>
          <w:sz w:val="24"/>
        </w:rPr>
        <w:t xml:space="preserve"> </w:t>
      </w:r>
      <w:r w:rsidR="00333657" w:rsidRPr="00012C17">
        <w:rPr>
          <w:bCs/>
          <w:color w:val="000000"/>
          <w:sz w:val="24"/>
        </w:rPr>
        <w:t xml:space="preserve">initially </w:t>
      </w:r>
      <w:r w:rsidRPr="00012C17">
        <w:rPr>
          <w:bCs/>
          <w:color w:val="000000"/>
          <w:sz w:val="24"/>
        </w:rPr>
        <w:t xml:space="preserve">emphasize that the guarantees of Article 31 [Right to Fair and Impartial Trial] of the Constitution in conjunction with Article 6 (Right to </w:t>
      </w:r>
      <w:r w:rsidR="00333657" w:rsidRPr="00012C17">
        <w:rPr>
          <w:bCs/>
          <w:color w:val="000000"/>
          <w:sz w:val="24"/>
        </w:rPr>
        <w:t xml:space="preserve">fair </w:t>
      </w:r>
      <w:r w:rsidRPr="00012C17">
        <w:rPr>
          <w:bCs/>
          <w:color w:val="000000"/>
          <w:sz w:val="24"/>
        </w:rPr>
        <w:t xml:space="preserve">trial) of the ECHR, in principle, on the basis of ECtHR </w:t>
      </w:r>
      <w:r w:rsidR="00012C17" w:rsidRPr="00012C17">
        <w:rPr>
          <w:bCs/>
          <w:color w:val="000000"/>
          <w:sz w:val="24"/>
        </w:rPr>
        <w:t>case-law</w:t>
      </w:r>
      <w:r w:rsidRPr="00012C17">
        <w:rPr>
          <w:bCs/>
          <w:color w:val="000000"/>
          <w:sz w:val="24"/>
        </w:rPr>
        <w:t>, are not applicable in the election disputes</w:t>
      </w:r>
      <w:r w:rsidR="00AB0C49" w:rsidRPr="00012C17">
        <w:rPr>
          <w:bCs/>
          <w:color w:val="000000"/>
          <w:sz w:val="24"/>
        </w:rPr>
        <w:t>.</w:t>
      </w:r>
      <w:r w:rsidRPr="00012C17">
        <w:rPr>
          <w:bCs/>
          <w:color w:val="000000"/>
          <w:sz w:val="24"/>
        </w:rPr>
        <w:t xml:space="preserve"> (</w:t>
      </w:r>
      <w:r w:rsidR="001C7CE7" w:rsidRPr="00012C17">
        <w:rPr>
          <w:bCs/>
          <w:color w:val="000000"/>
          <w:sz w:val="24"/>
        </w:rPr>
        <w:t>See</w:t>
      </w:r>
      <w:r w:rsidR="00AB0C49" w:rsidRPr="00012C17">
        <w:rPr>
          <w:bCs/>
          <w:color w:val="000000"/>
          <w:sz w:val="24"/>
        </w:rPr>
        <w:t xml:space="preserve"> </w:t>
      </w:r>
      <w:r w:rsidRPr="00012C17">
        <w:rPr>
          <w:bCs/>
          <w:i/>
          <w:iCs/>
          <w:color w:val="000000"/>
          <w:sz w:val="24"/>
        </w:rPr>
        <w:t>inter alia</w:t>
      </w:r>
      <w:r w:rsidRPr="00012C17">
        <w:rPr>
          <w:bCs/>
          <w:color w:val="000000"/>
          <w:sz w:val="24"/>
        </w:rPr>
        <w:t xml:space="preserve">, </w:t>
      </w:r>
      <w:r w:rsidRPr="00012C17">
        <w:rPr>
          <w:bCs/>
          <w:i/>
          <w:iCs/>
          <w:color w:val="000000"/>
          <w:sz w:val="24"/>
        </w:rPr>
        <w:t>Pierre-Bloch v. France</w:t>
      </w:r>
      <w:r w:rsidRPr="00012C17">
        <w:rPr>
          <w:bCs/>
          <w:color w:val="000000"/>
          <w:sz w:val="24"/>
        </w:rPr>
        <w:t xml:space="preserve">, </w:t>
      </w:r>
      <w:r w:rsidR="001C7CE7" w:rsidRPr="00012C17">
        <w:rPr>
          <w:bCs/>
          <w:color w:val="000000"/>
          <w:sz w:val="24"/>
        </w:rPr>
        <w:t xml:space="preserve">Judgment of 21 October 1997, </w:t>
      </w:r>
      <w:r w:rsidRPr="00012C17">
        <w:rPr>
          <w:bCs/>
          <w:color w:val="000000"/>
          <w:sz w:val="24"/>
        </w:rPr>
        <w:t xml:space="preserve">paragraph 50). This does not mean that the decisions related to electoral disputes should not be reasoned. On the contrary. However, the reasoning of a court decision in </w:t>
      </w:r>
      <w:r w:rsidR="001C7CE7" w:rsidRPr="00012C17">
        <w:rPr>
          <w:bCs/>
          <w:color w:val="000000"/>
          <w:sz w:val="24"/>
        </w:rPr>
        <w:t xml:space="preserve">the </w:t>
      </w:r>
      <w:r w:rsidR="00D927BF" w:rsidRPr="00012C17">
        <w:rPr>
          <w:bCs/>
          <w:color w:val="000000"/>
          <w:sz w:val="24"/>
        </w:rPr>
        <w:t>election</w:t>
      </w:r>
      <w:r w:rsidRPr="00012C17">
        <w:rPr>
          <w:bCs/>
          <w:color w:val="000000"/>
          <w:sz w:val="24"/>
        </w:rPr>
        <w:t xml:space="preserve"> dispute</w:t>
      </w:r>
      <w:r w:rsidR="001C7CE7" w:rsidRPr="00012C17">
        <w:rPr>
          <w:bCs/>
          <w:color w:val="000000"/>
          <w:sz w:val="24"/>
        </w:rPr>
        <w:t>s</w:t>
      </w:r>
      <w:r w:rsidRPr="00012C17">
        <w:rPr>
          <w:bCs/>
          <w:color w:val="000000"/>
          <w:sz w:val="24"/>
        </w:rPr>
        <w:t xml:space="preserve"> must be put in the context of Article 3 of </w:t>
      </w:r>
      <w:r w:rsidR="00C40D12" w:rsidRPr="00012C17">
        <w:rPr>
          <w:bCs/>
          <w:color w:val="000000"/>
          <w:sz w:val="24"/>
        </w:rPr>
        <w:t>Protocol no.1</w:t>
      </w:r>
      <w:r w:rsidRPr="00012C17">
        <w:rPr>
          <w:bCs/>
          <w:color w:val="000000"/>
          <w:sz w:val="24"/>
        </w:rPr>
        <w:t xml:space="preserve"> to the ECHR and the relevant ECtHR </w:t>
      </w:r>
      <w:r w:rsidR="00012C17" w:rsidRPr="00012C17">
        <w:rPr>
          <w:bCs/>
          <w:color w:val="000000"/>
          <w:sz w:val="24"/>
        </w:rPr>
        <w:t>case-law</w:t>
      </w:r>
      <w:r w:rsidRPr="00012C17">
        <w:rPr>
          <w:bCs/>
          <w:color w:val="000000"/>
          <w:sz w:val="24"/>
        </w:rPr>
        <w:t>. According to the ECtHR, the procedure for reviewing electoral disputes should include a “</w:t>
      </w:r>
      <w:r w:rsidRPr="00012C17">
        <w:rPr>
          <w:bCs/>
          <w:i/>
          <w:iCs/>
          <w:color w:val="000000"/>
          <w:sz w:val="24"/>
        </w:rPr>
        <w:t xml:space="preserve"> sufficiently reasoned decision</w:t>
      </w:r>
      <w:r w:rsidRPr="00012C17">
        <w:rPr>
          <w:bCs/>
          <w:color w:val="000000"/>
          <w:sz w:val="24"/>
        </w:rPr>
        <w:t>” in order to “</w:t>
      </w:r>
      <w:r w:rsidRPr="00012C17">
        <w:rPr>
          <w:bCs/>
          <w:i/>
          <w:iCs/>
          <w:color w:val="000000"/>
          <w:sz w:val="24"/>
        </w:rPr>
        <w:t>prevent the abuse of power by the relevant decision-making authority</w:t>
      </w:r>
      <w:r w:rsidRPr="00012C17">
        <w:rPr>
          <w:bCs/>
          <w:color w:val="000000"/>
          <w:sz w:val="24"/>
        </w:rPr>
        <w:t>”</w:t>
      </w:r>
      <w:r w:rsidR="00012C17" w:rsidRPr="00012C17">
        <w:rPr>
          <w:bCs/>
          <w:color w:val="000000"/>
          <w:sz w:val="24"/>
        </w:rPr>
        <w:t>. (S</w:t>
      </w:r>
      <w:r w:rsidRPr="00012C17">
        <w:rPr>
          <w:bCs/>
          <w:color w:val="000000"/>
          <w:sz w:val="24"/>
        </w:rPr>
        <w:t xml:space="preserve">ee, </w:t>
      </w:r>
      <w:r w:rsidRPr="00012C17">
        <w:rPr>
          <w:bCs/>
          <w:i/>
          <w:iCs/>
          <w:color w:val="000000"/>
          <w:sz w:val="24"/>
        </w:rPr>
        <w:t>inter alia</w:t>
      </w:r>
      <w:r w:rsidRPr="00012C17">
        <w:rPr>
          <w:bCs/>
          <w:color w:val="000000"/>
          <w:sz w:val="24"/>
        </w:rPr>
        <w:t xml:space="preserve">, </w:t>
      </w:r>
      <w:r w:rsidRPr="00012C17">
        <w:rPr>
          <w:bCs/>
          <w:i/>
          <w:iCs/>
          <w:color w:val="000000"/>
          <w:sz w:val="24"/>
        </w:rPr>
        <w:t>Kerimova v. Azerbaijan</w:t>
      </w:r>
      <w:r w:rsidRPr="00012C17">
        <w:rPr>
          <w:bCs/>
          <w:color w:val="000000"/>
          <w:sz w:val="24"/>
        </w:rPr>
        <w:t xml:space="preserve">, </w:t>
      </w:r>
      <w:r w:rsidR="001C7CE7" w:rsidRPr="00012C17">
        <w:rPr>
          <w:bCs/>
          <w:color w:val="000000"/>
          <w:sz w:val="24"/>
        </w:rPr>
        <w:t xml:space="preserve">cited above, </w:t>
      </w:r>
      <w:r w:rsidR="00D927BF" w:rsidRPr="00012C17">
        <w:rPr>
          <w:bCs/>
          <w:color w:val="000000"/>
          <w:sz w:val="24"/>
        </w:rPr>
        <w:t>paragraphs</w:t>
      </w:r>
      <w:r w:rsidRPr="00012C17">
        <w:rPr>
          <w:bCs/>
          <w:color w:val="000000"/>
          <w:sz w:val="24"/>
        </w:rPr>
        <w:t xml:space="preserve"> 44- 45</w:t>
      </w:r>
      <w:r w:rsidR="00FA0DC0" w:rsidRPr="00012C17">
        <w:rPr>
          <w:bCs/>
          <w:color w:val="000000"/>
          <w:sz w:val="24"/>
        </w:rPr>
        <w:t xml:space="preserve">; </w:t>
      </w:r>
      <w:r w:rsidRPr="00012C17">
        <w:rPr>
          <w:bCs/>
          <w:i/>
          <w:iCs/>
          <w:color w:val="000000"/>
          <w:sz w:val="24"/>
        </w:rPr>
        <w:t>Podkolzina v. Latvia</w:t>
      </w:r>
      <w:r w:rsidRPr="00012C17">
        <w:rPr>
          <w:bCs/>
          <w:color w:val="000000"/>
          <w:sz w:val="24"/>
        </w:rPr>
        <w:t xml:space="preserve">, </w:t>
      </w:r>
      <w:r w:rsidR="001C7CE7" w:rsidRPr="00012C17">
        <w:rPr>
          <w:bCs/>
          <w:color w:val="000000"/>
          <w:sz w:val="24"/>
        </w:rPr>
        <w:t>cited above,</w:t>
      </w:r>
      <w:r w:rsidR="001B11C5" w:rsidRPr="00012C17">
        <w:rPr>
          <w:bCs/>
          <w:color w:val="000000"/>
          <w:sz w:val="24"/>
        </w:rPr>
        <w:t xml:space="preserve"> </w:t>
      </w:r>
      <w:r w:rsidR="001C7CE7" w:rsidRPr="00012C17">
        <w:rPr>
          <w:bCs/>
          <w:color w:val="000000"/>
          <w:sz w:val="24"/>
        </w:rPr>
        <w:t xml:space="preserve">paragraph </w:t>
      </w:r>
      <w:r w:rsidRPr="00012C17">
        <w:rPr>
          <w:bCs/>
          <w:color w:val="000000"/>
          <w:sz w:val="24"/>
        </w:rPr>
        <w:t xml:space="preserve">35, </w:t>
      </w:r>
      <w:r w:rsidRPr="00012C17">
        <w:rPr>
          <w:bCs/>
          <w:i/>
          <w:iCs/>
          <w:color w:val="000000"/>
          <w:sz w:val="24"/>
        </w:rPr>
        <w:t>Kovach v. Ukraine</w:t>
      </w:r>
      <w:r w:rsidRPr="00012C17">
        <w:rPr>
          <w:bCs/>
          <w:color w:val="000000"/>
          <w:sz w:val="24"/>
        </w:rPr>
        <w:t xml:space="preserve">, </w:t>
      </w:r>
      <w:r w:rsidR="001C7CE7" w:rsidRPr="00012C17">
        <w:rPr>
          <w:bCs/>
          <w:color w:val="000000"/>
          <w:sz w:val="24"/>
        </w:rPr>
        <w:t>cited above, paragraph</w:t>
      </w:r>
      <w:r w:rsidR="007C43F3" w:rsidRPr="00012C17">
        <w:rPr>
          <w:bCs/>
          <w:color w:val="000000"/>
          <w:sz w:val="24"/>
        </w:rPr>
        <w:t xml:space="preserve">s </w:t>
      </w:r>
      <w:r w:rsidRPr="00012C17">
        <w:rPr>
          <w:bCs/>
          <w:color w:val="000000"/>
          <w:sz w:val="24"/>
        </w:rPr>
        <w:t xml:space="preserve">54-55). In addition, a reasoned decision in </w:t>
      </w:r>
      <w:r w:rsidR="00D927BF" w:rsidRPr="00012C17">
        <w:rPr>
          <w:bCs/>
          <w:color w:val="000000"/>
          <w:sz w:val="24"/>
        </w:rPr>
        <w:t>the election</w:t>
      </w:r>
      <w:r w:rsidRPr="00012C17">
        <w:rPr>
          <w:bCs/>
          <w:color w:val="000000"/>
          <w:sz w:val="24"/>
        </w:rPr>
        <w:t xml:space="preserve"> disputes is also required by the Opinions of the Venice Commission, specifically the Report </w:t>
      </w:r>
      <w:r w:rsidR="00487E7F" w:rsidRPr="00012C17">
        <w:rPr>
          <w:bCs/>
          <w:color w:val="000000"/>
          <w:sz w:val="24"/>
        </w:rPr>
        <w:t>on</w:t>
      </w:r>
      <w:r w:rsidRPr="00012C17">
        <w:rPr>
          <w:bCs/>
          <w:color w:val="000000"/>
          <w:sz w:val="24"/>
        </w:rPr>
        <w:t xml:space="preserve"> Dispute Resolution</w:t>
      </w:r>
      <w:r w:rsidR="00AB0C49" w:rsidRPr="00012C17">
        <w:rPr>
          <w:bCs/>
          <w:color w:val="000000"/>
          <w:sz w:val="24"/>
        </w:rPr>
        <w:t>.</w:t>
      </w:r>
      <w:r w:rsidRPr="00012C17">
        <w:rPr>
          <w:bCs/>
          <w:color w:val="000000"/>
          <w:sz w:val="24"/>
        </w:rPr>
        <w:t xml:space="preserve"> (See item </w:t>
      </w:r>
      <w:r w:rsidR="001C7CE7" w:rsidRPr="00012C17">
        <w:rPr>
          <w:bCs/>
          <w:color w:val="000000"/>
          <w:sz w:val="24"/>
        </w:rPr>
        <w:t xml:space="preserve">11.2 of Section C item </w:t>
      </w:r>
      <w:r w:rsidRPr="00012C17">
        <w:rPr>
          <w:bCs/>
          <w:color w:val="000000"/>
          <w:sz w:val="24"/>
        </w:rPr>
        <w:t>1.6 of of the Report). The Court in this respect</w:t>
      </w:r>
      <w:r w:rsidR="001C7CE7" w:rsidRPr="00012C17">
        <w:rPr>
          <w:bCs/>
          <w:color w:val="000000"/>
          <w:sz w:val="24"/>
        </w:rPr>
        <w:t>,</w:t>
      </w:r>
      <w:r w:rsidRPr="00012C17">
        <w:rPr>
          <w:bCs/>
          <w:color w:val="000000"/>
          <w:sz w:val="24"/>
        </w:rPr>
        <w:t xml:space="preserve"> also recalls that the </w:t>
      </w:r>
      <w:r w:rsidR="001C7CE7" w:rsidRPr="00012C17">
        <w:rPr>
          <w:bCs/>
          <w:color w:val="000000"/>
          <w:sz w:val="24"/>
        </w:rPr>
        <w:t xml:space="preserve">time limits </w:t>
      </w:r>
      <w:r w:rsidRPr="00012C17">
        <w:rPr>
          <w:bCs/>
          <w:color w:val="000000"/>
          <w:sz w:val="24"/>
        </w:rPr>
        <w:t xml:space="preserve">of decision-making in </w:t>
      </w:r>
      <w:r w:rsidR="00487E7F" w:rsidRPr="00012C17">
        <w:rPr>
          <w:bCs/>
          <w:color w:val="000000"/>
          <w:sz w:val="24"/>
        </w:rPr>
        <w:t>the election</w:t>
      </w:r>
      <w:r w:rsidRPr="00012C17">
        <w:rPr>
          <w:bCs/>
          <w:color w:val="000000"/>
          <w:sz w:val="24"/>
        </w:rPr>
        <w:t xml:space="preserve"> disputes </w:t>
      </w:r>
      <w:r w:rsidR="001C7CE7" w:rsidRPr="00012C17">
        <w:rPr>
          <w:bCs/>
          <w:color w:val="000000"/>
          <w:sz w:val="24"/>
        </w:rPr>
        <w:t xml:space="preserve">are </w:t>
      </w:r>
      <w:r w:rsidRPr="00012C17">
        <w:rPr>
          <w:bCs/>
          <w:color w:val="000000"/>
          <w:sz w:val="24"/>
        </w:rPr>
        <w:t>in principle very short, especially in the first and second instance</w:t>
      </w:r>
      <w:r w:rsidRPr="00012C17">
        <w:rPr>
          <w:color w:val="000000"/>
          <w:sz w:val="24"/>
        </w:rPr>
        <w:t xml:space="preserve">. </w:t>
      </w:r>
    </w:p>
    <w:p w:rsidR="00D927BF" w:rsidRPr="00012C17" w:rsidRDefault="00D927BF" w:rsidP="001B11C5">
      <w:pPr>
        <w:spacing w:line="240" w:lineRule="auto"/>
        <w:ind w:left="540"/>
        <w:rPr>
          <w:color w:val="000000"/>
          <w:sz w:val="24"/>
        </w:rPr>
      </w:pPr>
    </w:p>
    <w:p w:rsidR="00E004B6" w:rsidRPr="00012C17" w:rsidRDefault="005A025F" w:rsidP="00E004B6">
      <w:pPr>
        <w:numPr>
          <w:ilvl w:val="0"/>
          <w:numId w:val="1"/>
        </w:numPr>
        <w:spacing w:line="240" w:lineRule="auto"/>
        <w:ind w:left="630" w:hanging="630"/>
        <w:rPr>
          <w:rFonts w:cs="Arial"/>
          <w:color w:val="000000"/>
          <w:sz w:val="24"/>
        </w:rPr>
      </w:pPr>
      <w:r w:rsidRPr="00012C17">
        <w:rPr>
          <w:rFonts w:cs="Arial"/>
          <w:color w:val="000000"/>
          <w:sz w:val="24"/>
          <w:shd w:val="clear" w:color="auto" w:fill="FFFFFF"/>
        </w:rPr>
        <w:t xml:space="preserve">Beyond the </w:t>
      </w:r>
      <w:r w:rsidR="00487E7F" w:rsidRPr="00012C17">
        <w:rPr>
          <w:rFonts w:cs="Arial"/>
          <w:color w:val="000000"/>
          <w:sz w:val="24"/>
          <w:shd w:val="clear" w:color="auto" w:fill="FFFFFF"/>
        </w:rPr>
        <w:t>election</w:t>
      </w:r>
      <w:r w:rsidRPr="00012C17">
        <w:rPr>
          <w:rFonts w:cs="Arial"/>
          <w:color w:val="000000"/>
          <w:sz w:val="24"/>
          <w:shd w:val="clear" w:color="auto" w:fill="FFFFFF"/>
        </w:rPr>
        <w:t xml:space="preserve"> disputes, the concept of “</w:t>
      </w:r>
      <w:r w:rsidRPr="00012C17">
        <w:rPr>
          <w:rFonts w:cs="Arial"/>
          <w:i/>
          <w:iCs/>
          <w:color w:val="000000"/>
          <w:sz w:val="24"/>
          <w:shd w:val="clear" w:color="auto" w:fill="FFFFFF"/>
        </w:rPr>
        <w:t>sufficiency of reasoning</w:t>
      </w:r>
      <w:r w:rsidRPr="00012C17">
        <w:rPr>
          <w:rFonts w:cs="Arial"/>
          <w:color w:val="000000"/>
          <w:sz w:val="24"/>
          <w:shd w:val="clear" w:color="auto" w:fill="FFFFFF"/>
        </w:rPr>
        <w:t xml:space="preserve">" even where desirable could be a wider and more detailed reasoning is a concept developed and also used by the ECtHR itself. (See case </w:t>
      </w:r>
      <w:r w:rsidRPr="00012C17">
        <w:rPr>
          <w:rFonts w:cs="Arial"/>
          <w:i/>
          <w:iCs/>
          <w:color w:val="000000"/>
          <w:sz w:val="24"/>
          <w:shd w:val="clear" w:color="auto" w:fill="FFFFFF"/>
        </w:rPr>
        <w:t>Merabishvili v. Georgia</w:t>
      </w:r>
      <w:r w:rsidRPr="00012C17">
        <w:rPr>
          <w:rFonts w:cs="Arial"/>
          <w:color w:val="000000"/>
          <w:sz w:val="24"/>
          <w:shd w:val="clear" w:color="auto" w:fill="FFFFFF"/>
        </w:rPr>
        <w:t>, No. 72508/13, Judgment of the Grand Chamber [GC] of 28 November 2017, paragraph 227 - although the circumstances of the case are not the same, the concept of “</w:t>
      </w:r>
      <w:r w:rsidRPr="00012C17">
        <w:rPr>
          <w:rFonts w:cs="Arial"/>
          <w:i/>
          <w:iCs/>
          <w:color w:val="000000"/>
          <w:sz w:val="24"/>
          <w:shd w:val="clear" w:color="auto" w:fill="FFFFFF"/>
        </w:rPr>
        <w:t>sufficiency of reasoning</w:t>
      </w:r>
      <w:r w:rsidRPr="00012C17">
        <w:rPr>
          <w:rFonts w:cs="Arial"/>
          <w:color w:val="000000"/>
          <w:sz w:val="24"/>
          <w:shd w:val="clear" w:color="auto" w:fill="FFFFFF"/>
        </w:rPr>
        <w:t>” stands. In this case of the Grand Chamber, the ECtHR in its reasoning stated the following</w:t>
      </w:r>
      <w:r w:rsidRPr="00012C17">
        <w:rPr>
          <w:rFonts w:cs="Arial"/>
          <w:i/>
          <w:iCs/>
          <w:color w:val="000000"/>
          <w:sz w:val="24"/>
          <w:shd w:val="clear" w:color="auto" w:fill="FFFFFF"/>
        </w:rPr>
        <w:t xml:space="preserve">: “Whilst more detailed </w:t>
      </w:r>
      <w:r w:rsidRPr="00012C17">
        <w:rPr>
          <w:rFonts w:cs="Arial"/>
          <w:i/>
          <w:iCs/>
          <w:color w:val="000000"/>
          <w:sz w:val="24"/>
          <w:shd w:val="clear" w:color="auto" w:fill="FFFFFF"/>
        </w:rPr>
        <w:lastRenderedPageBreak/>
        <w:t xml:space="preserve">reasoning would have been desirable, the Court is satisfied that this </w:t>
      </w:r>
      <w:r w:rsidR="00487E7F" w:rsidRPr="00012C17">
        <w:rPr>
          <w:rFonts w:cs="Arial"/>
          <w:color w:val="000000"/>
          <w:sz w:val="24"/>
          <w:shd w:val="clear" w:color="auto" w:fill="FFFFFF"/>
        </w:rPr>
        <w:t xml:space="preserve">[reasoning] </w:t>
      </w:r>
      <w:r w:rsidRPr="00012C17">
        <w:rPr>
          <w:rFonts w:cs="Arial"/>
          <w:i/>
          <w:iCs/>
          <w:color w:val="000000"/>
          <w:sz w:val="24"/>
          <w:shd w:val="clear" w:color="auto" w:fill="FFFFFF"/>
        </w:rPr>
        <w:t>was enough in the circumstances</w:t>
      </w:r>
      <w:r w:rsidRPr="00012C17">
        <w:rPr>
          <w:rFonts w:ascii="Arial" w:hAnsi="Arial" w:cs="Arial"/>
          <w:color w:val="000000"/>
          <w:sz w:val="26"/>
          <w:szCs w:val="26"/>
          <w:shd w:val="clear" w:color="auto" w:fill="FFFFFF"/>
        </w:rPr>
        <w:t>”</w:t>
      </w:r>
      <w:r w:rsidR="00487E7F" w:rsidRPr="00012C17">
        <w:rPr>
          <w:rFonts w:ascii="Arial" w:hAnsi="Arial" w:cs="Arial"/>
          <w:color w:val="000000"/>
          <w:sz w:val="26"/>
          <w:szCs w:val="26"/>
          <w:shd w:val="clear" w:color="auto" w:fill="FFFFFF"/>
        </w:rPr>
        <w:t>.</w:t>
      </w:r>
    </w:p>
    <w:p w:rsidR="00E004B6" w:rsidRPr="00012C17" w:rsidRDefault="00E004B6" w:rsidP="00E004B6">
      <w:pPr>
        <w:spacing w:line="240" w:lineRule="auto"/>
        <w:rPr>
          <w:rFonts w:cs="Arial"/>
          <w:color w:val="000000"/>
          <w:sz w:val="24"/>
        </w:rPr>
      </w:pPr>
    </w:p>
    <w:p w:rsidR="00E004B6" w:rsidRPr="00012C17" w:rsidRDefault="005A025F" w:rsidP="00E004B6">
      <w:pPr>
        <w:numPr>
          <w:ilvl w:val="0"/>
          <w:numId w:val="1"/>
        </w:numPr>
        <w:spacing w:line="240" w:lineRule="auto"/>
        <w:ind w:left="630" w:hanging="630"/>
        <w:rPr>
          <w:rFonts w:cs="Arial"/>
          <w:color w:val="000000"/>
          <w:sz w:val="24"/>
        </w:rPr>
      </w:pPr>
      <w:r w:rsidRPr="00012C17">
        <w:rPr>
          <w:rFonts w:cs="Arial"/>
          <w:color w:val="000000"/>
          <w:sz w:val="24"/>
        </w:rPr>
        <w:t xml:space="preserve">In order to </w:t>
      </w:r>
      <w:r w:rsidR="00FA0DC0" w:rsidRPr="00012C17">
        <w:rPr>
          <w:rFonts w:cs="Arial"/>
          <w:color w:val="000000"/>
          <w:sz w:val="24"/>
        </w:rPr>
        <w:t>accurately assess</w:t>
      </w:r>
      <w:r w:rsidRPr="00012C17">
        <w:rPr>
          <w:rFonts w:cs="Arial"/>
          <w:color w:val="000000"/>
          <w:sz w:val="24"/>
        </w:rPr>
        <w:t xml:space="preserve"> whether the Constitutional allegations of the Applicants at the Supreme Court have been dealt with and there was “</w:t>
      </w:r>
      <w:r w:rsidRPr="00012C17">
        <w:rPr>
          <w:rFonts w:cs="Arial"/>
          <w:i/>
          <w:iCs/>
          <w:color w:val="000000"/>
          <w:sz w:val="24"/>
        </w:rPr>
        <w:t>sufficient reasoning</w:t>
      </w:r>
      <w:r w:rsidRPr="00012C17">
        <w:rPr>
          <w:rFonts w:cs="Arial"/>
          <w:color w:val="000000"/>
          <w:sz w:val="24"/>
        </w:rPr>
        <w:t xml:space="preserve">” by the Supreme Court, in the circumstances of the present case, the Court will further </w:t>
      </w:r>
      <w:r w:rsidR="00487E7F" w:rsidRPr="00012C17">
        <w:rPr>
          <w:rFonts w:cs="Arial"/>
          <w:color w:val="000000"/>
          <w:sz w:val="24"/>
        </w:rPr>
        <w:t>accurately</w:t>
      </w:r>
      <w:r w:rsidRPr="00012C17">
        <w:rPr>
          <w:rFonts w:cs="Arial"/>
          <w:color w:val="000000"/>
          <w:sz w:val="24"/>
        </w:rPr>
        <w:t xml:space="preserve"> recall the relevant </w:t>
      </w:r>
      <w:r w:rsidR="00487E7F" w:rsidRPr="00012C17">
        <w:rPr>
          <w:rFonts w:cs="Arial"/>
          <w:color w:val="000000"/>
          <w:sz w:val="24"/>
        </w:rPr>
        <w:t>citations</w:t>
      </w:r>
      <w:r w:rsidRPr="00012C17">
        <w:rPr>
          <w:rFonts w:cs="Arial"/>
          <w:color w:val="000000"/>
          <w:sz w:val="24"/>
        </w:rPr>
        <w:t xml:space="preserve"> from the two appeals filed by the Applicants with the Supreme Court.</w:t>
      </w:r>
    </w:p>
    <w:p w:rsidR="00E004B6" w:rsidRPr="00012C17" w:rsidRDefault="00E004B6" w:rsidP="00E004B6">
      <w:pPr>
        <w:spacing w:line="240" w:lineRule="auto"/>
        <w:rPr>
          <w:rFonts w:cs="Arial"/>
          <w:color w:val="000000"/>
          <w:sz w:val="24"/>
        </w:rPr>
      </w:pPr>
    </w:p>
    <w:p w:rsidR="00E752FD" w:rsidRPr="00012C17" w:rsidRDefault="007F6BDA" w:rsidP="00E004B6">
      <w:pPr>
        <w:numPr>
          <w:ilvl w:val="0"/>
          <w:numId w:val="1"/>
        </w:numPr>
        <w:spacing w:line="240" w:lineRule="auto"/>
        <w:ind w:left="630" w:hanging="630"/>
        <w:rPr>
          <w:rFonts w:cs="Arial"/>
          <w:color w:val="000000"/>
          <w:sz w:val="24"/>
        </w:rPr>
      </w:pPr>
      <w:r w:rsidRPr="00012C17">
        <w:rPr>
          <w:color w:val="000000"/>
          <w:sz w:val="24"/>
        </w:rPr>
        <w:t xml:space="preserve">Firstly, as regards the first appeal filed with the Supreme Court against Decision [ZL. A. no. 1102/2017], of </w:t>
      </w:r>
      <w:r w:rsidR="00FA0DC0" w:rsidRPr="00012C17">
        <w:rPr>
          <w:color w:val="000000"/>
          <w:sz w:val="24"/>
        </w:rPr>
        <w:t>22</w:t>
      </w:r>
      <w:r w:rsidRPr="00012C17">
        <w:rPr>
          <w:color w:val="000000"/>
          <w:sz w:val="24"/>
        </w:rPr>
        <w:t xml:space="preserve"> November 2017</w:t>
      </w:r>
      <w:r w:rsidR="00FA0DC0" w:rsidRPr="00012C17">
        <w:rPr>
          <w:color w:val="000000"/>
          <w:sz w:val="24"/>
        </w:rPr>
        <w:t xml:space="preserve"> of the ECAP</w:t>
      </w:r>
      <w:r w:rsidRPr="00012C17">
        <w:rPr>
          <w:color w:val="000000"/>
          <w:sz w:val="24"/>
        </w:rPr>
        <w:t xml:space="preserve">, </w:t>
      </w:r>
      <w:r w:rsidR="00FA0DC0" w:rsidRPr="00012C17">
        <w:rPr>
          <w:color w:val="000000"/>
          <w:sz w:val="24"/>
        </w:rPr>
        <w:t xml:space="preserve">namely the appeal of </w:t>
      </w:r>
      <w:r w:rsidR="00487E7F" w:rsidRPr="00012C17">
        <w:rPr>
          <w:color w:val="000000"/>
          <w:sz w:val="24"/>
        </w:rPr>
        <w:t>3</w:t>
      </w:r>
      <w:r w:rsidR="00FA0DC0" w:rsidRPr="00012C17">
        <w:rPr>
          <w:color w:val="000000"/>
          <w:sz w:val="24"/>
        </w:rPr>
        <w:t xml:space="preserve">0 November 2017, </w:t>
      </w:r>
      <w:r w:rsidRPr="00012C17">
        <w:rPr>
          <w:color w:val="000000"/>
          <w:sz w:val="24"/>
        </w:rPr>
        <w:t>the Court recalls that the Applicants stated the following</w:t>
      </w:r>
      <w:r w:rsidRPr="00012C17">
        <w:rPr>
          <w:i/>
          <w:iCs/>
          <w:color w:val="000000"/>
          <w:sz w:val="24"/>
        </w:rPr>
        <w:t xml:space="preserve">: “The Constitution of the Republic of Kosovo in Article 45 [...] in its three paragraphs speaks about three constitutional rights of each citizen of Kosovo. The first has to do with the right to be elected and to elect, except in cases when this right is restricted by a court decision; The second right has to do with the right to guarantee the sanctity of vote as a personal, equal, free and confidential right. The third and the last one deals with the right of each citizen in Kosovo to be guaranteed by the state institutions that the realization of the right to election will be guaranteed in the way that everyone will have the right to influence in a democratic way in the decisions of public authorities”. </w:t>
      </w:r>
      <w:r w:rsidRPr="00012C17">
        <w:rPr>
          <w:color w:val="000000"/>
          <w:sz w:val="24"/>
        </w:rPr>
        <w:t xml:space="preserve">The Applicants further </w:t>
      </w:r>
      <w:r w:rsidR="00487E7F" w:rsidRPr="00012C17">
        <w:rPr>
          <w:color w:val="000000"/>
          <w:sz w:val="24"/>
        </w:rPr>
        <w:t>emphasized</w:t>
      </w:r>
      <w:r w:rsidRPr="00012C17">
        <w:rPr>
          <w:color w:val="000000"/>
          <w:sz w:val="24"/>
        </w:rPr>
        <w:t xml:space="preserve"> that: “</w:t>
      </w:r>
      <w:r w:rsidRPr="00012C17">
        <w:rPr>
          <w:i/>
          <w:iCs/>
          <w:color w:val="000000"/>
          <w:sz w:val="24"/>
        </w:rPr>
        <w:t>These election</w:t>
      </w:r>
      <w:r w:rsidR="001B11C5" w:rsidRPr="00012C17">
        <w:rPr>
          <w:i/>
          <w:iCs/>
          <w:color w:val="000000"/>
          <w:sz w:val="24"/>
        </w:rPr>
        <w:t xml:space="preserve"> </w:t>
      </w:r>
      <w:r w:rsidRPr="00012C17">
        <w:rPr>
          <w:i/>
          <w:iCs/>
          <w:color w:val="000000"/>
          <w:sz w:val="24"/>
        </w:rPr>
        <w:t>rights are enshrined in the respective laws of Kosovo, including the infrastructure for local elections.</w:t>
      </w:r>
      <w:r w:rsidRPr="00012C17">
        <w:rPr>
          <w:color w:val="000000"/>
          <w:sz w:val="24"/>
        </w:rPr>
        <w:t xml:space="preserve"> </w:t>
      </w:r>
      <w:r w:rsidRPr="00012C17">
        <w:rPr>
          <w:i/>
          <w:iCs/>
          <w:color w:val="000000"/>
          <w:sz w:val="24"/>
        </w:rPr>
        <w:t>Therefore, by Law [LGE], which in Article 3 [Fundamental Principles] foresees many election principles and the election process in its entirety”</w:t>
      </w:r>
      <w:r w:rsidRPr="00012C17">
        <w:rPr>
          <w:color w:val="000000"/>
          <w:sz w:val="24"/>
        </w:rPr>
        <w:t xml:space="preserve">. </w:t>
      </w:r>
      <w:r w:rsidR="00AB0C49" w:rsidRPr="00012C17">
        <w:rPr>
          <w:rFonts w:eastAsia="Times New Roman" w:cs="Calibri"/>
          <w:color w:val="000000"/>
          <w:sz w:val="24"/>
          <w:lang w:val="sq-AL" w:eastAsia="sq-AL"/>
        </w:rPr>
        <w:t>According to the Applicants, “</w:t>
      </w:r>
      <w:r w:rsidR="00AB0C49" w:rsidRPr="00012C17">
        <w:rPr>
          <w:rFonts w:eastAsia="Times New Roman" w:cs="Calibri"/>
          <w:i/>
          <w:iCs/>
          <w:color w:val="000000"/>
          <w:sz w:val="24"/>
          <w:lang w:val="sq-AL" w:eastAsia="sq-AL"/>
        </w:rPr>
        <w:t>The basic principles that should be respected by all in order to guarantee the election rights under</w:t>
      </w:r>
      <w:r w:rsidR="007C43F3" w:rsidRPr="00012C17">
        <w:rPr>
          <w:rFonts w:eastAsia="Times New Roman" w:cs="Calibri"/>
          <w:i/>
          <w:iCs/>
          <w:color w:val="000000"/>
          <w:sz w:val="24"/>
          <w:lang w:val="sq-AL" w:eastAsia="sq-AL"/>
        </w:rPr>
        <w:t xml:space="preserve"> the </w:t>
      </w:r>
      <w:r w:rsidR="00AB0C49" w:rsidRPr="00012C17">
        <w:rPr>
          <w:rFonts w:eastAsia="Times New Roman" w:cs="Calibri"/>
          <w:i/>
          <w:iCs/>
          <w:color w:val="000000"/>
          <w:sz w:val="24"/>
          <w:lang w:val="sq-AL" w:eastAsia="sq-AL"/>
        </w:rPr>
        <w:t>first paragraph of Article 45 of the Constitution are as follows:</w:t>
      </w:r>
      <w:r w:rsidR="007C43F3" w:rsidRPr="00012C17">
        <w:rPr>
          <w:rFonts w:eastAsia="Times New Roman" w:cs="Calibri"/>
          <w:i/>
          <w:iCs/>
          <w:color w:val="000000"/>
          <w:sz w:val="24"/>
          <w:lang w:val="sq-AL" w:eastAsia="sq-AL"/>
        </w:rPr>
        <w:t xml:space="preserve"> </w:t>
      </w:r>
      <w:r w:rsidR="00AB0C49" w:rsidRPr="00012C17">
        <w:rPr>
          <w:rFonts w:eastAsia="Times New Roman" w:cs="Calibri"/>
          <w:i/>
          <w:iCs/>
          <w:color w:val="000000"/>
          <w:sz w:val="24"/>
          <w:lang w:val="sq-AL" w:eastAsia="sq-AL"/>
        </w:rPr>
        <w:t>the elections are held based on</w:t>
      </w:r>
      <w:r w:rsidR="007C43F3" w:rsidRPr="00012C17">
        <w:rPr>
          <w:rFonts w:eastAsia="Times New Roman" w:cs="Calibri"/>
          <w:i/>
          <w:iCs/>
          <w:color w:val="000000"/>
          <w:sz w:val="24"/>
          <w:lang w:val="sq-AL" w:eastAsia="sq-AL"/>
        </w:rPr>
        <w:t xml:space="preserve"> the free, equal and secret suffrage </w:t>
      </w:r>
      <w:r w:rsidR="00AB0C49" w:rsidRPr="00012C17">
        <w:rPr>
          <w:rFonts w:eastAsia="Times New Roman" w:cs="Calibri"/>
          <w:i/>
          <w:iCs/>
          <w:color w:val="000000"/>
          <w:sz w:val="24"/>
          <w:lang w:val="sq-AL" w:eastAsia="sq-AL"/>
        </w:rPr>
        <w:t>under the  rules of this law and CEC rules; eligible voters are equal in exercising their right to vote and cast an equal number of votes; every citizen has the right to be elected without</w:t>
      </w:r>
      <w:r w:rsidR="007C43F3" w:rsidRPr="00012C17">
        <w:rPr>
          <w:rFonts w:eastAsia="Times New Roman" w:cs="Calibri"/>
          <w:i/>
          <w:iCs/>
          <w:color w:val="000000"/>
          <w:sz w:val="24"/>
          <w:lang w:val="sq-AL" w:eastAsia="sq-AL"/>
        </w:rPr>
        <w:t xml:space="preserve"> </w:t>
      </w:r>
      <w:r w:rsidR="00AB0C49" w:rsidRPr="00012C17">
        <w:rPr>
          <w:rFonts w:eastAsia="Times New Roman" w:cs="Calibri"/>
          <w:i/>
          <w:iCs/>
          <w:color w:val="000000"/>
          <w:sz w:val="24"/>
          <w:lang w:val="sq-AL" w:eastAsia="sq-AL"/>
        </w:rPr>
        <w:t>discrimination; and the freedom and secrecy of vote is guaranteed</w:t>
      </w:r>
      <w:r w:rsidR="00AB0C49" w:rsidRPr="00012C17">
        <w:rPr>
          <w:rFonts w:eastAsia="Times New Roman" w:cs="Calibri"/>
          <w:color w:val="000000"/>
          <w:sz w:val="24"/>
          <w:lang w:val="sq-AL" w:eastAsia="sq-AL"/>
        </w:rPr>
        <w:t xml:space="preserve">.”. </w:t>
      </w:r>
      <w:r w:rsidRPr="00012C17">
        <w:rPr>
          <w:color w:val="000000"/>
          <w:sz w:val="24"/>
        </w:rPr>
        <w:t>The Applicants also emphasized that “</w:t>
      </w:r>
      <w:r w:rsidRPr="00012C17">
        <w:rPr>
          <w:i/>
          <w:iCs/>
          <w:color w:val="000000"/>
          <w:sz w:val="24"/>
        </w:rPr>
        <w:t xml:space="preserve">Code is an applicable election regulation of CEC No. 11/2013 </w:t>
      </w:r>
      <w:r w:rsidR="0062615A" w:rsidRPr="00012C17">
        <w:rPr>
          <w:i/>
          <w:iCs/>
          <w:color w:val="000000"/>
          <w:sz w:val="24"/>
        </w:rPr>
        <w:t xml:space="preserve">and </w:t>
      </w:r>
      <w:r w:rsidRPr="00012C17">
        <w:rPr>
          <w:i/>
          <w:iCs/>
          <w:color w:val="000000"/>
          <w:sz w:val="24"/>
        </w:rPr>
        <w:t xml:space="preserve">of </w:t>
      </w:r>
      <w:r w:rsidR="0062615A" w:rsidRPr="00012C17">
        <w:rPr>
          <w:i/>
          <w:iCs/>
          <w:color w:val="000000"/>
          <w:sz w:val="24"/>
        </w:rPr>
        <w:t>A</w:t>
      </w:r>
      <w:r w:rsidRPr="00012C17">
        <w:rPr>
          <w:i/>
          <w:iCs/>
          <w:color w:val="000000"/>
          <w:sz w:val="24"/>
        </w:rPr>
        <w:t xml:space="preserve">rticle 45 of the </w:t>
      </w:r>
      <w:r w:rsidR="0062615A" w:rsidRPr="00012C17">
        <w:rPr>
          <w:i/>
          <w:iCs/>
          <w:color w:val="000000"/>
          <w:sz w:val="24"/>
        </w:rPr>
        <w:t>C</w:t>
      </w:r>
      <w:r w:rsidRPr="00012C17">
        <w:rPr>
          <w:i/>
          <w:iCs/>
          <w:color w:val="000000"/>
          <w:sz w:val="24"/>
        </w:rPr>
        <w:t xml:space="preserve">onstitution and the </w:t>
      </w:r>
      <w:r w:rsidR="0062615A" w:rsidRPr="00012C17">
        <w:rPr>
          <w:i/>
          <w:iCs/>
          <w:color w:val="000000"/>
          <w:sz w:val="24"/>
        </w:rPr>
        <w:t>[LGE]</w:t>
      </w:r>
      <w:r w:rsidRPr="00012C17">
        <w:rPr>
          <w:i/>
          <w:iCs/>
          <w:color w:val="000000"/>
          <w:sz w:val="24"/>
        </w:rPr>
        <w:t xml:space="preserve"> as above</w:t>
      </w:r>
      <w:r w:rsidR="0062615A" w:rsidRPr="00012C17">
        <w:rPr>
          <w:i/>
          <w:iCs/>
          <w:color w:val="000000"/>
          <w:sz w:val="24"/>
        </w:rPr>
        <w:t xml:space="preserve">. </w:t>
      </w:r>
      <w:r w:rsidR="0062615A" w:rsidRPr="00012C17">
        <w:rPr>
          <w:color w:val="000000"/>
          <w:sz w:val="24"/>
        </w:rPr>
        <w:t>In the last part of this appeal</w:t>
      </w:r>
      <w:r w:rsidR="00E752FD" w:rsidRPr="00012C17">
        <w:rPr>
          <w:color w:val="000000"/>
          <w:sz w:val="24"/>
        </w:rPr>
        <w:t>, the Applicants stated that: “</w:t>
      </w:r>
      <w:r w:rsidR="00E752FD" w:rsidRPr="00012C17">
        <w:rPr>
          <w:i/>
          <w:iCs/>
          <w:color w:val="000000"/>
          <w:sz w:val="24"/>
        </w:rPr>
        <w:t xml:space="preserve">The election right of the candidate [...] was violated by </w:t>
      </w:r>
      <w:r w:rsidR="00E752FD" w:rsidRPr="00012C17">
        <w:rPr>
          <w:i/>
          <w:color w:val="000000"/>
          <w:sz w:val="24"/>
        </w:rPr>
        <w:t xml:space="preserve">“Vetëvendosje” </w:t>
      </w:r>
      <w:r w:rsidR="00E752FD" w:rsidRPr="00012C17">
        <w:rPr>
          <w:i/>
          <w:iCs/>
          <w:color w:val="000000"/>
          <w:sz w:val="24"/>
        </w:rPr>
        <w:t>in the way that the latter took actions violating severely the basic constitutional and legal principles regarding the elections</w:t>
      </w:r>
      <w:r w:rsidR="00E752FD" w:rsidRPr="00012C17">
        <w:rPr>
          <w:color w:val="000000"/>
          <w:sz w:val="24"/>
        </w:rPr>
        <w:t xml:space="preserve">. </w:t>
      </w:r>
      <w:r w:rsidR="00E752FD" w:rsidRPr="00012C17">
        <w:rPr>
          <w:i/>
          <w:iCs/>
          <w:color w:val="000000"/>
          <w:sz w:val="24"/>
        </w:rPr>
        <w:t>Above all, the PRINCIPLE OF SECRECY AND THE RIGHT TO A FREE VOTE were violated, as two components, which in the constitutional democracies is known as HOLINESS OF THE VOTE”</w:t>
      </w:r>
      <w:r w:rsidR="00E752FD" w:rsidRPr="00012C17">
        <w:rPr>
          <w:color w:val="000000"/>
          <w:sz w:val="24"/>
        </w:rPr>
        <w:t>.</w:t>
      </w:r>
    </w:p>
    <w:p w:rsidR="00FC0B90" w:rsidRPr="00012C17" w:rsidRDefault="00FC0B90" w:rsidP="001B11C5">
      <w:pPr>
        <w:spacing w:line="240" w:lineRule="auto"/>
        <w:ind w:left="630"/>
        <w:rPr>
          <w:rFonts w:cs="Arial"/>
          <w:color w:val="000000"/>
          <w:sz w:val="24"/>
        </w:rPr>
      </w:pPr>
    </w:p>
    <w:p w:rsidR="00FC0B90" w:rsidRPr="00012C17" w:rsidRDefault="00E752FD" w:rsidP="001B11C5">
      <w:pPr>
        <w:numPr>
          <w:ilvl w:val="0"/>
          <w:numId w:val="1"/>
        </w:numPr>
        <w:spacing w:line="240" w:lineRule="auto"/>
        <w:ind w:left="630" w:hanging="630"/>
        <w:rPr>
          <w:rFonts w:cs="Arial"/>
          <w:color w:val="000000"/>
          <w:sz w:val="24"/>
        </w:rPr>
      </w:pPr>
      <w:r w:rsidRPr="00012C17">
        <w:rPr>
          <w:rFonts w:cs="Arial"/>
          <w:color w:val="000000"/>
          <w:sz w:val="24"/>
        </w:rPr>
        <w:t xml:space="preserve">Secondly, regarding the second appeal submitted to the Supreme Court against Decision [ZL. Ano. 1125/2017], </w:t>
      </w:r>
      <w:r w:rsidR="00FA0DC0" w:rsidRPr="00012C17">
        <w:rPr>
          <w:rFonts w:cs="Arial"/>
          <w:color w:val="000000"/>
          <w:sz w:val="24"/>
        </w:rPr>
        <w:t xml:space="preserve">of 1 December 2017 of the ECAP; </w:t>
      </w:r>
      <w:r w:rsidRPr="00012C17">
        <w:rPr>
          <w:rFonts w:cs="Arial"/>
          <w:color w:val="000000"/>
          <w:sz w:val="24"/>
        </w:rPr>
        <w:t>namely the appeal</w:t>
      </w:r>
      <w:r w:rsidR="00FA0DC0" w:rsidRPr="00012C17">
        <w:rPr>
          <w:rFonts w:cs="Arial"/>
          <w:color w:val="000000"/>
          <w:sz w:val="24"/>
        </w:rPr>
        <w:t xml:space="preserve"> of 5 December 2017,</w:t>
      </w:r>
      <w:r w:rsidR="001B11C5" w:rsidRPr="00012C17">
        <w:rPr>
          <w:rFonts w:cs="Arial"/>
          <w:color w:val="000000"/>
          <w:sz w:val="24"/>
        </w:rPr>
        <w:t xml:space="preserve"> </w:t>
      </w:r>
      <w:r w:rsidRPr="00012C17">
        <w:rPr>
          <w:rFonts w:cs="Arial"/>
          <w:color w:val="000000"/>
          <w:sz w:val="24"/>
        </w:rPr>
        <w:t xml:space="preserve">the Court recalls that the Applicants requested the annulment of the ECAP Decision for three reasons: </w:t>
      </w:r>
      <w:r w:rsidR="00FC0B90" w:rsidRPr="00012C17">
        <w:rPr>
          <w:i/>
          <w:iCs/>
          <w:color w:val="000000"/>
          <w:sz w:val="24"/>
        </w:rPr>
        <w:t>“I. Due to erroneous application of the provisions of the Law on General Elections and the Law on Local Elections by the ECAP; II. Due to incorrect assessment of evidence provided by the solidary appellants as above; and finally;</w:t>
      </w:r>
      <w:r w:rsidR="00487E7F" w:rsidRPr="00012C17">
        <w:rPr>
          <w:i/>
          <w:iCs/>
          <w:color w:val="000000"/>
          <w:sz w:val="24"/>
        </w:rPr>
        <w:t xml:space="preserve"> </w:t>
      </w:r>
      <w:r w:rsidR="00FC0B90" w:rsidRPr="00012C17">
        <w:rPr>
          <w:i/>
          <w:iCs/>
          <w:color w:val="000000"/>
          <w:sz w:val="24"/>
        </w:rPr>
        <w:t xml:space="preserve">III. Due to the violation of </w:t>
      </w:r>
      <w:r w:rsidR="00487E7F" w:rsidRPr="00012C17">
        <w:rPr>
          <w:i/>
          <w:iCs/>
          <w:color w:val="000000"/>
          <w:sz w:val="24"/>
        </w:rPr>
        <w:t>three</w:t>
      </w:r>
      <w:r w:rsidR="00FC0B90" w:rsidRPr="00012C17">
        <w:rPr>
          <w:i/>
          <w:iCs/>
          <w:color w:val="000000"/>
          <w:sz w:val="24"/>
        </w:rPr>
        <w:t xml:space="preserve"> constitutional rights of the voters for the Mayor of Prishtina guaranteed by Article 45 [Freedom of Election and Participation] of the </w:t>
      </w:r>
      <w:r w:rsidR="00FC0B90" w:rsidRPr="00012C17">
        <w:rPr>
          <w:i/>
          <w:iCs/>
          <w:color w:val="000000"/>
          <w:sz w:val="24"/>
        </w:rPr>
        <w:lastRenderedPageBreak/>
        <w:t>Constitution:- the right to be elected and elect;-the right to guarantee the holiness of vote and finally - the right of each citizen of Kosovo to be guaranteed by the state institutions that the realization of the election right will be guaranteed so that each citizen can influence democratically in the decisions of the public authorities but not on the day of election silence”.</w:t>
      </w:r>
    </w:p>
    <w:p w:rsidR="00487E7F" w:rsidRPr="00012C17" w:rsidRDefault="00487E7F" w:rsidP="001B11C5">
      <w:pPr>
        <w:spacing w:line="240" w:lineRule="auto"/>
        <w:ind w:left="630"/>
        <w:rPr>
          <w:rFonts w:cs="Arial"/>
          <w:color w:val="000000"/>
          <w:sz w:val="24"/>
        </w:rPr>
      </w:pPr>
    </w:p>
    <w:p w:rsidR="00AB0C49" w:rsidRPr="00012C17" w:rsidRDefault="00FC0B90" w:rsidP="003F3E8D">
      <w:pPr>
        <w:numPr>
          <w:ilvl w:val="0"/>
          <w:numId w:val="1"/>
        </w:numPr>
        <w:tabs>
          <w:tab w:val="left" w:pos="630"/>
        </w:tabs>
        <w:spacing w:line="240" w:lineRule="auto"/>
        <w:ind w:left="630" w:hanging="630"/>
        <w:rPr>
          <w:rFonts w:cs="Arial"/>
          <w:color w:val="000000"/>
          <w:sz w:val="24"/>
        </w:rPr>
      </w:pPr>
      <w:r w:rsidRPr="00012C17">
        <w:rPr>
          <w:rFonts w:cs="Arial"/>
          <w:color w:val="000000"/>
          <w:sz w:val="24"/>
        </w:rPr>
        <w:t>In this regard, the Court notes that the Applicants</w:t>
      </w:r>
      <w:r w:rsidR="00FA0DC0" w:rsidRPr="00012C17">
        <w:rPr>
          <w:rFonts w:cs="Arial"/>
          <w:color w:val="000000"/>
          <w:sz w:val="24"/>
        </w:rPr>
        <w:t xml:space="preserve"> in their appeals submitted to the Supreme Court,</w:t>
      </w:r>
      <w:r w:rsidRPr="00012C17">
        <w:rPr>
          <w:rFonts w:cs="Arial"/>
          <w:color w:val="000000"/>
          <w:sz w:val="24"/>
        </w:rPr>
        <w:t xml:space="preserve"> referred to the violation of Article 45 of the Constitution by citing and summarizing the rights guaranteed by the three paragraphs of this Article, but the Applicants built the specific allegations of violation of fundamental rights and freedoms, through arguments and reasoning based on </w:t>
      </w:r>
      <w:r w:rsidR="00AB0C49" w:rsidRPr="00012C17">
        <w:rPr>
          <w:rFonts w:cs="Arial"/>
          <w:color w:val="000000"/>
          <w:sz w:val="24"/>
        </w:rPr>
        <w:t>a</w:t>
      </w:r>
      <w:r w:rsidR="00AB0C49" w:rsidRPr="00012C17">
        <w:rPr>
          <w:rFonts w:eastAsia="Times New Roman" w:cs="Calibri"/>
          <w:color w:val="000000"/>
          <w:sz w:val="24"/>
          <w:lang w:val="sq-AL" w:eastAsia="sq-AL"/>
        </w:rPr>
        <w:t>pplicable election law and election rules</w:t>
      </w:r>
      <w:r w:rsidRPr="00012C17">
        <w:rPr>
          <w:rFonts w:cs="Arial"/>
          <w:color w:val="000000"/>
          <w:sz w:val="24"/>
        </w:rPr>
        <w:t>.</w:t>
      </w:r>
    </w:p>
    <w:p w:rsidR="00AB0C49" w:rsidRPr="00012C17" w:rsidRDefault="00AB0C49" w:rsidP="00AB0C49">
      <w:pPr>
        <w:spacing w:line="240" w:lineRule="auto"/>
        <w:ind w:left="630"/>
        <w:rPr>
          <w:rFonts w:cs="Arial"/>
          <w:color w:val="000000"/>
          <w:sz w:val="24"/>
        </w:rPr>
      </w:pPr>
    </w:p>
    <w:p w:rsidR="00FC0B90" w:rsidRPr="00012C17" w:rsidRDefault="00FA0DC0" w:rsidP="00AB0C49">
      <w:pPr>
        <w:numPr>
          <w:ilvl w:val="0"/>
          <w:numId w:val="1"/>
        </w:numPr>
        <w:spacing w:line="240" w:lineRule="auto"/>
        <w:ind w:left="630" w:hanging="630"/>
        <w:rPr>
          <w:rFonts w:ascii="Calibri" w:eastAsia="Times New Roman" w:hAnsi="Calibri" w:cs="Calibri"/>
          <w:color w:val="000000"/>
          <w:lang w:val="sq-AL" w:eastAsia="sq-AL"/>
        </w:rPr>
      </w:pPr>
      <w:r w:rsidRPr="00012C17">
        <w:rPr>
          <w:rFonts w:cs="Arial"/>
          <w:color w:val="000000"/>
          <w:sz w:val="24"/>
        </w:rPr>
        <w:t>The</w:t>
      </w:r>
      <w:r w:rsidR="00FC0B90" w:rsidRPr="00012C17">
        <w:rPr>
          <w:rFonts w:cs="Arial"/>
          <w:color w:val="000000"/>
          <w:sz w:val="24"/>
        </w:rPr>
        <w:t xml:space="preserve"> Court </w:t>
      </w:r>
      <w:r w:rsidR="00F27AAF" w:rsidRPr="00012C17">
        <w:rPr>
          <w:rFonts w:cs="Arial"/>
          <w:color w:val="000000"/>
          <w:sz w:val="24"/>
        </w:rPr>
        <w:t>considers</w:t>
      </w:r>
      <w:r w:rsidR="00FC0B90" w:rsidRPr="00012C17">
        <w:rPr>
          <w:rFonts w:cs="Arial"/>
          <w:color w:val="000000"/>
          <w:sz w:val="24"/>
        </w:rPr>
        <w:t xml:space="preserve"> that all the substantive allegations of the Applicants</w:t>
      </w:r>
      <w:r w:rsidR="00F27AAF" w:rsidRPr="00012C17">
        <w:rPr>
          <w:rFonts w:cs="Arial"/>
          <w:color w:val="000000"/>
          <w:sz w:val="24"/>
        </w:rPr>
        <w:t xml:space="preserve">, which were </w:t>
      </w:r>
      <w:r w:rsidR="00487E7F" w:rsidRPr="00012C17">
        <w:rPr>
          <w:rFonts w:cs="Arial"/>
          <w:color w:val="000000"/>
          <w:sz w:val="24"/>
        </w:rPr>
        <w:t>substantiated</w:t>
      </w:r>
      <w:r w:rsidR="00F27AAF" w:rsidRPr="00012C17">
        <w:rPr>
          <w:rFonts w:cs="Arial"/>
          <w:color w:val="000000"/>
          <w:sz w:val="24"/>
        </w:rPr>
        <w:t xml:space="preserve"> and reasoned, were dealt with and received a response from the Supreme Court.</w:t>
      </w:r>
      <w:r w:rsidR="00FC0B90" w:rsidRPr="00012C17">
        <w:rPr>
          <w:rFonts w:cs="Arial"/>
          <w:color w:val="000000"/>
          <w:sz w:val="24"/>
        </w:rPr>
        <w:t xml:space="preserve"> </w:t>
      </w:r>
      <w:r w:rsidR="00AB0C49" w:rsidRPr="00012C17">
        <w:rPr>
          <w:rFonts w:eastAsia="Times New Roman" w:cs="Calibri"/>
          <w:color w:val="000000"/>
          <w:sz w:val="24"/>
          <w:lang w:val="sq-AL" w:eastAsia="sq-AL"/>
        </w:rPr>
        <w:t>Furthermore, the Applicants do not refer to any specific allegation claiming to have not received a response from the Supreme Court.</w:t>
      </w:r>
    </w:p>
    <w:p w:rsidR="00FC0B90" w:rsidRPr="00012C17" w:rsidRDefault="00FC0B90" w:rsidP="001B11C5">
      <w:pPr>
        <w:pStyle w:val="ListParagraph"/>
        <w:spacing w:after="0" w:line="240" w:lineRule="auto"/>
        <w:rPr>
          <w:rFonts w:cs="Arial"/>
          <w:color w:val="000000"/>
          <w:sz w:val="24"/>
          <w:lang w:val="en-US"/>
        </w:rPr>
      </w:pPr>
    </w:p>
    <w:p w:rsidR="00F27AAF" w:rsidRPr="00012C17" w:rsidRDefault="00F27AAF" w:rsidP="001B11C5">
      <w:pPr>
        <w:numPr>
          <w:ilvl w:val="0"/>
          <w:numId w:val="1"/>
        </w:numPr>
        <w:spacing w:line="240" w:lineRule="auto"/>
        <w:ind w:left="630" w:hanging="630"/>
        <w:rPr>
          <w:rFonts w:cs="Arial"/>
          <w:color w:val="000000"/>
          <w:sz w:val="24"/>
        </w:rPr>
      </w:pPr>
      <w:r w:rsidRPr="00012C17">
        <w:rPr>
          <w:rFonts w:cs="Arial"/>
          <w:color w:val="000000"/>
          <w:sz w:val="24"/>
        </w:rPr>
        <w:t xml:space="preserve">In line with its </w:t>
      </w:r>
      <w:r w:rsidR="00012C17" w:rsidRPr="00012C17">
        <w:rPr>
          <w:rFonts w:cs="Arial"/>
          <w:color w:val="000000"/>
          <w:sz w:val="24"/>
        </w:rPr>
        <w:t>case-law</w:t>
      </w:r>
      <w:r w:rsidRPr="00012C17">
        <w:rPr>
          <w:rFonts w:cs="Arial"/>
          <w:color w:val="000000"/>
          <w:sz w:val="24"/>
        </w:rPr>
        <w:t>, the Court emphasizes that its already consolidated position that “</w:t>
      </w:r>
      <w:r w:rsidRPr="00012C17">
        <w:rPr>
          <w:i/>
          <w:iCs/>
          <w:color w:val="000000"/>
          <w:sz w:val="24"/>
        </w:rPr>
        <w:t>the mere mentioning of respective articles of the Constitution, without elaborating their alleged violation, is not sufficient to build a grounded allegation of constitutional violation</w:t>
      </w:r>
      <w:r w:rsidRPr="00012C17">
        <w:rPr>
          <w:color w:val="000000"/>
        </w:rPr>
        <w:t>”</w:t>
      </w:r>
      <w:r w:rsidR="00AB0C49" w:rsidRPr="00012C17">
        <w:rPr>
          <w:rFonts w:cs="Arial"/>
          <w:color w:val="000000"/>
          <w:sz w:val="24"/>
        </w:rPr>
        <w:t>,</w:t>
      </w:r>
      <w:r w:rsidRPr="00012C17">
        <w:rPr>
          <w:rFonts w:cs="Arial"/>
          <w:color w:val="000000"/>
          <w:sz w:val="24"/>
        </w:rPr>
        <w:t xml:space="preserve"> (see, </w:t>
      </w:r>
      <w:r w:rsidRPr="00012C17">
        <w:rPr>
          <w:rFonts w:cs="Arial"/>
          <w:i/>
          <w:iCs/>
          <w:color w:val="000000"/>
          <w:sz w:val="24"/>
        </w:rPr>
        <w:t>inter alia</w:t>
      </w:r>
      <w:r w:rsidRPr="00012C17">
        <w:rPr>
          <w:rFonts w:cs="Arial"/>
          <w:color w:val="000000"/>
          <w:sz w:val="24"/>
        </w:rPr>
        <w:t xml:space="preserve">, in this context, the case of the Constitutional Court, KI54/18, Applicant </w:t>
      </w:r>
      <w:r w:rsidRPr="00012C17">
        <w:rPr>
          <w:rFonts w:cs="Arial"/>
          <w:i/>
          <w:iCs/>
          <w:color w:val="000000"/>
          <w:sz w:val="24"/>
        </w:rPr>
        <w:t>Shaip Sylaj</w:t>
      </w:r>
      <w:r w:rsidRPr="00012C17">
        <w:rPr>
          <w:rFonts w:cs="Arial"/>
          <w:color w:val="000000"/>
          <w:sz w:val="24"/>
        </w:rPr>
        <w:t xml:space="preserve">, Resolution on Inadmissibility of 10 October 2018, paragraph 61 and the references to that paragraph) applies </w:t>
      </w:r>
      <w:r w:rsidRPr="00012C17">
        <w:rPr>
          <w:rFonts w:cs="Arial"/>
          <w:i/>
          <w:iCs/>
          <w:color w:val="000000"/>
          <w:sz w:val="24"/>
        </w:rPr>
        <w:t>mutatis mutandis</w:t>
      </w:r>
      <w:r w:rsidRPr="00012C17">
        <w:rPr>
          <w:rFonts w:cs="Arial"/>
          <w:color w:val="000000"/>
          <w:sz w:val="24"/>
        </w:rPr>
        <w:t xml:space="preserve"> also to the submissions with </w:t>
      </w:r>
      <w:r w:rsidRPr="00012C17">
        <w:rPr>
          <w:color w:val="000000"/>
          <w:sz w:val="24"/>
        </w:rPr>
        <w:t>allegation of constitutional violation</w:t>
      </w:r>
      <w:r w:rsidRPr="00012C17">
        <w:rPr>
          <w:rFonts w:cs="Arial"/>
          <w:color w:val="000000"/>
          <w:sz w:val="24"/>
        </w:rPr>
        <w:t xml:space="preserve"> that the parties file to the pre-constitutional bodies, in the present case in the ECAP and the Supreme Court. </w:t>
      </w:r>
      <w:r w:rsidR="003F3E8D" w:rsidRPr="00012C17">
        <w:rPr>
          <w:rFonts w:cs="Arial"/>
          <w:color w:val="000000"/>
          <w:sz w:val="24"/>
        </w:rPr>
        <w:t>Even b</w:t>
      </w:r>
      <w:r w:rsidR="00225250" w:rsidRPr="00012C17">
        <w:rPr>
          <w:rFonts w:cs="Arial"/>
          <w:color w:val="000000"/>
          <w:sz w:val="24"/>
        </w:rPr>
        <w:t>efore the</w:t>
      </w:r>
      <w:r w:rsidRPr="00012C17">
        <w:rPr>
          <w:rFonts w:cs="Arial"/>
          <w:color w:val="000000"/>
          <w:sz w:val="24"/>
        </w:rPr>
        <w:t xml:space="preserve"> latter, </w:t>
      </w:r>
      <w:r w:rsidR="003F3E8D" w:rsidRPr="00012C17">
        <w:rPr>
          <w:rFonts w:cs="Arial"/>
          <w:color w:val="000000"/>
          <w:sz w:val="24"/>
        </w:rPr>
        <w:t>just like</w:t>
      </w:r>
      <w:r w:rsidRPr="00012C17">
        <w:rPr>
          <w:rFonts w:cs="Arial"/>
          <w:color w:val="000000"/>
          <w:sz w:val="24"/>
        </w:rPr>
        <w:t xml:space="preserve"> </w:t>
      </w:r>
      <w:r w:rsidR="00225250" w:rsidRPr="00012C17">
        <w:rPr>
          <w:rFonts w:cs="Arial"/>
          <w:color w:val="000000"/>
          <w:sz w:val="24"/>
        </w:rPr>
        <w:t xml:space="preserve">in </w:t>
      </w:r>
      <w:r w:rsidRPr="00012C17">
        <w:rPr>
          <w:rFonts w:cs="Arial"/>
          <w:color w:val="000000"/>
          <w:sz w:val="24"/>
        </w:rPr>
        <w:t xml:space="preserve">the proceedings before the Constitutional Court, </w:t>
      </w:r>
      <w:r w:rsidR="00225250" w:rsidRPr="00012C17">
        <w:rPr>
          <w:rFonts w:cs="Arial"/>
          <w:color w:val="000000"/>
          <w:sz w:val="24"/>
        </w:rPr>
        <w:t xml:space="preserve">the </w:t>
      </w:r>
      <w:r w:rsidRPr="00012C17">
        <w:rPr>
          <w:rFonts w:cs="Arial"/>
          <w:color w:val="000000"/>
          <w:sz w:val="24"/>
        </w:rPr>
        <w:t xml:space="preserve">arguments </w:t>
      </w:r>
      <w:r w:rsidR="00DC30B7" w:rsidRPr="00012C17">
        <w:rPr>
          <w:rFonts w:cs="Arial"/>
          <w:color w:val="000000"/>
          <w:sz w:val="24"/>
        </w:rPr>
        <w:t>elaborated</w:t>
      </w:r>
      <w:r w:rsidRPr="00012C17">
        <w:rPr>
          <w:rFonts w:cs="Arial"/>
          <w:color w:val="000000"/>
          <w:sz w:val="24"/>
        </w:rPr>
        <w:t xml:space="preserve"> on </w:t>
      </w:r>
      <w:r w:rsidR="00DC30B7" w:rsidRPr="00012C17">
        <w:rPr>
          <w:rFonts w:cs="Arial"/>
          <w:color w:val="000000"/>
          <w:sz w:val="24"/>
        </w:rPr>
        <w:t xml:space="preserve">the </w:t>
      </w:r>
      <w:r w:rsidRPr="00012C17">
        <w:rPr>
          <w:rFonts w:cs="Arial"/>
          <w:color w:val="000000"/>
          <w:sz w:val="24"/>
        </w:rPr>
        <w:t>allegations of constitutional violation</w:t>
      </w:r>
      <w:r w:rsidR="00225250" w:rsidRPr="00012C17">
        <w:rPr>
          <w:rFonts w:cs="Arial"/>
          <w:color w:val="000000"/>
          <w:sz w:val="24"/>
        </w:rPr>
        <w:t xml:space="preserve"> </w:t>
      </w:r>
      <w:r w:rsidR="003F3E8D" w:rsidRPr="00012C17">
        <w:rPr>
          <w:rFonts w:cs="Arial"/>
          <w:color w:val="000000"/>
          <w:sz w:val="24"/>
        </w:rPr>
        <w:t>must</w:t>
      </w:r>
      <w:r w:rsidR="00225250" w:rsidRPr="00012C17">
        <w:rPr>
          <w:rFonts w:cs="Arial"/>
          <w:color w:val="000000"/>
          <w:sz w:val="24"/>
        </w:rPr>
        <w:t xml:space="preserve"> be presented</w:t>
      </w:r>
      <w:r w:rsidRPr="00012C17">
        <w:rPr>
          <w:rFonts w:cs="Arial"/>
          <w:color w:val="000000"/>
          <w:sz w:val="24"/>
        </w:rPr>
        <w:t xml:space="preserve">, thus </w:t>
      </w:r>
      <w:r w:rsidR="00225250" w:rsidRPr="00012C17">
        <w:rPr>
          <w:rFonts w:cs="Arial"/>
          <w:color w:val="000000"/>
          <w:sz w:val="24"/>
        </w:rPr>
        <w:t>strengthening</w:t>
      </w:r>
      <w:r w:rsidRPr="00012C17">
        <w:rPr>
          <w:rFonts w:cs="Arial"/>
          <w:color w:val="000000"/>
          <w:sz w:val="24"/>
        </w:rPr>
        <w:t xml:space="preserve"> the </w:t>
      </w:r>
      <w:r w:rsidR="003F3E8D" w:rsidRPr="00012C17">
        <w:rPr>
          <w:rFonts w:cs="Arial"/>
          <w:color w:val="000000"/>
          <w:sz w:val="24"/>
        </w:rPr>
        <w:t>stance</w:t>
      </w:r>
      <w:r w:rsidRPr="00012C17">
        <w:rPr>
          <w:rFonts w:cs="Arial"/>
          <w:color w:val="000000"/>
          <w:sz w:val="24"/>
        </w:rPr>
        <w:t xml:space="preserve"> that it is not enough to </w:t>
      </w:r>
      <w:r w:rsidR="00DC30B7" w:rsidRPr="00012C17">
        <w:rPr>
          <w:rFonts w:cs="Arial"/>
          <w:color w:val="000000"/>
          <w:sz w:val="24"/>
        </w:rPr>
        <w:t>cite</w:t>
      </w:r>
      <w:r w:rsidRPr="00012C17">
        <w:rPr>
          <w:rFonts w:cs="Arial"/>
          <w:color w:val="000000"/>
          <w:sz w:val="24"/>
        </w:rPr>
        <w:t xml:space="preserve"> the relevant constitutional articles or the fundamental principles of a right.</w:t>
      </w:r>
    </w:p>
    <w:p w:rsidR="00225250" w:rsidRPr="00012C17" w:rsidRDefault="00225250" w:rsidP="001B11C5">
      <w:pPr>
        <w:spacing w:line="240" w:lineRule="auto"/>
        <w:ind w:left="630"/>
        <w:rPr>
          <w:rFonts w:cs="Arial"/>
          <w:color w:val="000000"/>
          <w:sz w:val="24"/>
        </w:rPr>
      </w:pPr>
    </w:p>
    <w:p w:rsidR="005A025F" w:rsidRPr="00012C17" w:rsidRDefault="00DC30B7" w:rsidP="001B11C5">
      <w:pPr>
        <w:numPr>
          <w:ilvl w:val="0"/>
          <w:numId w:val="1"/>
        </w:numPr>
        <w:spacing w:line="240" w:lineRule="auto"/>
        <w:ind w:left="630" w:hanging="630"/>
        <w:rPr>
          <w:rFonts w:cs="Arial"/>
          <w:color w:val="000000"/>
          <w:sz w:val="24"/>
        </w:rPr>
      </w:pPr>
      <w:r w:rsidRPr="00012C17">
        <w:rPr>
          <w:rFonts w:cs="Arial"/>
          <w:color w:val="000000"/>
          <w:sz w:val="24"/>
        </w:rPr>
        <w:t>Therefore, i</w:t>
      </w:r>
      <w:r w:rsidR="00FC0B90" w:rsidRPr="00012C17">
        <w:rPr>
          <w:rFonts w:cs="Arial"/>
          <w:color w:val="000000"/>
          <w:sz w:val="24"/>
        </w:rPr>
        <w:t>n the circumstances of the present case, the challenged decisions of the Supreme Court</w:t>
      </w:r>
      <w:r w:rsidRPr="00012C17">
        <w:rPr>
          <w:rFonts w:cs="Arial"/>
          <w:color w:val="000000"/>
          <w:sz w:val="24"/>
        </w:rPr>
        <w:t>, which</w:t>
      </w:r>
      <w:r w:rsidR="00FC0B90" w:rsidRPr="00012C17">
        <w:rPr>
          <w:rFonts w:cs="Arial"/>
          <w:color w:val="000000"/>
          <w:sz w:val="24"/>
        </w:rPr>
        <w:t xml:space="preserve"> were rendered </w:t>
      </w:r>
      <w:r w:rsidR="003A5CA1" w:rsidRPr="00012C17">
        <w:rPr>
          <w:rFonts w:cs="Arial"/>
          <w:color w:val="000000"/>
          <w:sz w:val="24"/>
        </w:rPr>
        <w:t>with</w:t>
      </w:r>
      <w:r w:rsidR="00FC0B90" w:rsidRPr="00012C17">
        <w:rPr>
          <w:rFonts w:cs="Arial"/>
          <w:color w:val="000000"/>
          <w:sz w:val="24"/>
        </w:rPr>
        <w:t xml:space="preserve">in the short </w:t>
      </w:r>
      <w:r w:rsidR="003A5CA1" w:rsidRPr="00012C17">
        <w:rPr>
          <w:rFonts w:cs="Arial"/>
          <w:color w:val="000000"/>
          <w:sz w:val="24"/>
        </w:rPr>
        <w:t>time limit</w:t>
      </w:r>
      <w:r w:rsidR="00FC0B90" w:rsidRPr="00012C17">
        <w:rPr>
          <w:rFonts w:cs="Arial"/>
          <w:color w:val="000000"/>
          <w:sz w:val="24"/>
        </w:rPr>
        <w:t xml:space="preserve"> of 72 hours </w:t>
      </w:r>
      <w:r w:rsidR="003F3E8D" w:rsidRPr="00012C17">
        <w:rPr>
          <w:rFonts w:cs="Arial"/>
          <w:color w:val="000000"/>
          <w:sz w:val="24"/>
        </w:rPr>
        <w:t xml:space="preserve">as foreseen by the law, </w:t>
      </w:r>
      <w:r w:rsidR="00FC0B90" w:rsidRPr="00012C17">
        <w:rPr>
          <w:rFonts w:cs="Arial"/>
          <w:color w:val="000000"/>
          <w:sz w:val="24"/>
        </w:rPr>
        <w:t xml:space="preserve">are decisions which have </w:t>
      </w:r>
      <w:r w:rsidR="003A5CA1" w:rsidRPr="00012C17">
        <w:rPr>
          <w:rFonts w:cs="Arial"/>
          <w:color w:val="000000"/>
          <w:sz w:val="24"/>
        </w:rPr>
        <w:t>“</w:t>
      </w:r>
      <w:r w:rsidR="00FC0B90" w:rsidRPr="00012C17">
        <w:rPr>
          <w:rFonts w:cs="Arial"/>
          <w:i/>
          <w:iCs/>
          <w:color w:val="000000"/>
          <w:sz w:val="24"/>
        </w:rPr>
        <w:t>sufficiently reasoned</w:t>
      </w:r>
      <w:r w:rsidR="003A5CA1" w:rsidRPr="00012C17">
        <w:rPr>
          <w:rFonts w:cs="Arial"/>
          <w:color w:val="000000"/>
          <w:sz w:val="24"/>
        </w:rPr>
        <w:t>”</w:t>
      </w:r>
      <w:r w:rsidR="00FC0B90" w:rsidRPr="00012C17">
        <w:rPr>
          <w:rFonts w:cs="Arial"/>
          <w:color w:val="000000"/>
          <w:sz w:val="24"/>
        </w:rPr>
        <w:t xml:space="preserve"> </w:t>
      </w:r>
      <w:r w:rsidR="003F3E8D" w:rsidRPr="00012C17">
        <w:rPr>
          <w:rFonts w:cs="Arial"/>
          <w:color w:val="000000"/>
          <w:sz w:val="24"/>
        </w:rPr>
        <w:t xml:space="preserve">on the </w:t>
      </w:r>
      <w:r w:rsidR="00FC0B90" w:rsidRPr="00012C17">
        <w:rPr>
          <w:rFonts w:cs="Arial"/>
          <w:color w:val="000000"/>
          <w:sz w:val="24"/>
        </w:rPr>
        <w:t xml:space="preserve">Applicants' </w:t>
      </w:r>
      <w:r w:rsidR="003A5CA1" w:rsidRPr="00012C17">
        <w:rPr>
          <w:rFonts w:cs="Arial"/>
          <w:color w:val="000000"/>
          <w:sz w:val="24"/>
        </w:rPr>
        <w:t>allegations</w:t>
      </w:r>
      <w:r w:rsidR="00FC0B90" w:rsidRPr="00012C17">
        <w:rPr>
          <w:rFonts w:cs="Arial"/>
          <w:color w:val="000000"/>
          <w:sz w:val="24"/>
        </w:rPr>
        <w:t xml:space="preserve"> </w:t>
      </w:r>
      <w:r w:rsidR="003F3E8D" w:rsidRPr="00012C17">
        <w:rPr>
          <w:rFonts w:cs="Arial"/>
          <w:color w:val="000000"/>
          <w:sz w:val="24"/>
        </w:rPr>
        <w:t xml:space="preserve">based </w:t>
      </w:r>
      <w:r w:rsidR="00FC0B90" w:rsidRPr="00012C17">
        <w:rPr>
          <w:rFonts w:cs="Arial"/>
          <w:color w:val="000000"/>
          <w:sz w:val="24"/>
        </w:rPr>
        <w:t xml:space="preserve">on the applicable </w:t>
      </w:r>
      <w:r w:rsidR="003A5CA1" w:rsidRPr="00012C17">
        <w:rPr>
          <w:rFonts w:cs="Arial"/>
          <w:color w:val="000000"/>
          <w:sz w:val="24"/>
        </w:rPr>
        <w:t>election</w:t>
      </w:r>
      <w:r w:rsidR="00FC0B90" w:rsidRPr="00012C17">
        <w:rPr>
          <w:rFonts w:cs="Arial"/>
          <w:color w:val="000000"/>
          <w:sz w:val="24"/>
        </w:rPr>
        <w:t xml:space="preserve"> law</w:t>
      </w:r>
      <w:r w:rsidR="003F3E8D" w:rsidRPr="00012C17">
        <w:rPr>
          <w:rFonts w:cs="Arial"/>
          <w:color w:val="000000"/>
          <w:sz w:val="24"/>
        </w:rPr>
        <w:t xml:space="preserve"> -</w:t>
      </w:r>
      <w:r w:rsidR="00FC0B90" w:rsidRPr="00012C17">
        <w:rPr>
          <w:rFonts w:cs="Arial"/>
          <w:color w:val="000000"/>
          <w:sz w:val="24"/>
        </w:rPr>
        <w:t xml:space="preserve"> which based on the hierarchy of norms is in compliance with the Constitution, </w:t>
      </w:r>
      <w:r w:rsidR="003F3E8D" w:rsidRPr="00012C17">
        <w:rPr>
          <w:rFonts w:cs="Arial"/>
          <w:color w:val="000000"/>
          <w:sz w:val="24"/>
        </w:rPr>
        <w:t xml:space="preserve">as long as </w:t>
      </w:r>
      <w:r w:rsidR="00FC0B90" w:rsidRPr="00012C17">
        <w:rPr>
          <w:rFonts w:cs="Arial"/>
          <w:color w:val="000000"/>
          <w:sz w:val="24"/>
        </w:rPr>
        <w:t xml:space="preserve">its constitutionality has not been </w:t>
      </w:r>
      <w:r w:rsidR="003A5CA1" w:rsidRPr="00012C17">
        <w:rPr>
          <w:rFonts w:cs="Arial"/>
          <w:color w:val="000000"/>
          <w:sz w:val="24"/>
        </w:rPr>
        <w:t>challenged</w:t>
      </w:r>
      <w:r w:rsidR="00FC0B90" w:rsidRPr="00012C17">
        <w:rPr>
          <w:rFonts w:cs="Arial"/>
          <w:color w:val="000000"/>
          <w:sz w:val="24"/>
        </w:rPr>
        <w:t xml:space="preserve"> </w:t>
      </w:r>
      <w:r w:rsidR="003A5CA1" w:rsidRPr="00012C17">
        <w:rPr>
          <w:rFonts w:cs="Arial"/>
          <w:color w:val="000000"/>
          <w:sz w:val="24"/>
        </w:rPr>
        <w:t>before</w:t>
      </w:r>
      <w:r w:rsidR="00FC0B90" w:rsidRPr="00012C17">
        <w:rPr>
          <w:rFonts w:cs="Arial"/>
          <w:color w:val="000000"/>
          <w:sz w:val="24"/>
        </w:rPr>
        <w:t xml:space="preserve"> the Constitutional Court based on the relevant constitutional provisions and unless it has been </w:t>
      </w:r>
      <w:r w:rsidR="003A5CA1" w:rsidRPr="00012C17">
        <w:rPr>
          <w:rFonts w:cs="Arial"/>
          <w:color w:val="000000"/>
          <w:sz w:val="24"/>
        </w:rPr>
        <w:t>assessed</w:t>
      </w:r>
      <w:r w:rsidR="00FC0B90" w:rsidRPr="00012C17">
        <w:rPr>
          <w:rFonts w:cs="Arial"/>
          <w:color w:val="000000"/>
          <w:sz w:val="24"/>
        </w:rPr>
        <w:t xml:space="preserve"> and declared contrary to it.</w:t>
      </w:r>
      <w:r w:rsidRPr="00012C17">
        <w:rPr>
          <w:rFonts w:cs="Arial"/>
          <w:color w:val="000000"/>
          <w:sz w:val="24"/>
        </w:rPr>
        <w:t xml:space="preserve"> </w:t>
      </w:r>
    </w:p>
    <w:p w:rsidR="00E84FF8" w:rsidRPr="00012C17" w:rsidRDefault="00E84FF8" w:rsidP="001B11C5">
      <w:pPr>
        <w:spacing w:line="240" w:lineRule="auto"/>
        <w:rPr>
          <w:color w:val="000000"/>
          <w:sz w:val="24"/>
        </w:rPr>
      </w:pPr>
    </w:p>
    <w:p w:rsidR="00E84FF8" w:rsidRPr="00012C17" w:rsidRDefault="003A5CA1" w:rsidP="003F3E8D">
      <w:pPr>
        <w:spacing w:line="240" w:lineRule="auto"/>
        <w:ind w:left="630"/>
        <w:rPr>
          <w:i/>
          <w:color w:val="000000"/>
          <w:sz w:val="24"/>
        </w:rPr>
      </w:pPr>
      <w:r w:rsidRPr="00012C17">
        <w:rPr>
          <w:i/>
          <w:color w:val="000000"/>
          <w:sz w:val="24"/>
        </w:rPr>
        <w:t xml:space="preserve">(v) </w:t>
      </w:r>
      <w:r w:rsidR="005D73B3" w:rsidRPr="00012C17">
        <w:rPr>
          <w:i/>
          <w:color w:val="000000"/>
          <w:sz w:val="24"/>
        </w:rPr>
        <w:t>As to general principles in conjunction with Article 54 of the Constitution and whether the Applicants’ allegations in their entirety may have resulted in the violation of the latter</w:t>
      </w:r>
    </w:p>
    <w:p w:rsidR="005D73B3" w:rsidRPr="00012C17" w:rsidRDefault="005D73B3" w:rsidP="001B11C5">
      <w:pPr>
        <w:spacing w:line="240" w:lineRule="auto"/>
        <w:rPr>
          <w:color w:val="000000"/>
          <w:sz w:val="24"/>
        </w:rPr>
      </w:pPr>
    </w:p>
    <w:p w:rsidR="00E84FF8" w:rsidRPr="00012C17" w:rsidRDefault="005D73B3" w:rsidP="001B11C5">
      <w:pPr>
        <w:numPr>
          <w:ilvl w:val="0"/>
          <w:numId w:val="1"/>
        </w:numPr>
        <w:spacing w:line="240" w:lineRule="auto"/>
        <w:ind w:left="630" w:hanging="630"/>
        <w:rPr>
          <w:bCs/>
          <w:color w:val="000000"/>
          <w:sz w:val="24"/>
        </w:rPr>
      </w:pPr>
      <w:r w:rsidRPr="00012C17">
        <w:rPr>
          <w:bCs/>
          <w:color w:val="000000"/>
          <w:sz w:val="24"/>
        </w:rPr>
        <w:t xml:space="preserve">After dealing with the </w:t>
      </w:r>
      <w:r w:rsidR="00225250" w:rsidRPr="00012C17">
        <w:rPr>
          <w:color w:val="000000"/>
          <w:sz w:val="24"/>
        </w:rPr>
        <w:t>specific</w:t>
      </w:r>
      <w:r w:rsidRPr="00012C17">
        <w:rPr>
          <w:bCs/>
          <w:color w:val="000000"/>
          <w:sz w:val="24"/>
        </w:rPr>
        <w:t xml:space="preserve"> allegations of the Applicants </w:t>
      </w:r>
      <w:r w:rsidR="00225250" w:rsidRPr="00012C17">
        <w:rPr>
          <w:bCs/>
          <w:color w:val="000000"/>
          <w:sz w:val="24"/>
        </w:rPr>
        <w:t>of</w:t>
      </w:r>
      <w:r w:rsidRPr="00012C17">
        <w:rPr>
          <w:bCs/>
          <w:color w:val="000000"/>
          <w:sz w:val="24"/>
        </w:rPr>
        <w:t xml:space="preserve"> violations of the rights guaranteed by Article 54 of the Constitution, the Court will also deal with and apply in the circumstances of the present case, the general principles of judicial protection of rights and the right to a legal remedy based on the </w:t>
      </w:r>
      <w:r w:rsidR="00012C17" w:rsidRPr="00012C17">
        <w:rPr>
          <w:bCs/>
          <w:color w:val="000000"/>
          <w:sz w:val="24"/>
        </w:rPr>
        <w:t>case-law</w:t>
      </w:r>
      <w:r w:rsidRPr="00012C17">
        <w:rPr>
          <w:bCs/>
          <w:color w:val="000000"/>
          <w:sz w:val="24"/>
        </w:rPr>
        <w:t xml:space="preserve"> of the Court and of the ECtHR and the fundamental principles for an </w:t>
      </w:r>
      <w:r w:rsidRPr="00012C17">
        <w:rPr>
          <w:bCs/>
          <w:color w:val="000000"/>
          <w:sz w:val="24"/>
        </w:rPr>
        <w:lastRenderedPageBreak/>
        <w:t>“</w:t>
      </w:r>
      <w:r w:rsidRPr="00012C17">
        <w:rPr>
          <w:bCs/>
          <w:i/>
          <w:iCs/>
          <w:color w:val="000000"/>
          <w:sz w:val="24"/>
        </w:rPr>
        <w:t>effective complaints system</w:t>
      </w:r>
      <w:r w:rsidRPr="00012C17">
        <w:rPr>
          <w:bCs/>
          <w:color w:val="000000"/>
          <w:sz w:val="24"/>
        </w:rPr>
        <w:t xml:space="preserve">”, as summarized by the relevant reports and opinions of the Venice Commission, to assess whether the </w:t>
      </w:r>
      <w:r w:rsidR="00225250" w:rsidRPr="00012C17">
        <w:rPr>
          <w:bCs/>
          <w:color w:val="000000"/>
          <w:sz w:val="24"/>
        </w:rPr>
        <w:t>appeal</w:t>
      </w:r>
      <w:r w:rsidRPr="00012C17">
        <w:rPr>
          <w:bCs/>
          <w:color w:val="000000"/>
          <w:sz w:val="24"/>
        </w:rPr>
        <w:t xml:space="preserve"> proceedings in their entirety in this elect</w:t>
      </w:r>
      <w:r w:rsidR="00225250" w:rsidRPr="00012C17">
        <w:rPr>
          <w:bCs/>
          <w:color w:val="000000"/>
          <w:sz w:val="24"/>
        </w:rPr>
        <w:t>ion</w:t>
      </w:r>
      <w:r w:rsidRPr="00012C17">
        <w:rPr>
          <w:bCs/>
          <w:color w:val="000000"/>
          <w:sz w:val="24"/>
        </w:rPr>
        <w:t xml:space="preserve"> dispute, may have resulted in a violation of Article 54 of the Constitution</w:t>
      </w:r>
      <w:r w:rsidR="00E84FF8" w:rsidRPr="00012C17">
        <w:rPr>
          <w:bCs/>
          <w:color w:val="000000"/>
          <w:sz w:val="24"/>
        </w:rPr>
        <w:t xml:space="preserve">. </w:t>
      </w:r>
    </w:p>
    <w:p w:rsidR="005D73B3" w:rsidRPr="00012C17" w:rsidRDefault="005D73B3" w:rsidP="001B11C5">
      <w:pPr>
        <w:tabs>
          <w:tab w:val="left" w:pos="540"/>
          <w:tab w:val="left" w:pos="720"/>
        </w:tabs>
        <w:spacing w:line="240" w:lineRule="auto"/>
        <w:ind w:left="540"/>
        <w:rPr>
          <w:bCs/>
          <w:color w:val="000000"/>
          <w:sz w:val="24"/>
        </w:rPr>
      </w:pPr>
    </w:p>
    <w:p w:rsidR="005D73B3" w:rsidRPr="00012C17" w:rsidRDefault="005D73B3" w:rsidP="001B11C5">
      <w:pPr>
        <w:numPr>
          <w:ilvl w:val="0"/>
          <w:numId w:val="1"/>
        </w:numPr>
        <w:spacing w:line="240" w:lineRule="auto"/>
        <w:ind w:left="630" w:hanging="630"/>
        <w:rPr>
          <w:bCs/>
          <w:color w:val="000000"/>
          <w:sz w:val="24"/>
        </w:rPr>
      </w:pPr>
      <w:r w:rsidRPr="00012C17">
        <w:rPr>
          <w:bCs/>
          <w:color w:val="000000"/>
          <w:sz w:val="24"/>
        </w:rPr>
        <w:t>In this regard, the Court notes that Article 54 of the Constitution consists of two rules but which must be read together and interdependent</w:t>
      </w:r>
      <w:r w:rsidR="00743007" w:rsidRPr="00012C17">
        <w:rPr>
          <w:bCs/>
          <w:color w:val="000000"/>
          <w:sz w:val="24"/>
        </w:rPr>
        <w:t>ly</w:t>
      </w:r>
      <w:r w:rsidRPr="00012C17">
        <w:rPr>
          <w:bCs/>
          <w:color w:val="000000"/>
          <w:sz w:val="24"/>
        </w:rPr>
        <w:t>. The first rule is general and states that “</w:t>
      </w:r>
      <w:r w:rsidR="00CF11EF" w:rsidRPr="00012C17">
        <w:rPr>
          <w:i/>
          <w:iCs/>
          <w:color w:val="000000"/>
          <w:sz w:val="24"/>
        </w:rPr>
        <w:t>e</w:t>
      </w:r>
      <w:r w:rsidRPr="00012C17">
        <w:rPr>
          <w:i/>
          <w:iCs/>
          <w:color w:val="000000"/>
          <w:sz w:val="24"/>
        </w:rPr>
        <w:t>veryone enjoys the right of judicial protection if any right guaranteed by this Constitution or by law has been violated or denied</w:t>
      </w:r>
      <w:r w:rsidR="00CF11EF" w:rsidRPr="00012C17">
        <w:rPr>
          <w:i/>
          <w:iCs/>
          <w:color w:val="000000"/>
          <w:sz w:val="24"/>
        </w:rPr>
        <w:t>”.</w:t>
      </w:r>
      <w:r w:rsidRPr="00012C17">
        <w:rPr>
          <w:bCs/>
          <w:color w:val="000000"/>
          <w:sz w:val="24"/>
        </w:rPr>
        <w:t xml:space="preserve"> This rule in principle implies that judicial protection is a right </w:t>
      </w:r>
      <w:r w:rsidR="00CF11EF" w:rsidRPr="00012C17">
        <w:rPr>
          <w:bCs/>
          <w:color w:val="000000"/>
          <w:sz w:val="24"/>
        </w:rPr>
        <w:t>guaranteed to</w:t>
      </w:r>
      <w:r w:rsidRPr="00012C17">
        <w:rPr>
          <w:bCs/>
          <w:color w:val="000000"/>
          <w:sz w:val="24"/>
        </w:rPr>
        <w:t xml:space="preserve"> each individual, natural or legal, </w:t>
      </w:r>
      <w:r w:rsidR="00CF11EF" w:rsidRPr="00012C17">
        <w:rPr>
          <w:bCs/>
          <w:color w:val="000000"/>
          <w:sz w:val="24"/>
        </w:rPr>
        <w:t xml:space="preserve">to whom </w:t>
      </w:r>
      <w:r w:rsidR="00743007" w:rsidRPr="00012C17">
        <w:rPr>
          <w:bCs/>
          <w:color w:val="000000"/>
          <w:sz w:val="24"/>
        </w:rPr>
        <w:t xml:space="preserve">an existing right guaranteed by the Constitution or by law </w:t>
      </w:r>
      <w:r w:rsidRPr="00012C17">
        <w:rPr>
          <w:bCs/>
          <w:color w:val="000000"/>
          <w:sz w:val="24"/>
        </w:rPr>
        <w:t xml:space="preserve">may have been </w:t>
      </w:r>
      <w:r w:rsidR="00CF11EF" w:rsidRPr="00012C17">
        <w:rPr>
          <w:bCs/>
          <w:color w:val="000000"/>
          <w:sz w:val="24"/>
        </w:rPr>
        <w:t>“</w:t>
      </w:r>
      <w:r w:rsidRPr="00012C17">
        <w:rPr>
          <w:bCs/>
          <w:i/>
          <w:iCs/>
          <w:color w:val="000000"/>
          <w:sz w:val="24"/>
        </w:rPr>
        <w:t>violated</w:t>
      </w:r>
      <w:r w:rsidR="00CF11EF" w:rsidRPr="00012C17">
        <w:rPr>
          <w:bCs/>
          <w:color w:val="000000"/>
          <w:sz w:val="24"/>
        </w:rPr>
        <w:t>”</w:t>
      </w:r>
      <w:r w:rsidRPr="00012C17">
        <w:rPr>
          <w:bCs/>
          <w:color w:val="000000"/>
          <w:sz w:val="24"/>
        </w:rPr>
        <w:t xml:space="preserve"> or </w:t>
      </w:r>
      <w:r w:rsidR="00743007" w:rsidRPr="00012C17">
        <w:rPr>
          <w:bCs/>
          <w:color w:val="000000"/>
          <w:sz w:val="24"/>
        </w:rPr>
        <w:t xml:space="preserve">the right to acquire or enjoy any rights guaranteed by the Constitution or by law has been </w:t>
      </w:r>
      <w:r w:rsidR="00CF11EF" w:rsidRPr="00012C17">
        <w:rPr>
          <w:bCs/>
          <w:color w:val="000000"/>
          <w:sz w:val="24"/>
        </w:rPr>
        <w:t>“</w:t>
      </w:r>
      <w:r w:rsidRPr="00012C17">
        <w:rPr>
          <w:bCs/>
          <w:i/>
          <w:iCs/>
          <w:color w:val="000000"/>
          <w:sz w:val="24"/>
        </w:rPr>
        <w:t>denied</w:t>
      </w:r>
      <w:r w:rsidR="00CF11EF" w:rsidRPr="00012C17">
        <w:rPr>
          <w:bCs/>
          <w:color w:val="000000"/>
          <w:sz w:val="24"/>
        </w:rPr>
        <w:t>”</w:t>
      </w:r>
      <w:r w:rsidRPr="00012C17">
        <w:rPr>
          <w:bCs/>
          <w:color w:val="000000"/>
          <w:sz w:val="24"/>
        </w:rPr>
        <w:t xml:space="preserve">. The second rule of this article speaks and guarantees the right to </w:t>
      </w:r>
      <w:r w:rsidR="00CF11EF" w:rsidRPr="00012C17">
        <w:rPr>
          <w:bCs/>
          <w:color w:val="000000"/>
          <w:sz w:val="24"/>
        </w:rPr>
        <w:t>“</w:t>
      </w:r>
      <w:r w:rsidRPr="00012C17">
        <w:rPr>
          <w:bCs/>
          <w:i/>
          <w:iCs/>
          <w:color w:val="000000"/>
          <w:sz w:val="24"/>
        </w:rPr>
        <w:t>effective legal remedies</w:t>
      </w:r>
      <w:r w:rsidR="00CF11EF" w:rsidRPr="00012C17">
        <w:rPr>
          <w:bCs/>
          <w:color w:val="000000"/>
          <w:sz w:val="24"/>
        </w:rPr>
        <w:t>”</w:t>
      </w:r>
      <w:r w:rsidRPr="00012C17">
        <w:rPr>
          <w:bCs/>
          <w:color w:val="000000"/>
          <w:sz w:val="24"/>
        </w:rPr>
        <w:t xml:space="preserve"> in cases when it is found that a right protected by the Constitution or by law has been violated.</w:t>
      </w:r>
    </w:p>
    <w:p w:rsidR="00CF11EF" w:rsidRPr="00012C17" w:rsidRDefault="00CF11EF" w:rsidP="001B11C5">
      <w:pPr>
        <w:pStyle w:val="ListParagraph"/>
        <w:spacing w:after="0" w:line="240" w:lineRule="auto"/>
        <w:rPr>
          <w:bCs/>
          <w:color w:val="000000"/>
          <w:sz w:val="24"/>
          <w:lang w:val="en-US"/>
        </w:rPr>
      </w:pPr>
    </w:p>
    <w:p w:rsidR="00CF11EF" w:rsidRPr="00012C17" w:rsidRDefault="00CF11EF" w:rsidP="001B11C5">
      <w:pPr>
        <w:numPr>
          <w:ilvl w:val="0"/>
          <w:numId w:val="1"/>
        </w:numPr>
        <w:spacing w:line="240" w:lineRule="auto"/>
        <w:ind w:left="630" w:hanging="630"/>
        <w:rPr>
          <w:bCs/>
          <w:color w:val="000000"/>
          <w:sz w:val="24"/>
        </w:rPr>
      </w:pPr>
      <w:r w:rsidRPr="00012C17">
        <w:rPr>
          <w:bCs/>
          <w:color w:val="000000"/>
          <w:sz w:val="24"/>
        </w:rPr>
        <w:t xml:space="preserve">Article 54 of the Constitution is also supplemented and should be closely read in conjunction with Article 32 [Right to Legal Remedies] of the Constitution and Article 13 (Right </w:t>
      </w:r>
      <w:r w:rsidRPr="00012C17">
        <w:rPr>
          <w:color w:val="000000"/>
          <w:sz w:val="24"/>
        </w:rPr>
        <w:t>to</w:t>
      </w:r>
      <w:r w:rsidRPr="00012C17">
        <w:rPr>
          <w:bCs/>
          <w:color w:val="000000"/>
          <w:sz w:val="24"/>
        </w:rPr>
        <w:t xml:space="preserve"> an effective remedy) of the ECHR and with the relevant </w:t>
      </w:r>
      <w:r w:rsidR="00012C17" w:rsidRPr="00012C17">
        <w:rPr>
          <w:bCs/>
          <w:color w:val="000000"/>
          <w:sz w:val="24"/>
        </w:rPr>
        <w:t>case-law</w:t>
      </w:r>
      <w:r w:rsidRPr="00012C17">
        <w:rPr>
          <w:bCs/>
          <w:color w:val="000000"/>
          <w:sz w:val="24"/>
        </w:rPr>
        <w:t xml:space="preserve"> of the Court and the ECtHR, as will be explained in the following paragraphs.</w:t>
      </w:r>
    </w:p>
    <w:p w:rsidR="00CF11EF" w:rsidRPr="00012C17" w:rsidRDefault="00CF11EF" w:rsidP="001B11C5">
      <w:pPr>
        <w:pStyle w:val="ListParagraph"/>
        <w:spacing w:after="0" w:line="240" w:lineRule="auto"/>
        <w:rPr>
          <w:bCs/>
          <w:color w:val="000000"/>
          <w:sz w:val="24"/>
          <w:lang w:val="en-US"/>
        </w:rPr>
      </w:pPr>
    </w:p>
    <w:p w:rsidR="00CF11EF" w:rsidRPr="00012C17" w:rsidRDefault="00CF11EF" w:rsidP="001B11C5">
      <w:pPr>
        <w:numPr>
          <w:ilvl w:val="0"/>
          <w:numId w:val="1"/>
        </w:numPr>
        <w:spacing w:line="240" w:lineRule="auto"/>
        <w:ind w:left="630" w:hanging="630"/>
        <w:rPr>
          <w:bCs/>
          <w:color w:val="000000"/>
          <w:sz w:val="24"/>
        </w:rPr>
      </w:pPr>
      <w:r w:rsidRPr="00012C17">
        <w:rPr>
          <w:bCs/>
          <w:color w:val="000000"/>
          <w:sz w:val="24"/>
        </w:rPr>
        <w:t xml:space="preserve">The Court notes that Article 32 of the Constitution complements both aspects of Article 54 of the </w:t>
      </w:r>
      <w:r w:rsidRPr="00012C17">
        <w:rPr>
          <w:color w:val="000000"/>
          <w:sz w:val="24"/>
        </w:rPr>
        <w:t>Constitution</w:t>
      </w:r>
      <w:r w:rsidRPr="00012C17">
        <w:rPr>
          <w:bCs/>
          <w:color w:val="000000"/>
          <w:sz w:val="24"/>
        </w:rPr>
        <w:t>, guaranteeing the right to use legal remedies against the court decisions or administrative decisions which have violated the rights guaranteed, but by limiting that use in the manner prescribed by law. Whereas Article 13 of the ECHR guarantees the right to an “</w:t>
      </w:r>
      <w:r w:rsidRPr="00012C17">
        <w:rPr>
          <w:bCs/>
          <w:i/>
          <w:iCs/>
          <w:color w:val="000000"/>
          <w:sz w:val="24"/>
        </w:rPr>
        <w:t>effective remedy”</w:t>
      </w:r>
      <w:r w:rsidRPr="00012C17">
        <w:rPr>
          <w:bCs/>
          <w:color w:val="000000"/>
          <w:sz w:val="24"/>
        </w:rPr>
        <w:t xml:space="preserve"> in the event of a violation of the rights guaranteed </w:t>
      </w:r>
      <w:r w:rsidR="00225250" w:rsidRPr="00012C17">
        <w:rPr>
          <w:bCs/>
          <w:color w:val="000000"/>
          <w:sz w:val="24"/>
        </w:rPr>
        <w:t>by</w:t>
      </w:r>
      <w:r w:rsidRPr="00012C17">
        <w:rPr>
          <w:bCs/>
          <w:color w:val="000000"/>
          <w:sz w:val="24"/>
        </w:rPr>
        <w:t xml:space="preserve"> ECHR, before a national body, or before a body foreseen by the domestic law.</w:t>
      </w:r>
    </w:p>
    <w:p w:rsidR="00CF11EF" w:rsidRPr="00012C17" w:rsidRDefault="00CF11EF" w:rsidP="001B11C5">
      <w:pPr>
        <w:tabs>
          <w:tab w:val="left" w:pos="540"/>
          <w:tab w:val="left" w:pos="720"/>
        </w:tabs>
        <w:spacing w:line="240" w:lineRule="auto"/>
        <w:ind w:left="540"/>
        <w:rPr>
          <w:bCs/>
          <w:color w:val="000000"/>
          <w:sz w:val="24"/>
        </w:rPr>
      </w:pPr>
    </w:p>
    <w:p w:rsidR="00CF11EF" w:rsidRPr="00012C17" w:rsidRDefault="00CF11EF" w:rsidP="001B11C5">
      <w:pPr>
        <w:numPr>
          <w:ilvl w:val="0"/>
          <w:numId w:val="1"/>
        </w:numPr>
        <w:spacing w:line="240" w:lineRule="auto"/>
        <w:ind w:left="630" w:hanging="630"/>
        <w:rPr>
          <w:bCs/>
          <w:color w:val="000000"/>
          <w:sz w:val="24"/>
        </w:rPr>
      </w:pPr>
      <w:r w:rsidRPr="00012C17">
        <w:rPr>
          <w:bCs/>
          <w:color w:val="000000"/>
          <w:sz w:val="24"/>
        </w:rPr>
        <w:t xml:space="preserve">Therefore, in principle and in </w:t>
      </w:r>
      <w:r w:rsidR="00225250" w:rsidRPr="00012C17">
        <w:rPr>
          <w:bCs/>
          <w:color w:val="000000"/>
          <w:sz w:val="24"/>
        </w:rPr>
        <w:t>its</w:t>
      </w:r>
      <w:r w:rsidRPr="00012C17">
        <w:rPr>
          <w:bCs/>
          <w:color w:val="000000"/>
          <w:sz w:val="24"/>
        </w:rPr>
        <w:t xml:space="preserve"> entirety, Article 54 </w:t>
      </w:r>
      <w:r w:rsidR="00265D47" w:rsidRPr="00012C17">
        <w:rPr>
          <w:bCs/>
          <w:color w:val="000000"/>
          <w:sz w:val="24"/>
        </w:rPr>
        <w:t xml:space="preserve">of the Constitution </w:t>
      </w:r>
      <w:r w:rsidRPr="00012C17">
        <w:rPr>
          <w:bCs/>
          <w:color w:val="000000"/>
          <w:sz w:val="24"/>
        </w:rPr>
        <w:t xml:space="preserve">on the judicial protection of rights, Article 32 of the Constitution on the right to a legal remedy and Article 13 of the ECHR </w:t>
      </w:r>
      <w:r w:rsidRPr="00012C17">
        <w:rPr>
          <w:color w:val="000000"/>
          <w:sz w:val="24"/>
        </w:rPr>
        <w:t>for</w:t>
      </w:r>
      <w:r w:rsidRPr="00012C17">
        <w:rPr>
          <w:bCs/>
          <w:color w:val="000000"/>
          <w:sz w:val="24"/>
        </w:rPr>
        <w:t xml:space="preserve"> </w:t>
      </w:r>
      <w:r w:rsidR="00CB3557" w:rsidRPr="00012C17">
        <w:rPr>
          <w:bCs/>
          <w:color w:val="000000"/>
          <w:sz w:val="24"/>
        </w:rPr>
        <w:t xml:space="preserve">an </w:t>
      </w:r>
      <w:r w:rsidRPr="00012C17">
        <w:rPr>
          <w:bCs/>
          <w:color w:val="000000"/>
          <w:sz w:val="24"/>
        </w:rPr>
        <w:t xml:space="preserve">effective </w:t>
      </w:r>
      <w:r w:rsidR="00CB3557" w:rsidRPr="00012C17">
        <w:rPr>
          <w:bCs/>
          <w:color w:val="000000"/>
          <w:sz w:val="24"/>
        </w:rPr>
        <w:t>remedy</w:t>
      </w:r>
      <w:r w:rsidRPr="00012C17">
        <w:rPr>
          <w:bCs/>
          <w:color w:val="000000"/>
          <w:sz w:val="24"/>
        </w:rPr>
        <w:t xml:space="preserve"> guarantee: (i) the right to judicial protection in case of violation or denial of a right guaranteed by the Constitution or by law; (ii) the right to use a </w:t>
      </w:r>
      <w:r w:rsidR="00CB3557" w:rsidRPr="00012C17">
        <w:rPr>
          <w:bCs/>
          <w:color w:val="000000"/>
          <w:sz w:val="24"/>
        </w:rPr>
        <w:t xml:space="preserve">legal </w:t>
      </w:r>
      <w:r w:rsidRPr="00012C17">
        <w:rPr>
          <w:bCs/>
          <w:color w:val="000000"/>
          <w:sz w:val="24"/>
        </w:rPr>
        <w:t xml:space="preserve">remedy against judicial and administrative decisions that violate the rights guaranteed in the manner prescribed by law; (iii) the right to an effective </w:t>
      </w:r>
      <w:r w:rsidR="00CB3557" w:rsidRPr="00012C17">
        <w:rPr>
          <w:bCs/>
          <w:color w:val="000000"/>
          <w:sz w:val="24"/>
        </w:rPr>
        <w:t xml:space="preserve">legal </w:t>
      </w:r>
      <w:r w:rsidRPr="00012C17">
        <w:rPr>
          <w:bCs/>
          <w:color w:val="000000"/>
          <w:sz w:val="24"/>
        </w:rPr>
        <w:t>remedy if it is established that a right has been violated; and (iv) the right to an effective remedy at national level if a right guaranteed by the ECHR has been violated.</w:t>
      </w:r>
      <w:r w:rsidR="00CB3557" w:rsidRPr="00012C17">
        <w:rPr>
          <w:bCs/>
          <w:color w:val="000000"/>
          <w:sz w:val="24"/>
        </w:rPr>
        <w:t xml:space="preserve"> </w:t>
      </w:r>
    </w:p>
    <w:p w:rsidR="00CB3557" w:rsidRPr="00012C17" w:rsidRDefault="00CB3557" w:rsidP="001B11C5">
      <w:pPr>
        <w:pStyle w:val="ListParagraph"/>
        <w:spacing w:after="0" w:line="240" w:lineRule="auto"/>
        <w:rPr>
          <w:bCs/>
          <w:color w:val="000000"/>
          <w:sz w:val="24"/>
          <w:lang w:val="en-US"/>
        </w:rPr>
      </w:pPr>
    </w:p>
    <w:p w:rsidR="00CB3557" w:rsidRPr="00012C17" w:rsidRDefault="00CB3557" w:rsidP="001B11C5">
      <w:pPr>
        <w:numPr>
          <w:ilvl w:val="0"/>
          <w:numId w:val="1"/>
        </w:numPr>
        <w:spacing w:line="240" w:lineRule="auto"/>
        <w:ind w:left="630" w:hanging="630"/>
        <w:rPr>
          <w:bCs/>
          <w:color w:val="000000"/>
          <w:sz w:val="24"/>
        </w:rPr>
      </w:pPr>
      <w:r w:rsidRPr="00012C17">
        <w:rPr>
          <w:bCs/>
          <w:color w:val="000000"/>
          <w:sz w:val="24"/>
        </w:rPr>
        <w:t xml:space="preserve">To date, the Court has in some cases found a violation of Article 54 of the Constitution. In all those cases, the violation was found in conjunction with Article 32 of the </w:t>
      </w:r>
      <w:r w:rsidRPr="00012C17">
        <w:rPr>
          <w:color w:val="000000"/>
          <w:sz w:val="24"/>
        </w:rPr>
        <w:t>Constitution</w:t>
      </w:r>
      <w:r w:rsidRPr="00012C17">
        <w:rPr>
          <w:bCs/>
          <w:color w:val="000000"/>
          <w:sz w:val="24"/>
        </w:rPr>
        <w:t xml:space="preserve">, namely with Article 13 of the ECHR. Violations in those cases consisted in the failure/refusal of public authorities to enforce a final decision. More specifically, the </w:t>
      </w:r>
      <w:r w:rsidR="00012C17" w:rsidRPr="00012C17">
        <w:rPr>
          <w:bCs/>
          <w:color w:val="000000"/>
          <w:sz w:val="24"/>
        </w:rPr>
        <w:t>case-law</w:t>
      </w:r>
      <w:r w:rsidRPr="00012C17">
        <w:rPr>
          <w:bCs/>
          <w:color w:val="000000"/>
          <w:sz w:val="24"/>
        </w:rPr>
        <w:t xml:space="preserve"> of the Court so far consists in finding constitutional violations that relate to the second rule of Article 54 of the Constitution. (See cases of Constitutional Court KI47/12, Applicant </w:t>
      </w:r>
      <w:r w:rsidRPr="00012C17">
        <w:rPr>
          <w:bCs/>
          <w:i/>
          <w:iCs/>
          <w:color w:val="000000"/>
          <w:sz w:val="24"/>
        </w:rPr>
        <w:t xml:space="preserve">Islam </w:t>
      </w:r>
      <w:r w:rsidRPr="00012C17">
        <w:rPr>
          <w:i/>
          <w:color w:val="000000"/>
          <w:sz w:val="24"/>
        </w:rPr>
        <w:t>Thaçi</w:t>
      </w:r>
      <w:r w:rsidRPr="00012C17">
        <w:rPr>
          <w:bCs/>
          <w:color w:val="000000"/>
          <w:sz w:val="24"/>
        </w:rPr>
        <w:t>, Judgment of 11 July 2012, para</w:t>
      </w:r>
      <w:r w:rsidR="007C43F3" w:rsidRPr="00012C17">
        <w:rPr>
          <w:bCs/>
          <w:color w:val="000000"/>
          <w:sz w:val="24"/>
        </w:rPr>
        <w:t>graph</w:t>
      </w:r>
      <w:r w:rsidRPr="00012C17">
        <w:rPr>
          <w:bCs/>
          <w:color w:val="000000"/>
          <w:sz w:val="24"/>
        </w:rPr>
        <w:t xml:space="preserve">s 46 and 51; KI55/11, Applicant </w:t>
      </w:r>
      <w:r w:rsidRPr="00012C17">
        <w:rPr>
          <w:bCs/>
          <w:i/>
          <w:iCs/>
          <w:color w:val="000000"/>
          <w:sz w:val="24"/>
        </w:rPr>
        <w:t>Fatmir Pireci</w:t>
      </w:r>
      <w:r w:rsidRPr="00012C17">
        <w:rPr>
          <w:bCs/>
          <w:color w:val="000000"/>
          <w:sz w:val="24"/>
        </w:rPr>
        <w:t xml:space="preserve">, Judgment of 9 July 2012, </w:t>
      </w:r>
      <w:r w:rsidR="007C43F3" w:rsidRPr="00012C17">
        <w:rPr>
          <w:bCs/>
          <w:color w:val="000000"/>
          <w:sz w:val="24"/>
        </w:rPr>
        <w:t>paragraphs</w:t>
      </w:r>
      <w:r w:rsidRPr="00012C17">
        <w:rPr>
          <w:bCs/>
          <w:color w:val="000000"/>
          <w:sz w:val="24"/>
        </w:rPr>
        <w:t xml:space="preserve"> 43-47; KI129/11, Applicant </w:t>
      </w:r>
      <w:r w:rsidRPr="00012C17">
        <w:rPr>
          <w:bCs/>
          <w:i/>
          <w:iCs/>
          <w:color w:val="000000"/>
          <w:sz w:val="24"/>
        </w:rPr>
        <w:t>Viktor Marku</w:t>
      </w:r>
      <w:r w:rsidRPr="00012C17">
        <w:rPr>
          <w:bCs/>
          <w:color w:val="000000"/>
          <w:sz w:val="24"/>
        </w:rPr>
        <w:t xml:space="preserve">, Judgment of 11 July 2012, </w:t>
      </w:r>
      <w:r w:rsidR="007C43F3" w:rsidRPr="00012C17">
        <w:rPr>
          <w:bCs/>
          <w:color w:val="000000"/>
          <w:sz w:val="24"/>
        </w:rPr>
        <w:t>paragraphs</w:t>
      </w:r>
      <w:r w:rsidRPr="00012C17">
        <w:rPr>
          <w:bCs/>
          <w:color w:val="000000"/>
          <w:sz w:val="24"/>
        </w:rPr>
        <w:t xml:space="preserve"> 44-48; KI50/12, Applicant Agush </w:t>
      </w:r>
      <w:r w:rsidRPr="00012C17">
        <w:rPr>
          <w:bCs/>
          <w:i/>
          <w:iCs/>
          <w:color w:val="000000"/>
          <w:sz w:val="24"/>
        </w:rPr>
        <w:lastRenderedPageBreak/>
        <w:t>Llolluni</w:t>
      </w:r>
      <w:r w:rsidRPr="00012C17">
        <w:rPr>
          <w:bCs/>
          <w:color w:val="000000"/>
          <w:sz w:val="24"/>
        </w:rPr>
        <w:t xml:space="preserve">, Judgment of 9 July 2012, </w:t>
      </w:r>
      <w:r w:rsidR="007C43F3" w:rsidRPr="00012C17">
        <w:rPr>
          <w:bCs/>
          <w:color w:val="000000"/>
          <w:sz w:val="24"/>
        </w:rPr>
        <w:t>paragraphs</w:t>
      </w:r>
      <w:r w:rsidRPr="00012C17">
        <w:rPr>
          <w:bCs/>
          <w:color w:val="000000"/>
          <w:sz w:val="24"/>
        </w:rPr>
        <w:t xml:space="preserve"> 39-45; KI94/13, Applicant </w:t>
      </w:r>
      <w:r w:rsidRPr="00012C17">
        <w:rPr>
          <w:bCs/>
          <w:i/>
          <w:iCs/>
          <w:color w:val="000000"/>
          <w:sz w:val="24"/>
        </w:rPr>
        <w:t>Avni Doli, Mustafa Doli, Zija Doli and Xhemile Osmanaj</w:t>
      </w:r>
      <w:r w:rsidRPr="00012C17">
        <w:rPr>
          <w:bCs/>
          <w:color w:val="000000"/>
          <w:sz w:val="24"/>
        </w:rPr>
        <w:t xml:space="preserve">, Judgment of 24 March 2014, paragraph 90; KI112/12 Applicant </w:t>
      </w:r>
      <w:r w:rsidRPr="00012C17">
        <w:rPr>
          <w:bCs/>
          <w:i/>
          <w:iCs/>
          <w:color w:val="000000"/>
          <w:sz w:val="24"/>
        </w:rPr>
        <w:t>Adem Meta</w:t>
      </w:r>
      <w:r w:rsidRPr="00012C17">
        <w:rPr>
          <w:bCs/>
          <w:color w:val="000000"/>
          <w:sz w:val="24"/>
        </w:rPr>
        <w:t xml:space="preserve">, Judgment of 5 July 2013, paras 54-55; KI80/12 Applicant </w:t>
      </w:r>
      <w:r w:rsidRPr="00012C17">
        <w:rPr>
          <w:bCs/>
          <w:i/>
          <w:iCs/>
          <w:color w:val="000000"/>
          <w:sz w:val="24"/>
        </w:rPr>
        <w:t>Sali Pepshi</w:t>
      </w:r>
      <w:r w:rsidRPr="00012C17">
        <w:rPr>
          <w:bCs/>
          <w:color w:val="000000"/>
          <w:sz w:val="24"/>
        </w:rPr>
        <w:t xml:space="preserve"> Judgment of 5 July 2013, paras 49-50).</w:t>
      </w:r>
    </w:p>
    <w:p w:rsidR="00CB3557" w:rsidRPr="00012C17" w:rsidRDefault="00CB3557" w:rsidP="001B11C5">
      <w:pPr>
        <w:pStyle w:val="ListParagraph"/>
        <w:spacing w:after="0" w:line="240" w:lineRule="auto"/>
        <w:rPr>
          <w:bCs/>
          <w:color w:val="000000"/>
          <w:sz w:val="24"/>
          <w:lang w:val="en-US"/>
        </w:rPr>
      </w:pPr>
    </w:p>
    <w:p w:rsidR="00CB3557" w:rsidRPr="00012C17" w:rsidRDefault="00D931ED" w:rsidP="001B11C5">
      <w:pPr>
        <w:numPr>
          <w:ilvl w:val="0"/>
          <w:numId w:val="1"/>
        </w:numPr>
        <w:spacing w:line="240" w:lineRule="auto"/>
        <w:ind w:left="630" w:hanging="630"/>
        <w:rPr>
          <w:rFonts w:cs="Tahoma"/>
          <w:bCs/>
          <w:color w:val="000000"/>
          <w:sz w:val="24"/>
        </w:rPr>
      </w:pPr>
      <w:r w:rsidRPr="00012C17">
        <w:rPr>
          <w:rFonts w:cs="Tahoma"/>
          <w:bCs/>
          <w:color w:val="000000"/>
          <w:sz w:val="24"/>
        </w:rPr>
        <w:t>However, the</w:t>
      </w:r>
      <w:r w:rsidR="00CB3557" w:rsidRPr="00012C17">
        <w:rPr>
          <w:rFonts w:cs="Tahoma"/>
          <w:bCs/>
          <w:color w:val="000000"/>
          <w:sz w:val="24"/>
        </w:rPr>
        <w:t xml:space="preserve"> essence of the rights guaranteed by Article 13 of the ECHR, </w:t>
      </w:r>
      <w:r w:rsidRPr="00012C17">
        <w:rPr>
          <w:rFonts w:cs="Tahoma"/>
          <w:bCs/>
          <w:color w:val="000000"/>
          <w:sz w:val="24"/>
        </w:rPr>
        <w:t>and</w:t>
      </w:r>
      <w:r w:rsidR="00CB3557" w:rsidRPr="00012C17">
        <w:rPr>
          <w:rFonts w:cs="Tahoma"/>
          <w:bCs/>
          <w:color w:val="000000"/>
          <w:sz w:val="24"/>
        </w:rPr>
        <w:t xml:space="preserve"> in the context of the constitutional order of the Republic of Kosovo, in conjunction with </w:t>
      </w:r>
      <w:r w:rsidR="00CB3557" w:rsidRPr="00012C17">
        <w:rPr>
          <w:color w:val="000000"/>
          <w:sz w:val="24"/>
        </w:rPr>
        <w:t>Articles</w:t>
      </w:r>
      <w:r w:rsidR="00CB3557" w:rsidRPr="00012C17">
        <w:rPr>
          <w:rFonts w:cs="Tahoma"/>
          <w:bCs/>
          <w:color w:val="000000"/>
          <w:sz w:val="24"/>
        </w:rPr>
        <w:t xml:space="preserve"> 32 and 54 of the Constitution, is established</w:t>
      </w:r>
      <w:r w:rsidRPr="00012C17">
        <w:rPr>
          <w:rFonts w:cs="Tahoma"/>
          <w:bCs/>
          <w:color w:val="000000"/>
          <w:sz w:val="24"/>
        </w:rPr>
        <w:t xml:space="preserve"> through the</w:t>
      </w:r>
      <w:r w:rsidR="006E52F9" w:rsidRPr="00012C17">
        <w:rPr>
          <w:rFonts w:cs="Tahoma"/>
          <w:bCs/>
          <w:color w:val="000000"/>
          <w:sz w:val="24"/>
        </w:rPr>
        <w:t xml:space="preserve"> </w:t>
      </w:r>
      <w:r w:rsidRPr="00012C17">
        <w:rPr>
          <w:rFonts w:cs="Tahoma"/>
          <w:bCs/>
          <w:color w:val="000000"/>
          <w:sz w:val="24"/>
        </w:rPr>
        <w:t xml:space="preserve">ECtHR </w:t>
      </w:r>
      <w:r w:rsidR="00012C17" w:rsidRPr="00012C17">
        <w:rPr>
          <w:rFonts w:cs="Tahoma"/>
          <w:bCs/>
          <w:color w:val="000000"/>
          <w:sz w:val="24"/>
        </w:rPr>
        <w:t>case-law</w:t>
      </w:r>
      <w:r w:rsidR="003A5CA1" w:rsidRPr="00012C17">
        <w:rPr>
          <w:rFonts w:cs="Tahoma"/>
          <w:bCs/>
          <w:color w:val="000000"/>
          <w:sz w:val="24"/>
        </w:rPr>
        <w:t xml:space="preserve">, </w:t>
      </w:r>
      <w:r w:rsidR="003A5CA1" w:rsidRPr="00012C17">
        <w:rPr>
          <w:rFonts w:cs="Tahoma"/>
          <w:bCs/>
          <w:i/>
          <w:iCs/>
          <w:color w:val="000000"/>
          <w:sz w:val="24"/>
        </w:rPr>
        <w:t>inter alia,</w:t>
      </w:r>
      <w:r w:rsidR="001B11C5" w:rsidRPr="00012C17">
        <w:rPr>
          <w:rFonts w:cs="Tahoma"/>
          <w:bCs/>
          <w:color w:val="000000"/>
          <w:sz w:val="24"/>
        </w:rPr>
        <w:t xml:space="preserve"> </w:t>
      </w:r>
      <w:r w:rsidR="003A5CA1" w:rsidRPr="00012C17">
        <w:rPr>
          <w:rFonts w:cs="Tahoma"/>
          <w:bCs/>
          <w:color w:val="000000"/>
          <w:sz w:val="24"/>
        </w:rPr>
        <w:t xml:space="preserve">through </w:t>
      </w:r>
      <w:r w:rsidRPr="00012C17">
        <w:rPr>
          <w:rFonts w:cs="Tahoma"/>
          <w:bCs/>
          <w:color w:val="000000"/>
          <w:sz w:val="24"/>
        </w:rPr>
        <w:t xml:space="preserve">case </w:t>
      </w:r>
      <w:r w:rsidR="00CB3557" w:rsidRPr="00012C17">
        <w:rPr>
          <w:rFonts w:cs="Tahoma"/>
          <w:bCs/>
          <w:i/>
          <w:iCs/>
          <w:color w:val="000000"/>
          <w:sz w:val="24"/>
        </w:rPr>
        <w:t>Klass and Others v. Germany</w:t>
      </w:r>
      <w:r w:rsidR="00CB3557" w:rsidRPr="00012C17">
        <w:rPr>
          <w:rFonts w:cs="Tahoma"/>
          <w:bCs/>
          <w:color w:val="000000"/>
          <w:sz w:val="24"/>
        </w:rPr>
        <w:t xml:space="preserve"> according to which:</w:t>
      </w:r>
      <w:r w:rsidR="00CB3557" w:rsidRPr="00012C17">
        <w:rPr>
          <w:i/>
          <w:color w:val="000000"/>
          <w:sz w:val="24"/>
        </w:rPr>
        <w:t>“</w:t>
      </w:r>
      <w:r w:rsidR="00CB3557" w:rsidRPr="00012C17">
        <w:rPr>
          <w:rFonts w:cs="Arial"/>
          <w:i/>
          <w:iCs/>
          <w:color w:val="000000"/>
          <w:sz w:val="24"/>
          <w:shd w:val="clear" w:color="auto" w:fill="FFFFFF"/>
        </w:rPr>
        <w:t>Article 13 requires that where an individual considers himself to have been prejudiced by a measure allegedly in breach of the Convention, he should have a remedy before a national authority in order both to have his claim decided and, if appropriate, to obtain redress</w:t>
      </w:r>
      <w:r w:rsidR="00CB3557" w:rsidRPr="00012C17">
        <w:rPr>
          <w:i/>
          <w:color w:val="000000"/>
          <w:sz w:val="24"/>
        </w:rPr>
        <w:t xml:space="preserve"> (“redress”). </w:t>
      </w:r>
      <w:r w:rsidR="00CB3557" w:rsidRPr="00012C17">
        <w:rPr>
          <w:rFonts w:cs="Arial"/>
          <w:i/>
          <w:iCs/>
          <w:color w:val="000000"/>
          <w:sz w:val="24"/>
          <w:shd w:val="clear" w:color="auto" w:fill="FFFFFF"/>
        </w:rPr>
        <w:t xml:space="preserve">Thus Article 13 must be interpreted as guaranteeing an </w:t>
      </w:r>
      <w:r w:rsidR="00225250" w:rsidRPr="00012C17">
        <w:rPr>
          <w:rFonts w:cs="Arial"/>
          <w:i/>
          <w:iCs/>
          <w:color w:val="000000"/>
          <w:sz w:val="24"/>
          <w:shd w:val="clear" w:color="auto" w:fill="FFFFFF"/>
        </w:rPr>
        <w:t>“</w:t>
      </w:r>
      <w:r w:rsidR="00CB3557" w:rsidRPr="00012C17">
        <w:rPr>
          <w:rFonts w:cs="Arial"/>
          <w:i/>
          <w:iCs/>
          <w:color w:val="000000"/>
          <w:sz w:val="24"/>
          <w:shd w:val="clear" w:color="auto" w:fill="FFFFFF"/>
        </w:rPr>
        <w:t>effective remedy before a national authority</w:t>
      </w:r>
      <w:r w:rsidR="00225250" w:rsidRPr="00012C17">
        <w:rPr>
          <w:rFonts w:cs="Arial"/>
          <w:i/>
          <w:iCs/>
          <w:color w:val="000000"/>
          <w:sz w:val="24"/>
          <w:shd w:val="clear" w:color="auto" w:fill="FFFFFF"/>
        </w:rPr>
        <w:t>”</w:t>
      </w:r>
      <w:r w:rsidR="00CB3557" w:rsidRPr="00012C17">
        <w:rPr>
          <w:rFonts w:cs="Arial"/>
          <w:i/>
          <w:iCs/>
          <w:color w:val="000000"/>
          <w:sz w:val="24"/>
          <w:shd w:val="clear" w:color="auto" w:fill="FFFFFF"/>
        </w:rPr>
        <w:t xml:space="preserve"> to everyone who claims that his rights and freedoms under the Convention have been violated</w:t>
      </w:r>
      <w:r w:rsidR="00225250" w:rsidRPr="00012C17">
        <w:rPr>
          <w:i/>
          <w:color w:val="000000"/>
          <w:sz w:val="24"/>
        </w:rPr>
        <w:t>”</w:t>
      </w:r>
      <w:r w:rsidR="00CB3557" w:rsidRPr="00012C17">
        <w:rPr>
          <w:i/>
          <w:color w:val="000000"/>
          <w:sz w:val="24"/>
        </w:rPr>
        <w:t>.</w:t>
      </w:r>
      <w:r w:rsidR="00CB3557" w:rsidRPr="00012C17">
        <w:rPr>
          <w:color w:val="000000"/>
          <w:sz w:val="24"/>
        </w:rPr>
        <w:t xml:space="preserve"> (See case of ECtHR </w:t>
      </w:r>
      <w:r w:rsidR="00CB3557" w:rsidRPr="00012C17">
        <w:rPr>
          <w:i/>
          <w:iCs/>
          <w:color w:val="000000"/>
          <w:sz w:val="24"/>
        </w:rPr>
        <w:t>Klass and Others v. Germany</w:t>
      </w:r>
      <w:r w:rsidR="00CB3557" w:rsidRPr="00012C17">
        <w:rPr>
          <w:color w:val="000000"/>
          <w:sz w:val="24"/>
        </w:rPr>
        <w:t>, No. 5029/71, Judgment of 6 September 1979, para</w:t>
      </w:r>
      <w:r w:rsidR="00225250" w:rsidRPr="00012C17">
        <w:rPr>
          <w:color w:val="000000"/>
          <w:sz w:val="24"/>
        </w:rPr>
        <w:t>graph</w:t>
      </w:r>
      <w:r w:rsidR="00CB3557" w:rsidRPr="00012C17">
        <w:rPr>
          <w:color w:val="000000"/>
          <w:sz w:val="24"/>
        </w:rPr>
        <w:t xml:space="preserve"> 64).</w:t>
      </w:r>
    </w:p>
    <w:p w:rsidR="00D931ED" w:rsidRPr="00012C17" w:rsidRDefault="00D931ED" w:rsidP="001B11C5">
      <w:pPr>
        <w:pStyle w:val="ListParagraph"/>
        <w:spacing w:after="0" w:line="240" w:lineRule="auto"/>
        <w:rPr>
          <w:rFonts w:cs="Tahoma"/>
          <w:bCs/>
          <w:color w:val="000000"/>
          <w:sz w:val="24"/>
          <w:lang w:val="en-US"/>
        </w:rPr>
      </w:pPr>
    </w:p>
    <w:p w:rsidR="00D931ED" w:rsidRPr="00012C17" w:rsidRDefault="00D931ED"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In this context, when the ECtHR </w:t>
      </w:r>
      <w:r w:rsidR="00225250" w:rsidRPr="00012C17">
        <w:rPr>
          <w:rFonts w:cs="Tahoma"/>
          <w:bCs/>
          <w:color w:val="000000"/>
          <w:sz w:val="24"/>
        </w:rPr>
        <w:t>examines</w:t>
      </w:r>
      <w:r w:rsidRPr="00012C17">
        <w:rPr>
          <w:rFonts w:cs="Tahoma"/>
          <w:bCs/>
          <w:color w:val="000000"/>
          <w:sz w:val="24"/>
        </w:rPr>
        <w:t xml:space="preserve"> whether a legal remedy provided by the relevant state is effective or not, it essentially answers the question as to whether such a legal remedy would, if used, include in itself the ability and capacity to prevent the alleged violation which has occurred or is continuing to occur, or </w:t>
      </w:r>
      <w:r w:rsidR="00743007" w:rsidRPr="00012C17">
        <w:rPr>
          <w:rFonts w:cs="Tahoma"/>
          <w:bCs/>
          <w:color w:val="000000"/>
          <w:sz w:val="24"/>
        </w:rPr>
        <w:t>for</w:t>
      </w:r>
      <w:r w:rsidRPr="00012C17">
        <w:rPr>
          <w:rFonts w:cs="Tahoma"/>
          <w:bCs/>
          <w:color w:val="000000"/>
          <w:sz w:val="24"/>
        </w:rPr>
        <w:t xml:space="preserve"> a violation which has already occurred, could the complainant find adequate remedy. This is the key question in which </w:t>
      </w:r>
      <w:r w:rsidR="009F5D35" w:rsidRPr="00012C17">
        <w:rPr>
          <w:rFonts w:cs="Tahoma"/>
          <w:bCs/>
          <w:color w:val="000000"/>
          <w:sz w:val="24"/>
        </w:rPr>
        <w:t xml:space="preserve">the </w:t>
      </w:r>
      <w:r w:rsidRPr="00012C17">
        <w:rPr>
          <w:rFonts w:cs="Tahoma"/>
          <w:bCs/>
          <w:color w:val="000000"/>
          <w:sz w:val="24"/>
        </w:rPr>
        <w:t>ECtHR responds when deciding on the effectiveness of a legal remedy.</w:t>
      </w:r>
    </w:p>
    <w:p w:rsidR="00D931ED" w:rsidRPr="00012C17" w:rsidRDefault="00D931ED" w:rsidP="001B11C5">
      <w:pPr>
        <w:pStyle w:val="ListParagraph"/>
        <w:spacing w:after="0" w:line="240" w:lineRule="auto"/>
        <w:rPr>
          <w:rFonts w:cs="Tahoma"/>
          <w:bCs/>
          <w:color w:val="000000"/>
          <w:sz w:val="24"/>
          <w:lang w:val="en-US"/>
        </w:rPr>
      </w:pPr>
    </w:p>
    <w:p w:rsidR="00E84FF8" w:rsidRPr="00012C17" w:rsidRDefault="00D931ED" w:rsidP="001B11C5">
      <w:pPr>
        <w:numPr>
          <w:ilvl w:val="0"/>
          <w:numId w:val="1"/>
        </w:numPr>
        <w:spacing w:line="240" w:lineRule="auto"/>
        <w:ind w:left="630" w:hanging="630"/>
        <w:rPr>
          <w:rFonts w:cs="Tahoma"/>
          <w:bCs/>
          <w:color w:val="000000"/>
          <w:sz w:val="24"/>
        </w:rPr>
      </w:pPr>
      <w:r w:rsidRPr="00012C17">
        <w:rPr>
          <w:bCs/>
          <w:color w:val="000000"/>
          <w:sz w:val="24"/>
        </w:rPr>
        <w:t>More specifically</w:t>
      </w:r>
      <w:r w:rsidR="00E84FF8" w:rsidRPr="00012C17">
        <w:rPr>
          <w:bCs/>
          <w:color w:val="000000"/>
          <w:sz w:val="24"/>
        </w:rPr>
        <w:t xml:space="preserve">, </w:t>
      </w:r>
      <w:r w:rsidRPr="00012C17">
        <w:rPr>
          <w:bCs/>
          <w:color w:val="000000"/>
          <w:sz w:val="24"/>
        </w:rPr>
        <w:t>from</w:t>
      </w:r>
      <w:r w:rsidR="00E84FF8" w:rsidRPr="00012C17">
        <w:rPr>
          <w:bCs/>
          <w:color w:val="000000"/>
          <w:sz w:val="24"/>
        </w:rPr>
        <w:t xml:space="preserve"> the case</w:t>
      </w:r>
      <w:r w:rsidR="00743007" w:rsidRPr="00012C17">
        <w:rPr>
          <w:bCs/>
          <w:color w:val="000000"/>
          <w:sz w:val="24"/>
        </w:rPr>
        <w:t>-</w:t>
      </w:r>
      <w:r w:rsidR="00E84FF8" w:rsidRPr="00012C17">
        <w:rPr>
          <w:bCs/>
          <w:color w:val="000000"/>
          <w:sz w:val="24"/>
        </w:rPr>
        <w:t>law of the ECtHR</w:t>
      </w:r>
      <w:r w:rsidR="00743007" w:rsidRPr="00012C17">
        <w:rPr>
          <w:bCs/>
          <w:color w:val="000000"/>
          <w:sz w:val="24"/>
        </w:rPr>
        <w:t xml:space="preserve"> derive </w:t>
      </w:r>
      <w:r w:rsidRPr="00012C17">
        <w:rPr>
          <w:bCs/>
          <w:color w:val="000000"/>
          <w:sz w:val="24"/>
        </w:rPr>
        <w:t xml:space="preserve">the main requirements come </w:t>
      </w:r>
      <w:r w:rsidR="00743007" w:rsidRPr="00012C17">
        <w:rPr>
          <w:bCs/>
          <w:color w:val="000000"/>
          <w:sz w:val="24"/>
        </w:rPr>
        <w:t>regarding</w:t>
      </w:r>
      <w:r w:rsidRPr="00012C17">
        <w:rPr>
          <w:bCs/>
          <w:color w:val="000000"/>
          <w:sz w:val="24"/>
        </w:rPr>
        <w:t xml:space="preserve"> an effective </w:t>
      </w:r>
      <w:r w:rsidRPr="00012C17">
        <w:rPr>
          <w:color w:val="000000"/>
          <w:sz w:val="24"/>
        </w:rPr>
        <w:t>legal</w:t>
      </w:r>
      <w:r w:rsidRPr="00012C17">
        <w:rPr>
          <w:bCs/>
          <w:color w:val="000000"/>
          <w:sz w:val="24"/>
        </w:rPr>
        <w:t xml:space="preserve"> remedy </w:t>
      </w:r>
      <w:r w:rsidR="00743007" w:rsidRPr="00012C17">
        <w:rPr>
          <w:bCs/>
          <w:color w:val="000000"/>
          <w:sz w:val="24"/>
        </w:rPr>
        <w:t>i.e.</w:t>
      </w:r>
      <w:r w:rsidR="00E84FF8" w:rsidRPr="00012C17">
        <w:rPr>
          <w:bCs/>
          <w:color w:val="000000"/>
          <w:sz w:val="24"/>
        </w:rPr>
        <w:t xml:space="preserve">: (i) the essential requirements of an effective legal remedy; (ii) the institutional </w:t>
      </w:r>
      <w:r w:rsidR="009F5D35" w:rsidRPr="00012C17">
        <w:rPr>
          <w:bCs/>
          <w:color w:val="000000"/>
          <w:sz w:val="24"/>
        </w:rPr>
        <w:t xml:space="preserve">requirements </w:t>
      </w:r>
      <w:r w:rsidR="00E84FF8" w:rsidRPr="00012C17">
        <w:rPr>
          <w:bCs/>
          <w:color w:val="000000"/>
          <w:sz w:val="24"/>
        </w:rPr>
        <w:t xml:space="preserve">for an effective legal remedy; and, (iii) the issue of the cumulative nature of the proceedings. </w:t>
      </w:r>
      <w:r w:rsidRPr="00012C17">
        <w:rPr>
          <w:bCs/>
          <w:color w:val="000000"/>
          <w:sz w:val="24"/>
        </w:rPr>
        <w:t xml:space="preserve">Considering that the circumstances of the present case and the allegations of the Applicants relate mainly to alleged violations of judicial protection of rights and effectiveness of the legal remedy, the Court will elaborate these three criteria in more detail in the following by applying them to the circumstances of the </w:t>
      </w:r>
      <w:r w:rsidR="005A3A39" w:rsidRPr="00012C17">
        <w:rPr>
          <w:bCs/>
          <w:color w:val="000000"/>
          <w:sz w:val="24"/>
        </w:rPr>
        <w:t>present</w:t>
      </w:r>
      <w:r w:rsidRPr="00012C17">
        <w:rPr>
          <w:bCs/>
          <w:color w:val="000000"/>
          <w:sz w:val="24"/>
        </w:rPr>
        <w:t xml:space="preserve"> case.</w:t>
      </w:r>
    </w:p>
    <w:p w:rsidR="005A3A39" w:rsidRPr="00012C17" w:rsidRDefault="005A3A39" w:rsidP="001B11C5">
      <w:pPr>
        <w:pStyle w:val="ListParagraph"/>
        <w:spacing w:after="0" w:line="240" w:lineRule="auto"/>
        <w:rPr>
          <w:rFonts w:cs="Tahoma"/>
          <w:bCs/>
          <w:color w:val="000000"/>
          <w:sz w:val="24"/>
          <w:lang w:val="en-US"/>
        </w:rPr>
      </w:pPr>
    </w:p>
    <w:p w:rsidR="00E84FF8" w:rsidRPr="00012C17" w:rsidRDefault="005A3A39"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With regard to the first </w:t>
      </w:r>
      <w:r w:rsidR="009F5D35" w:rsidRPr="00012C17">
        <w:rPr>
          <w:rFonts w:cs="Tahoma"/>
          <w:bCs/>
          <w:color w:val="000000"/>
          <w:sz w:val="24"/>
        </w:rPr>
        <w:t>issue</w:t>
      </w:r>
      <w:r w:rsidRPr="00012C17">
        <w:rPr>
          <w:rFonts w:cs="Tahoma"/>
          <w:bCs/>
          <w:color w:val="000000"/>
          <w:sz w:val="24"/>
        </w:rPr>
        <w:t>, namely “</w:t>
      </w:r>
      <w:r w:rsidRPr="00012C17">
        <w:rPr>
          <w:rFonts w:cs="Tahoma"/>
          <w:bCs/>
          <w:i/>
          <w:iCs/>
          <w:color w:val="000000"/>
          <w:sz w:val="24"/>
        </w:rPr>
        <w:t>the essential requirements of an effective legal remedy</w:t>
      </w:r>
      <w:r w:rsidRPr="00012C17">
        <w:rPr>
          <w:rFonts w:cs="Tahoma"/>
          <w:bCs/>
          <w:color w:val="000000"/>
          <w:sz w:val="24"/>
        </w:rPr>
        <w:t xml:space="preserve">”, the ECtHR </w:t>
      </w:r>
      <w:r w:rsidR="00012C17" w:rsidRPr="00012C17">
        <w:rPr>
          <w:rFonts w:cs="Tahoma"/>
          <w:bCs/>
          <w:color w:val="000000"/>
          <w:sz w:val="24"/>
        </w:rPr>
        <w:t>case-law</w:t>
      </w:r>
      <w:r w:rsidR="009F5D35" w:rsidRPr="00012C17">
        <w:rPr>
          <w:rFonts w:cs="Tahoma"/>
          <w:bCs/>
          <w:color w:val="000000"/>
          <w:sz w:val="24"/>
        </w:rPr>
        <w:t xml:space="preserve"> indicates that to consider a</w:t>
      </w:r>
      <w:r w:rsidRPr="00012C17">
        <w:rPr>
          <w:rFonts w:cs="Tahoma"/>
          <w:bCs/>
          <w:color w:val="000000"/>
          <w:sz w:val="24"/>
        </w:rPr>
        <w:t xml:space="preserve"> legal remedy </w:t>
      </w:r>
      <w:r w:rsidR="009F5D35" w:rsidRPr="00012C17">
        <w:rPr>
          <w:rFonts w:cs="Tahoma"/>
          <w:bCs/>
          <w:color w:val="000000"/>
          <w:sz w:val="24"/>
        </w:rPr>
        <w:t xml:space="preserve">effective </w:t>
      </w:r>
      <w:r w:rsidRPr="00012C17">
        <w:rPr>
          <w:rFonts w:cs="Tahoma"/>
          <w:bCs/>
          <w:color w:val="000000"/>
          <w:sz w:val="24"/>
        </w:rPr>
        <w:t>it should be</w:t>
      </w:r>
      <w:r w:rsidR="00E84FF8" w:rsidRPr="00012C17">
        <w:rPr>
          <w:bCs/>
          <w:color w:val="000000"/>
          <w:sz w:val="24"/>
        </w:rPr>
        <w:t xml:space="preserve"> (i) </w:t>
      </w:r>
      <w:r w:rsidRPr="00012C17">
        <w:rPr>
          <w:bCs/>
          <w:color w:val="000000"/>
          <w:sz w:val="24"/>
        </w:rPr>
        <w:t>“</w:t>
      </w:r>
      <w:r w:rsidR="00E84FF8" w:rsidRPr="00012C17">
        <w:rPr>
          <w:bCs/>
          <w:i/>
          <w:iCs/>
          <w:color w:val="000000"/>
          <w:sz w:val="24"/>
        </w:rPr>
        <w:t>effective in practice and in law</w:t>
      </w:r>
      <w:r w:rsidRPr="00012C17">
        <w:rPr>
          <w:bCs/>
          <w:i/>
          <w:iCs/>
          <w:color w:val="000000"/>
          <w:sz w:val="24"/>
        </w:rPr>
        <w:t>”</w:t>
      </w:r>
      <w:r w:rsidR="00E84FF8" w:rsidRPr="00012C17">
        <w:rPr>
          <w:bCs/>
          <w:color w:val="000000"/>
          <w:sz w:val="24"/>
        </w:rPr>
        <w:t xml:space="preserve">; (ii) the </w:t>
      </w:r>
      <w:r w:rsidRPr="00012C17">
        <w:rPr>
          <w:bCs/>
          <w:color w:val="000000"/>
          <w:sz w:val="24"/>
        </w:rPr>
        <w:t xml:space="preserve">effectiveness </w:t>
      </w:r>
      <w:r w:rsidRPr="00012C17">
        <w:rPr>
          <w:color w:val="000000"/>
          <w:sz w:val="24"/>
        </w:rPr>
        <w:t>should</w:t>
      </w:r>
      <w:r w:rsidRPr="00012C17">
        <w:rPr>
          <w:bCs/>
          <w:color w:val="000000"/>
          <w:sz w:val="24"/>
        </w:rPr>
        <w:t xml:space="preserve"> be such as to have the ability and </w:t>
      </w:r>
      <w:r w:rsidR="00E84FF8" w:rsidRPr="00012C17">
        <w:rPr>
          <w:bCs/>
          <w:color w:val="000000"/>
          <w:sz w:val="24"/>
        </w:rPr>
        <w:t xml:space="preserve">capacity to prevent the occurrence of an alleged violation or continuation of that violation; </w:t>
      </w:r>
      <w:r w:rsidRPr="00012C17">
        <w:rPr>
          <w:bCs/>
          <w:color w:val="000000"/>
          <w:sz w:val="24"/>
        </w:rPr>
        <w:t>or</w:t>
      </w:r>
      <w:r w:rsidR="00E84FF8" w:rsidRPr="00012C17">
        <w:rPr>
          <w:bCs/>
          <w:color w:val="000000"/>
          <w:sz w:val="24"/>
        </w:rPr>
        <w:t xml:space="preserve"> (iii) </w:t>
      </w:r>
      <w:r w:rsidRPr="00012C17">
        <w:rPr>
          <w:bCs/>
          <w:color w:val="000000"/>
          <w:sz w:val="24"/>
        </w:rPr>
        <w:t xml:space="preserve">to be a legal remedy which </w:t>
      </w:r>
      <w:r w:rsidR="00E84FF8" w:rsidRPr="00012C17">
        <w:rPr>
          <w:bCs/>
          <w:color w:val="000000"/>
          <w:sz w:val="24"/>
        </w:rPr>
        <w:t xml:space="preserve">may provide adequate correction for any violation that has occurred. </w:t>
      </w:r>
      <w:r w:rsidRPr="00012C17">
        <w:rPr>
          <w:bCs/>
          <w:color w:val="000000"/>
          <w:sz w:val="24"/>
        </w:rPr>
        <w:t xml:space="preserve">(See case of ECtHR, </w:t>
      </w:r>
      <w:r w:rsidRPr="00012C17">
        <w:rPr>
          <w:bCs/>
          <w:i/>
          <w:iCs/>
          <w:color w:val="000000"/>
          <w:sz w:val="24"/>
        </w:rPr>
        <w:t>Kudla v. Poland</w:t>
      </w:r>
      <w:r w:rsidRPr="00012C17">
        <w:rPr>
          <w:bCs/>
          <w:color w:val="000000"/>
          <w:sz w:val="24"/>
        </w:rPr>
        <w:t xml:space="preserve">, cited above). There is no effective legal remedy ever if the scope of review by a court or public authority authorized to make such </w:t>
      </w:r>
      <w:r w:rsidR="00032B5D" w:rsidRPr="00012C17">
        <w:rPr>
          <w:bCs/>
          <w:color w:val="000000"/>
          <w:sz w:val="24"/>
        </w:rPr>
        <w:t xml:space="preserve">a </w:t>
      </w:r>
      <w:r w:rsidRPr="00012C17">
        <w:rPr>
          <w:bCs/>
          <w:color w:val="000000"/>
          <w:sz w:val="24"/>
        </w:rPr>
        <w:t xml:space="preserve">review is so weak that it is impossible to properly address the key elements of whether </w:t>
      </w:r>
      <w:r w:rsidR="00743007" w:rsidRPr="00012C17">
        <w:rPr>
          <w:bCs/>
          <w:color w:val="000000"/>
          <w:sz w:val="24"/>
        </w:rPr>
        <w:t>there has</w:t>
      </w:r>
      <w:r w:rsidRPr="00012C17">
        <w:rPr>
          <w:bCs/>
          <w:color w:val="000000"/>
          <w:sz w:val="24"/>
        </w:rPr>
        <w:t xml:space="preserve"> </w:t>
      </w:r>
      <w:r w:rsidR="00032B5D" w:rsidRPr="00012C17">
        <w:rPr>
          <w:bCs/>
          <w:color w:val="000000"/>
          <w:sz w:val="24"/>
        </w:rPr>
        <w:t xml:space="preserve">been </w:t>
      </w:r>
      <w:r w:rsidR="00743007" w:rsidRPr="00012C17">
        <w:rPr>
          <w:bCs/>
          <w:color w:val="000000"/>
          <w:sz w:val="24"/>
        </w:rPr>
        <w:t xml:space="preserve">a </w:t>
      </w:r>
      <w:r w:rsidRPr="00012C17">
        <w:rPr>
          <w:bCs/>
          <w:color w:val="000000"/>
          <w:sz w:val="24"/>
        </w:rPr>
        <w:t>violation of the ECHR</w:t>
      </w:r>
      <w:r w:rsidR="00743007" w:rsidRPr="00012C17">
        <w:rPr>
          <w:bCs/>
          <w:color w:val="000000"/>
          <w:sz w:val="24"/>
        </w:rPr>
        <w:t xml:space="preserve"> or not</w:t>
      </w:r>
      <w:r w:rsidRPr="00012C17">
        <w:rPr>
          <w:bCs/>
          <w:color w:val="000000"/>
          <w:sz w:val="24"/>
        </w:rPr>
        <w:t>. (</w:t>
      </w:r>
      <w:r w:rsidR="00032B5D" w:rsidRPr="00012C17">
        <w:rPr>
          <w:bCs/>
          <w:color w:val="000000"/>
          <w:sz w:val="24"/>
        </w:rPr>
        <w:t xml:space="preserve">See case of </w:t>
      </w:r>
      <w:r w:rsidRPr="00012C17">
        <w:rPr>
          <w:bCs/>
          <w:color w:val="000000"/>
          <w:sz w:val="24"/>
        </w:rPr>
        <w:t>EC</w:t>
      </w:r>
      <w:r w:rsidR="00032B5D" w:rsidRPr="00012C17">
        <w:rPr>
          <w:bCs/>
          <w:color w:val="000000"/>
          <w:sz w:val="24"/>
        </w:rPr>
        <w:t>t</w:t>
      </w:r>
      <w:r w:rsidRPr="00012C17">
        <w:rPr>
          <w:bCs/>
          <w:color w:val="000000"/>
          <w:sz w:val="24"/>
        </w:rPr>
        <w:t xml:space="preserve">HR, </w:t>
      </w:r>
      <w:r w:rsidRPr="00012C17">
        <w:rPr>
          <w:bCs/>
          <w:i/>
          <w:iCs/>
          <w:color w:val="000000"/>
          <w:sz w:val="24"/>
        </w:rPr>
        <w:t>Wain</w:t>
      </w:r>
      <w:r w:rsidR="009F5D35" w:rsidRPr="00012C17">
        <w:rPr>
          <w:bCs/>
          <w:i/>
          <w:iCs/>
          <w:color w:val="000000"/>
          <w:sz w:val="24"/>
        </w:rPr>
        <w:t>wr</w:t>
      </w:r>
      <w:r w:rsidRPr="00012C17">
        <w:rPr>
          <w:bCs/>
          <w:i/>
          <w:iCs/>
          <w:color w:val="000000"/>
          <w:sz w:val="24"/>
        </w:rPr>
        <w:t>ight v. United Kingdom</w:t>
      </w:r>
      <w:r w:rsidRPr="00012C17">
        <w:rPr>
          <w:bCs/>
          <w:color w:val="000000"/>
          <w:sz w:val="24"/>
        </w:rPr>
        <w:t>, No. 12350/04, Judgment of 26 September 2006, paras 53-56).</w:t>
      </w:r>
    </w:p>
    <w:p w:rsidR="00E84FF8" w:rsidRPr="00012C17" w:rsidRDefault="00E84FF8" w:rsidP="001B11C5">
      <w:pPr>
        <w:spacing w:line="240" w:lineRule="auto"/>
        <w:rPr>
          <w:bCs/>
          <w:color w:val="000000"/>
          <w:sz w:val="24"/>
        </w:rPr>
      </w:pPr>
    </w:p>
    <w:p w:rsidR="00E84FF8" w:rsidRPr="00012C17" w:rsidRDefault="00E84FF8" w:rsidP="001B11C5">
      <w:pPr>
        <w:numPr>
          <w:ilvl w:val="0"/>
          <w:numId w:val="1"/>
        </w:numPr>
        <w:spacing w:line="240" w:lineRule="auto"/>
        <w:ind w:left="630" w:hanging="630"/>
        <w:rPr>
          <w:bCs/>
          <w:color w:val="000000"/>
          <w:sz w:val="24"/>
        </w:rPr>
      </w:pPr>
      <w:r w:rsidRPr="00012C17">
        <w:rPr>
          <w:bCs/>
          <w:color w:val="000000"/>
          <w:sz w:val="24"/>
        </w:rPr>
        <w:t xml:space="preserve">In this respect, the Court notes that these criteria are met in the circumstances of the present case for </w:t>
      </w:r>
      <w:r w:rsidRPr="00012C17">
        <w:rPr>
          <w:color w:val="000000"/>
          <w:sz w:val="24"/>
        </w:rPr>
        <w:t>the</w:t>
      </w:r>
      <w:r w:rsidRPr="00012C17">
        <w:rPr>
          <w:bCs/>
          <w:color w:val="000000"/>
          <w:sz w:val="24"/>
        </w:rPr>
        <w:t xml:space="preserve"> following reasons: (i) the </w:t>
      </w:r>
      <w:r w:rsidR="00032B5D" w:rsidRPr="00012C17">
        <w:rPr>
          <w:bCs/>
          <w:color w:val="000000"/>
          <w:sz w:val="24"/>
        </w:rPr>
        <w:t xml:space="preserve">legal </w:t>
      </w:r>
      <w:r w:rsidRPr="00012C17">
        <w:rPr>
          <w:bCs/>
          <w:color w:val="000000"/>
          <w:sz w:val="24"/>
        </w:rPr>
        <w:t xml:space="preserve">remedy </w:t>
      </w:r>
      <w:r w:rsidR="003A5CA1" w:rsidRPr="00012C17">
        <w:rPr>
          <w:bCs/>
          <w:color w:val="000000"/>
          <w:sz w:val="24"/>
        </w:rPr>
        <w:t>in</w:t>
      </w:r>
      <w:r w:rsidRPr="00012C17">
        <w:rPr>
          <w:bCs/>
          <w:color w:val="000000"/>
          <w:sz w:val="24"/>
        </w:rPr>
        <w:t xml:space="preserve"> the elect</w:t>
      </w:r>
      <w:r w:rsidR="009F5D35" w:rsidRPr="00012C17">
        <w:rPr>
          <w:bCs/>
          <w:color w:val="000000"/>
          <w:sz w:val="24"/>
        </w:rPr>
        <w:t>ion</w:t>
      </w:r>
      <w:r w:rsidRPr="00012C17">
        <w:rPr>
          <w:bCs/>
          <w:color w:val="000000"/>
          <w:sz w:val="24"/>
        </w:rPr>
        <w:t xml:space="preserve"> disputes is defined by the LGE and the Law on</w:t>
      </w:r>
      <w:r w:rsidR="009F5D35" w:rsidRPr="00012C17">
        <w:rPr>
          <w:bCs/>
          <w:color w:val="000000"/>
          <w:sz w:val="24"/>
        </w:rPr>
        <w:t xml:space="preserve"> respective</w:t>
      </w:r>
      <w:r w:rsidRPr="00012C17">
        <w:rPr>
          <w:bCs/>
          <w:color w:val="000000"/>
          <w:sz w:val="24"/>
        </w:rPr>
        <w:t xml:space="preserve"> Amendments and Supplements, namely Articles 105, 118 and 119 therein. Moreover, as elaborated above, beyond the appeals related to </w:t>
      </w:r>
      <w:r w:rsidR="00032B5D" w:rsidRPr="00012C17">
        <w:rPr>
          <w:bCs/>
          <w:color w:val="000000"/>
          <w:sz w:val="24"/>
        </w:rPr>
        <w:t>election</w:t>
      </w:r>
      <w:r w:rsidRPr="00012C17">
        <w:rPr>
          <w:bCs/>
          <w:color w:val="000000"/>
          <w:sz w:val="24"/>
        </w:rPr>
        <w:t xml:space="preserve"> disputes, the LGE and the relevant </w:t>
      </w:r>
      <w:r w:rsidR="00032B5D" w:rsidRPr="00012C17">
        <w:rPr>
          <w:bCs/>
          <w:color w:val="000000"/>
          <w:sz w:val="24"/>
        </w:rPr>
        <w:t>amendments</w:t>
      </w:r>
      <w:r w:rsidRPr="00012C17">
        <w:rPr>
          <w:bCs/>
          <w:color w:val="000000"/>
          <w:sz w:val="24"/>
        </w:rPr>
        <w:t xml:space="preserve"> also determine the possibility of recount and re-vote in “</w:t>
      </w:r>
      <w:r w:rsidRPr="00012C17">
        <w:rPr>
          <w:bCs/>
          <w:i/>
          <w:iCs/>
          <w:color w:val="000000"/>
          <w:sz w:val="24"/>
        </w:rPr>
        <w:t>extraordinary cases</w:t>
      </w:r>
      <w:r w:rsidRPr="00012C17">
        <w:rPr>
          <w:bCs/>
          <w:color w:val="000000"/>
          <w:sz w:val="24"/>
        </w:rPr>
        <w:t>” and “</w:t>
      </w:r>
      <w:r w:rsidRPr="00012C17">
        <w:rPr>
          <w:bCs/>
          <w:i/>
          <w:iCs/>
          <w:color w:val="000000"/>
          <w:sz w:val="24"/>
        </w:rPr>
        <w:t>if the identified violations have impact on the final result</w:t>
      </w:r>
      <w:r w:rsidRPr="00012C17">
        <w:rPr>
          <w:bCs/>
          <w:color w:val="000000"/>
          <w:sz w:val="24"/>
        </w:rPr>
        <w:t xml:space="preserve">” as it is defined by Articles 106, 117 and 120 of the LGE and </w:t>
      </w:r>
      <w:r w:rsidR="00743007" w:rsidRPr="00012C17">
        <w:rPr>
          <w:bCs/>
          <w:color w:val="000000"/>
          <w:sz w:val="24"/>
        </w:rPr>
        <w:t xml:space="preserve">its </w:t>
      </w:r>
      <w:r w:rsidRPr="00012C17">
        <w:rPr>
          <w:bCs/>
          <w:color w:val="000000"/>
          <w:sz w:val="24"/>
        </w:rPr>
        <w:t xml:space="preserve">respective amendments. As elaborated above, the legal provisions that determine the possibility of </w:t>
      </w:r>
      <w:r w:rsidR="009F5D35" w:rsidRPr="00012C17">
        <w:rPr>
          <w:bCs/>
          <w:color w:val="000000"/>
          <w:sz w:val="24"/>
        </w:rPr>
        <w:t>cancellation</w:t>
      </w:r>
      <w:r w:rsidRPr="00012C17">
        <w:rPr>
          <w:bCs/>
          <w:color w:val="000000"/>
          <w:sz w:val="24"/>
        </w:rPr>
        <w:t xml:space="preserve"> of </w:t>
      </w:r>
      <w:r w:rsidR="009F5D35" w:rsidRPr="00012C17">
        <w:rPr>
          <w:bCs/>
          <w:color w:val="000000"/>
          <w:sz w:val="24"/>
        </w:rPr>
        <w:t xml:space="preserve">the </w:t>
      </w:r>
      <w:r w:rsidRPr="00012C17">
        <w:rPr>
          <w:bCs/>
          <w:color w:val="000000"/>
          <w:sz w:val="24"/>
        </w:rPr>
        <w:t xml:space="preserve">election results are in </w:t>
      </w:r>
      <w:r w:rsidR="009F5D35" w:rsidRPr="00012C17">
        <w:rPr>
          <w:bCs/>
          <w:color w:val="000000"/>
          <w:sz w:val="24"/>
        </w:rPr>
        <w:t>harmony</w:t>
      </w:r>
      <w:r w:rsidRPr="00012C17">
        <w:rPr>
          <w:bCs/>
          <w:color w:val="000000"/>
          <w:sz w:val="24"/>
        </w:rPr>
        <w:t xml:space="preserve"> with the practice of the Venice Commission member states as summarized in the Code of Good Practice and Explanatory Report, </w:t>
      </w:r>
      <w:r w:rsidR="009F5D35" w:rsidRPr="00012C17">
        <w:rPr>
          <w:bCs/>
          <w:color w:val="000000"/>
          <w:sz w:val="24"/>
        </w:rPr>
        <w:t xml:space="preserve">Report on </w:t>
      </w:r>
      <w:r w:rsidRPr="00012C17">
        <w:rPr>
          <w:bCs/>
          <w:color w:val="000000"/>
          <w:sz w:val="24"/>
        </w:rPr>
        <w:t xml:space="preserve">Dispute </w:t>
      </w:r>
      <w:r w:rsidR="003A5CA1" w:rsidRPr="00012C17">
        <w:rPr>
          <w:bCs/>
          <w:color w:val="000000"/>
          <w:sz w:val="24"/>
        </w:rPr>
        <w:t xml:space="preserve">Resolution </w:t>
      </w:r>
      <w:r w:rsidRPr="00012C17">
        <w:rPr>
          <w:bCs/>
          <w:color w:val="000000"/>
          <w:sz w:val="24"/>
        </w:rPr>
        <w:t xml:space="preserve">and Report on </w:t>
      </w:r>
      <w:r w:rsidR="009F5D35" w:rsidRPr="00012C17">
        <w:rPr>
          <w:bCs/>
          <w:color w:val="000000"/>
          <w:sz w:val="24"/>
        </w:rPr>
        <w:t xml:space="preserve">the </w:t>
      </w:r>
      <w:r w:rsidRPr="00012C17">
        <w:rPr>
          <w:bCs/>
          <w:color w:val="000000"/>
          <w:sz w:val="24"/>
        </w:rPr>
        <w:t xml:space="preserve">Cancellation of Results. Moreover, the ECAP and </w:t>
      </w:r>
      <w:r w:rsidR="00032B5D" w:rsidRPr="00012C17">
        <w:rPr>
          <w:bCs/>
          <w:color w:val="000000"/>
          <w:sz w:val="24"/>
        </w:rPr>
        <w:t>the Supreme Court</w:t>
      </w:r>
      <w:r w:rsidRPr="00012C17">
        <w:rPr>
          <w:bCs/>
          <w:color w:val="000000"/>
          <w:sz w:val="24"/>
        </w:rPr>
        <w:t xml:space="preserve"> practice show</w:t>
      </w:r>
      <w:r w:rsidR="00032B5D" w:rsidRPr="00012C17">
        <w:rPr>
          <w:bCs/>
          <w:color w:val="000000"/>
          <w:sz w:val="24"/>
        </w:rPr>
        <w:t>s</w:t>
      </w:r>
      <w:r w:rsidRPr="00012C17">
        <w:rPr>
          <w:bCs/>
          <w:color w:val="000000"/>
          <w:sz w:val="24"/>
        </w:rPr>
        <w:t xml:space="preserve"> that these provisions are effective, if the ECAP and the Supreme Court finds the allegations of the Applicants as grounded. The </w:t>
      </w:r>
      <w:r w:rsidR="00032B5D" w:rsidRPr="00012C17">
        <w:rPr>
          <w:bCs/>
          <w:color w:val="000000"/>
          <w:sz w:val="24"/>
        </w:rPr>
        <w:t>recent</w:t>
      </w:r>
      <w:r w:rsidRPr="00012C17">
        <w:rPr>
          <w:bCs/>
          <w:color w:val="000000"/>
          <w:sz w:val="24"/>
        </w:rPr>
        <w:t xml:space="preserve"> cases of ECAP practice and the Supreme Court find this. The Court notes that in the last elections, the vote was repeated in the Partesh municipality, following the ECAP Decision which found the allegations in the appeal as grounded based on the police reports and Basic Prosecution files (see Decision [ZL. Ano. 560/2017] of 2 November 2017 of the ECAP) and in the Istog Municipality, following the ECAP Decision</w:t>
      </w:r>
      <w:r w:rsidR="00032B5D" w:rsidRPr="00012C17">
        <w:rPr>
          <w:bCs/>
          <w:color w:val="000000"/>
          <w:sz w:val="24"/>
        </w:rPr>
        <w:t>,</w:t>
      </w:r>
      <w:r w:rsidRPr="00012C17">
        <w:rPr>
          <w:bCs/>
          <w:color w:val="000000"/>
          <w:sz w:val="24"/>
        </w:rPr>
        <w:t xml:space="preserve"> which upheld the allegations as a result of the investigation of the election material</w:t>
      </w:r>
      <w:r w:rsidR="00012C17" w:rsidRPr="00012C17">
        <w:rPr>
          <w:bCs/>
          <w:color w:val="000000"/>
          <w:sz w:val="24"/>
        </w:rPr>
        <w:t>. (S</w:t>
      </w:r>
      <w:r w:rsidRPr="00012C17">
        <w:rPr>
          <w:bCs/>
          <w:color w:val="000000"/>
          <w:sz w:val="24"/>
        </w:rPr>
        <w:t>ee Decision [ZL. Ano. 1114/2017] of 27 November 2017 of the ECAP). In the same line of argument, the Court emphasizes that the legal remedy available in the election disputes as defined</w:t>
      </w:r>
      <w:r w:rsidR="00012C17" w:rsidRPr="00012C17">
        <w:rPr>
          <w:bCs/>
          <w:color w:val="000000"/>
          <w:sz w:val="24"/>
        </w:rPr>
        <w:t xml:space="preserve"> by the applicable election law;</w:t>
      </w:r>
      <w:r w:rsidRPr="00012C17">
        <w:rPr>
          <w:bCs/>
          <w:color w:val="000000"/>
          <w:sz w:val="24"/>
        </w:rPr>
        <w:t xml:space="preserve"> </w:t>
      </w:r>
      <w:r w:rsidR="00743007" w:rsidRPr="00012C17">
        <w:rPr>
          <w:bCs/>
          <w:color w:val="000000"/>
          <w:sz w:val="24"/>
        </w:rPr>
        <w:t>(</w:t>
      </w:r>
      <w:r w:rsidRPr="00012C17">
        <w:rPr>
          <w:bCs/>
          <w:color w:val="000000"/>
          <w:sz w:val="24"/>
        </w:rPr>
        <w:t>ii) has the capacity to prevent the occurrence of an alleged violation or</w:t>
      </w:r>
      <w:r w:rsidR="00012C17" w:rsidRPr="00012C17">
        <w:rPr>
          <w:bCs/>
          <w:color w:val="000000"/>
          <w:sz w:val="24"/>
        </w:rPr>
        <w:t xml:space="preserve"> continuation of that violation;</w:t>
      </w:r>
      <w:r w:rsidRPr="00012C17">
        <w:rPr>
          <w:bCs/>
          <w:color w:val="000000"/>
          <w:sz w:val="24"/>
        </w:rPr>
        <w:t xml:space="preserve"> and </w:t>
      </w:r>
      <w:r w:rsidR="00032B5D" w:rsidRPr="00012C17">
        <w:rPr>
          <w:bCs/>
          <w:color w:val="000000"/>
          <w:sz w:val="24"/>
        </w:rPr>
        <w:t>(iii</w:t>
      </w:r>
      <w:r w:rsidRPr="00012C17">
        <w:rPr>
          <w:bCs/>
          <w:color w:val="000000"/>
          <w:sz w:val="24"/>
        </w:rPr>
        <w:t xml:space="preserve">) provide adequate correction for any kind of violation that has occurred. The Court also </w:t>
      </w:r>
      <w:r w:rsidR="00032B5D" w:rsidRPr="00012C17">
        <w:rPr>
          <w:bCs/>
          <w:color w:val="000000"/>
          <w:sz w:val="24"/>
        </w:rPr>
        <w:t>recalls</w:t>
      </w:r>
      <w:r w:rsidRPr="00012C17">
        <w:rPr>
          <w:bCs/>
          <w:color w:val="000000"/>
          <w:sz w:val="24"/>
        </w:rPr>
        <w:t xml:space="preserve"> that the ECtHR has </w:t>
      </w:r>
      <w:r w:rsidR="00032B5D" w:rsidRPr="00012C17">
        <w:rPr>
          <w:bCs/>
          <w:color w:val="000000"/>
          <w:sz w:val="24"/>
        </w:rPr>
        <w:t>determined</w:t>
      </w:r>
      <w:r w:rsidRPr="00012C17">
        <w:rPr>
          <w:bCs/>
          <w:color w:val="000000"/>
          <w:sz w:val="24"/>
        </w:rPr>
        <w:t xml:space="preserve"> </w:t>
      </w:r>
      <w:r w:rsidR="00265D47" w:rsidRPr="00012C17">
        <w:rPr>
          <w:bCs/>
          <w:color w:val="000000"/>
          <w:sz w:val="24"/>
        </w:rPr>
        <w:t xml:space="preserve">the instance when </w:t>
      </w:r>
      <w:r w:rsidRPr="00012C17">
        <w:rPr>
          <w:bCs/>
          <w:color w:val="000000"/>
          <w:sz w:val="24"/>
        </w:rPr>
        <w:t>the legal remedy is ineffective</w:t>
      </w:r>
      <w:r w:rsidR="00265D47" w:rsidRPr="00012C17">
        <w:rPr>
          <w:bCs/>
          <w:color w:val="000000"/>
          <w:sz w:val="24"/>
        </w:rPr>
        <w:t>.</w:t>
      </w:r>
      <w:r w:rsidRPr="00012C17">
        <w:rPr>
          <w:bCs/>
          <w:color w:val="000000"/>
          <w:sz w:val="24"/>
        </w:rPr>
        <w:t xml:space="preserve"> Case </w:t>
      </w:r>
      <w:r w:rsidRPr="00012C17">
        <w:rPr>
          <w:bCs/>
          <w:i/>
          <w:iCs/>
          <w:color w:val="000000"/>
          <w:sz w:val="24"/>
        </w:rPr>
        <w:t>Murray v. United Kingdom</w:t>
      </w:r>
      <w:r w:rsidRPr="00012C17">
        <w:rPr>
          <w:bCs/>
          <w:color w:val="000000"/>
          <w:sz w:val="24"/>
        </w:rPr>
        <w:t xml:space="preserve"> clarifies this</w:t>
      </w:r>
      <w:r w:rsidR="003F3E8D" w:rsidRPr="00012C17">
        <w:rPr>
          <w:bCs/>
          <w:color w:val="000000"/>
          <w:sz w:val="24"/>
        </w:rPr>
        <w:t xml:space="preserve"> context</w:t>
      </w:r>
      <w:r w:rsidRPr="00012C17">
        <w:rPr>
          <w:bCs/>
          <w:color w:val="000000"/>
          <w:sz w:val="24"/>
        </w:rPr>
        <w:t xml:space="preserve">. In this case, unlike the circumstances of the present case, the ECtHR, finding the weak power of the judicial review that the regular courts had by the </w:t>
      </w:r>
      <w:r w:rsidR="00174C08" w:rsidRPr="00012C17">
        <w:rPr>
          <w:bCs/>
          <w:color w:val="000000"/>
          <w:sz w:val="24"/>
        </w:rPr>
        <w:t>“</w:t>
      </w:r>
      <w:r w:rsidRPr="00012C17">
        <w:rPr>
          <w:bCs/>
          <w:color w:val="000000"/>
          <w:sz w:val="24"/>
        </w:rPr>
        <w:t>Human Rights Act 1998</w:t>
      </w:r>
      <w:r w:rsidR="00174C08" w:rsidRPr="00012C17">
        <w:rPr>
          <w:bCs/>
          <w:color w:val="000000"/>
          <w:sz w:val="24"/>
        </w:rPr>
        <w:t>”</w:t>
      </w:r>
      <w:r w:rsidRPr="00012C17">
        <w:rPr>
          <w:bCs/>
          <w:color w:val="000000"/>
          <w:sz w:val="24"/>
        </w:rPr>
        <w:t xml:space="preserve">, </w:t>
      </w:r>
      <w:r w:rsidR="00DC30B7" w:rsidRPr="00012C17">
        <w:rPr>
          <w:bCs/>
          <w:color w:val="000000"/>
          <w:sz w:val="24"/>
        </w:rPr>
        <w:t xml:space="preserve">and </w:t>
      </w:r>
      <w:r w:rsidRPr="00012C17">
        <w:rPr>
          <w:bCs/>
          <w:color w:val="000000"/>
          <w:sz w:val="24"/>
        </w:rPr>
        <w:t>has decided to find a violation of Article 13 of the ECHR precisely because of the poor prospect of success that the legal remedy has provided. (See</w:t>
      </w:r>
      <w:r w:rsidR="00801605" w:rsidRPr="00012C17">
        <w:rPr>
          <w:bCs/>
          <w:color w:val="000000"/>
          <w:sz w:val="24"/>
        </w:rPr>
        <w:t xml:space="preserve"> case </w:t>
      </w:r>
      <w:r w:rsidR="00801605" w:rsidRPr="00012C17">
        <w:rPr>
          <w:bCs/>
          <w:i/>
          <w:iCs/>
          <w:color w:val="000000"/>
          <w:sz w:val="24"/>
        </w:rPr>
        <w:t xml:space="preserve">Murray v. United Kingdom, </w:t>
      </w:r>
      <w:r w:rsidR="00801605" w:rsidRPr="00012C17">
        <w:rPr>
          <w:bCs/>
          <w:color w:val="000000"/>
          <w:sz w:val="24"/>
        </w:rPr>
        <w:t>no. 14310/88, Judgment of 28 October 1994, paragraph 100;</w:t>
      </w:r>
      <w:r w:rsidR="006E52F9" w:rsidRPr="00012C17">
        <w:rPr>
          <w:bCs/>
          <w:i/>
          <w:iCs/>
          <w:color w:val="000000"/>
          <w:sz w:val="24"/>
        </w:rPr>
        <w:t xml:space="preserve"> </w:t>
      </w:r>
      <w:r w:rsidR="00801605" w:rsidRPr="00012C17">
        <w:rPr>
          <w:bCs/>
          <w:color w:val="000000"/>
          <w:sz w:val="24"/>
        </w:rPr>
        <w:t xml:space="preserve">see also, </w:t>
      </w:r>
      <w:r w:rsidR="00801605" w:rsidRPr="00012C17">
        <w:rPr>
          <w:bCs/>
          <w:i/>
          <w:iCs/>
          <w:color w:val="000000"/>
          <w:sz w:val="24"/>
        </w:rPr>
        <w:t>mutatis mutandis</w:t>
      </w:r>
      <w:r w:rsidRPr="00012C17">
        <w:rPr>
          <w:bCs/>
          <w:color w:val="000000"/>
          <w:sz w:val="24"/>
        </w:rPr>
        <w:t xml:space="preserve">, </w:t>
      </w:r>
      <w:r w:rsidR="00801605" w:rsidRPr="00012C17">
        <w:rPr>
          <w:bCs/>
          <w:color w:val="000000"/>
          <w:sz w:val="24"/>
        </w:rPr>
        <w:t xml:space="preserve">ECtHR case </w:t>
      </w:r>
      <w:r w:rsidR="00174C08" w:rsidRPr="00012C17">
        <w:rPr>
          <w:bCs/>
          <w:i/>
          <w:iCs/>
          <w:color w:val="000000"/>
          <w:sz w:val="24"/>
        </w:rPr>
        <w:t xml:space="preserve">Wainwright </w:t>
      </w:r>
      <w:r w:rsidRPr="00012C17">
        <w:rPr>
          <w:bCs/>
          <w:i/>
          <w:iCs/>
          <w:color w:val="000000"/>
          <w:sz w:val="24"/>
        </w:rPr>
        <w:t>v. United Kingdom</w:t>
      </w:r>
      <w:r w:rsidRPr="00012C17">
        <w:rPr>
          <w:bCs/>
          <w:color w:val="000000"/>
          <w:sz w:val="24"/>
        </w:rPr>
        <w:t xml:space="preserve">, </w:t>
      </w:r>
      <w:r w:rsidR="00150B48" w:rsidRPr="00012C17">
        <w:rPr>
          <w:bCs/>
          <w:color w:val="000000"/>
          <w:sz w:val="24"/>
        </w:rPr>
        <w:t>cited above</w:t>
      </w:r>
      <w:r w:rsidRPr="00012C17">
        <w:rPr>
          <w:bCs/>
          <w:color w:val="000000"/>
          <w:sz w:val="24"/>
        </w:rPr>
        <w:t>, paragraphs 53-56).</w:t>
      </w:r>
      <w:r w:rsidR="006E52F9" w:rsidRPr="00012C17">
        <w:rPr>
          <w:bCs/>
          <w:color w:val="000000"/>
          <w:sz w:val="24"/>
        </w:rPr>
        <w:t xml:space="preserve"> </w:t>
      </w:r>
    </w:p>
    <w:p w:rsidR="00801605" w:rsidRPr="00012C17" w:rsidRDefault="00801605" w:rsidP="001B11C5">
      <w:pPr>
        <w:tabs>
          <w:tab w:val="left" w:pos="540"/>
          <w:tab w:val="left" w:pos="720"/>
        </w:tabs>
        <w:spacing w:line="240" w:lineRule="auto"/>
        <w:ind w:left="540"/>
        <w:rPr>
          <w:bCs/>
          <w:color w:val="000000"/>
          <w:sz w:val="24"/>
        </w:rPr>
      </w:pPr>
    </w:p>
    <w:p w:rsidR="00801605" w:rsidRPr="00012C17" w:rsidRDefault="00801605" w:rsidP="001B11C5">
      <w:pPr>
        <w:numPr>
          <w:ilvl w:val="0"/>
          <w:numId w:val="1"/>
        </w:numPr>
        <w:spacing w:line="240" w:lineRule="auto"/>
        <w:ind w:left="630" w:hanging="630"/>
        <w:rPr>
          <w:bCs/>
          <w:color w:val="000000"/>
          <w:sz w:val="24"/>
        </w:rPr>
      </w:pPr>
      <w:r w:rsidRPr="00012C17">
        <w:rPr>
          <w:rFonts w:cs="Tahoma"/>
          <w:bCs/>
          <w:color w:val="000000"/>
          <w:sz w:val="24"/>
        </w:rPr>
        <w:t xml:space="preserve">As regards the second </w:t>
      </w:r>
      <w:r w:rsidR="00174C08" w:rsidRPr="00012C17">
        <w:rPr>
          <w:rFonts w:cs="Tahoma"/>
          <w:bCs/>
          <w:color w:val="000000"/>
          <w:sz w:val="24"/>
        </w:rPr>
        <w:t>issue</w:t>
      </w:r>
      <w:r w:rsidRPr="00012C17">
        <w:rPr>
          <w:rFonts w:cs="Tahoma"/>
          <w:bCs/>
          <w:color w:val="000000"/>
          <w:sz w:val="24"/>
        </w:rPr>
        <w:t>, namely (ii) “</w:t>
      </w:r>
      <w:r w:rsidRPr="00012C17">
        <w:rPr>
          <w:rFonts w:cs="Tahoma"/>
          <w:bCs/>
          <w:i/>
          <w:iCs/>
          <w:color w:val="000000"/>
          <w:sz w:val="24"/>
        </w:rPr>
        <w:t>institutional requirements</w:t>
      </w:r>
      <w:r w:rsidRPr="00012C17">
        <w:rPr>
          <w:rFonts w:cs="Tahoma"/>
          <w:bCs/>
          <w:color w:val="000000"/>
          <w:sz w:val="24"/>
        </w:rPr>
        <w:t xml:space="preserve">” for an effective legal remedy, the ECtHR </w:t>
      </w:r>
      <w:r w:rsidR="00012C17" w:rsidRPr="00012C17">
        <w:rPr>
          <w:rFonts w:cs="Tahoma"/>
          <w:bCs/>
          <w:color w:val="000000"/>
          <w:sz w:val="24"/>
        </w:rPr>
        <w:t>case-law</w:t>
      </w:r>
      <w:r w:rsidRPr="00012C17">
        <w:rPr>
          <w:rFonts w:cs="Tahoma"/>
          <w:bCs/>
          <w:color w:val="000000"/>
          <w:sz w:val="24"/>
        </w:rPr>
        <w:t xml:space="preserve"> indicates that the authority referred to in Article 13 of the ECHR</w:t>
      </w:r>
      <w:r w:rsidR="001B11C5" w:rsidRPr="00012C17">
        <w:rPr>
          <w:rFonts w:cs="Tahoma"/>
          <w:bCs/>
          <w:color w:val="000000"/>
          <w:sz w:val="24"/>
        </w:rPr>
        <w:t xml:space="preserve"> </w:t>
      </w:r>
      <w:r w:rsidRPr="00012C17">
        <w:rPr>
          <w:rFonts w:cs="Tahoma"/>
          <w:bCs/>
          <w:color w:val="000000"/>
          <w:sz w:val="24"/>
        </w:rPr>
        <w:t xml:space="preserve">should not necessarily be a judicial authority. (See ECTHR case, </w:t>
      </w:r>
      <w:r w:rsidRPr="00012C17">
        <w:rPr>
          <w:rFonts w:cs="Tahoma"/>
          <w:bCs/>
          <w:i/>
          <w:iCs/>
          <w:color w:val="000000"/>
          <w:sz w:val="24"/>
        </w:rPr>
        <w:t>Chahal v. United Kingdom</w:t>
      </w:r>
      <w:r w:rsidRPr="00012C17">
        <w:rPr>
          <w:rFonts w:cs="Tahoma"/>
          <w:bCs/>
          <w:color w:val="000000"/>
          <w:sz w:val="24"/>
        </w:rPr>
        <w:t>, No. 22414/93, Judgment of 15 November 1996). But if it is not a judicial authority then it is necessary that the power and guarantees it offers be relevant to determin</w:t>
      </w:r>
      <w:r w:rsidR="00743007" w:rsidRPr="00012C17">
        <w:rPr>
          <w:rFonts w:cs="Tahoma"/>
          <w:bCs/>
          <w:color w:val="000000"/>
          <w:sz w:val="24"/>
        </w:rPr>
        <w:t>e</w:t>
      </w:r>
      <w:r w:rsidRPr="00012C17">
        <w:rPr>
          <w:rFonts w:cs="Tahoma"/>
          <w:bCs/>
          <w:color w:val="000000"/>
          <w:sz w:val="24"/>
        </w:rPr>
        <w:t xml:space="preserve"> whether the legal remedy before that authority is effective or not. In this respect, the ECtHR </w:t>
      </w:r>
      <w:r w:rsidR="00174C08" w:rsidRPr="00012C17">
        <w:rPr>
          <w:rFonts w:cs="Tahoma"/>
          <w:bCs/>
          <w:color w:val="000000"/>
          <w:sz w:val="24"/>
        </w:rPr>
        <w:t>examines</w:t>
      </w:r>
      <w:r w:rsidRPr="00012C17">
        <w:rPr>
          <w:rFonts w:cs="Tahoma"/>
          <w:bCs/>
          <w:color w:val="000000"/>
          <w:sz w:val="24"/>
        </w:rPr>
        <w:t xml:space="preserve"> the issue of independence of that public authority and the procedural guarantees it provides to determine the effectiveness of a legal remedy. (See ECHR case, </w:t>
      </w:r>
      <w:r w:rsidRPr="00012C17">
        <w:rPr>
          <w:rFonts w:cs="Tahoma"/>
          <w:bCs/>
          <w:i/>
          <w:iCs/>
          <w:color w:val="000000"/>
          <w:sz w:val="24"/>
        </w:rPr>
        <w:t>De Souza Ribeiro v. France</w:t>
      </w:r>
      <w:r w:rsidRPr="00012C17">
        <w:rPr>
          <w:rFonts w:cs="Tahoma"/>
          <w:bCs/>
          <w:color w:val="000000"/>
          <w:sz w:val="24"/>
        </w:rPr>
        <w:t>, No. 22689/07, Judgment of 13 December 2012).</w:t>
      </w:r>
      <w:r w:rsidR="006E52F9" w:rsidRPr="00012C17">
        <w:rPr>
          <w:rFonts w:cs="Tahoma"/>
          <w:bCs/>
          <w:color w:val="000000"/>
          <w:sz w:val="24"/>
        </w:rPr>
        <w:t xml:space="preserve"> </w:t>
      </w:r>
    </w:p>
    <w:p w:rsidR="00801605" w:rsidRPr="00012C17" w:rsidRDefault="00801605" w:rsidP="001B11C5">
      <w:pPr>
        <w:pStyle w:val="ListParagraph"/>
        <w:spacing w:after="0" w:line="240" w:lineRule="auto"/>
        <w:rPr>
          <w:bCs/>
          <w:color w:val="000000"/>
          <w:sz w:val="24"/>
          <w:lang w:val="en-US"/>
        </w:rPr>
      </w:pPr>
    </w:p>
    <w:p w:rsidR="00801605" w:rsidRPr="00012C17" w:rsidRDefault="00801605" w:rsidP="001B11C5">
      <w:pPr>
        <w:numPr>
          <w:ilvl w:val="0"/>
          <w:numId w:val="1"/>
        </w:numPr>
        <w:spacing w:line="240" w:lineRule="auto"/>
        <w:ind w:left="630" w:hanging="630"/>
        <w:rPr>
          <w:bCs/>
          <w:color w:val="000000"/>
          <w:sz w:val="24"/>
        </w:rPr>
      </w:pPr>
      <w:r w:rsidRPr="00012C17">
        <w:rPr>
          <w:bCs/>
          <w:color w:val="000000"/>
          <w:sz w:val="24"/>
        </w:rPr>
        <w:lastRenderedPageBreak/>
        <w:t xml:space="preserve">In this regard, the Court notes that these criteria are also met because the decision-making </w:t>
      </w:r>
      <w:r w:rsidRPr="00012C17">
        <w:rPr>
          <w:color w:val="000000"/>
          <w:sz w:val="24"/>
        </w:rPr>
        <w:t>authority</w:t>
      </w:r>
      <w:r w:rsidRPr="00012C17">
        <w:rPr>
          <w:bCs/>
          <w:color w:val="000000"/>
          <w:sz w:val="24"/>
        </w:rPr>
        <w:t xml:space="preserve"> in the </w:t>
      </w:r>
      <w:r w:rsidR="00174C08" w:rsidRPr="00012C17">
        <w:rPr>
          <w:bCs/>
          <w:color w:val="000000"/>
          <w:sz w:val="24"/>
        </w:rPr>
        <w:t>election</w:t>
      </w:r>
      <w:r w:rsidRPr="00012C17">
        <w:rPr>
          <w:bCs/>
          <w:color w:val="000000"/>
          <w:sz w:val="24"/>
        </w:rPr>
        <w:t xml:space="preserve"> disputes in the Republic of Kosovo includes institutions with full institutional independence, including the </w:t>
      </w:r>
      <w:r w:rsidR="00150B48" w:rsidRPr="00012C17">
        <w:rPr>
          <w:bCs/>
          <w:color w:val="000000"/>
          <w:sz w:val="24"/>
        </w:rPr>
        <w:t>CEC</w:t>
      </w:r>
      <w:r w:rsidRPr="00012C17">
        <w:rPr>
          <w:bCs/>
          <w:color w:val="000000"/>
          <w:sz w:val="24"/>
        </w:rPr>
        <w:t xml:space="preserve"> as the authority </w:t>
      </w:r>
      <w:r w:rsidR="00174C08" w:rsidRPr="00012C17">
        <w:rPr>
          <w:bCs/>
          <w:color w:val="000000"/>
          <w:sz w:val="24"/>
        </w:rPr>
        <w:t>which</w:t>
      </w:r>
      <w:r w:rsidRPr="00012C17">
        <w:rPr>
          <w:bCs/>
          <w:color w:val="000000"/>
          <w:sz w:val="24"/>
        </w:rPr>
        <w:t xml:space="preserve"> independence is defined by Article 139 of the Constitution; </w:t>
      </w:r>
      <w:r w:rsidR="00174C08" w:rsidRPr="00012C17">
        <w:rPr>
          <w:bCs/>
          <w:color w:val="000000"/>
          <w:sz w:val="24"/>
        </w:rPr>
        <w:t>t</w:t>
      </w:r>
      <w:r w:rsidRPr="00012C17">
        <w:rPr>
          <w:bCs/>
          <w:color w:val="000000"/>
          <w:sz w:val="24"/>
        </w:rPr>
        <w:t xml:space="preserve">he ECAP as a permanent and independent </w:t>
      </w:r>
      <w:r w:rsidR="001A71CE" w:rsidRPr="00012C17">
        <w:rPr>
          <w:bCs/>
          <w:color w:val="000000"/>
          <w:sz w:val="24"/>
        </w:rPr>
        <w:t>authority</w:t>
      </w:r>
      <w:r w:rsidRPr="00012C17">
        <w:rPr>
          <w:bCs/>
          <w:color w:val="000000"/>
          <w:sz w:val="24"/>
        </w:rPr>
        <w:t xml:space="preserve"> as foreseen by the LGE and the respective amendments and is the competent body to decide on election complaints </w:t>
      </w:r>
      <w:r w:rsidR="001A71CE" w:rsidRPr="00012C17">
        <w:rPr>
          <w:bCs/>
          <w:color w:val="000000"/>
          <w:sz w:val="24"/>
        </w:rPr>
        <w:t xml:space="preserve">and appeals </w:t>
      </w:r>
      <w:r w:rsidRPr="00012C17">
        <w:rPr>
          <w:bCs/>
          <w:color w:val="000000"/>
          <w:sz w:val="24"/>
        </w:rPr>
        <w:t xml:space="preserve">relating to the </w:t>
      </w:r>
      <w:r w:rsidR="00174C08" w:rsidRPr="00012C17">
        <w:rPr>
          <w:bCs/>
          <w:color w:val="000000"/>
          <w:sz w:val="24"/>
        </w:rPr>
        <w:t>electoral</w:t>
      </w:r>
      <w:r w:rsidRPr="00012C17">
        <w:rPr>
          <w:bCs/>
          <w:color w:val="000000"/>
          <w:sz w:val="24"/>
        </w:rPr>
        <w:t xml:space="preserve"> process and, finally, a judicial body, the Supreme Court which reviews ECAP decisions </w:t>
      </w:r>
      <w:r w:rsidR="001A71CE" w:rsidRPr="00012C17">
        <w:rPr>
          <w:bCs/>
          <w:color w:val="000000"/>
          <w:sz w:val="24"/>
        </w:rPr>
        <w:t>upon the</w:t>
      </w:r>
      <w:r w:rsidRPr="00012C17">
        <w:rPr>
          <w:bCs/>
          <w:color w:val="000000"/>
          <w:sz w:val="24"/>
        </w:rPr>
        <w:t xml:space="preserve"> </w:t>
      </w:r>
      <w:r w:rsidR="00DC30B7" w:rsidRPr="00012C17">
        <w:rPr>
          <w:bCs/>
          <w:color w:val="000000"/>
          <w:sz w:val="24"/>
        </w:rPr>
        <w:t>complaints</w:t>
      </w:r>
      <w:r w:rsidRPr="00012C17">
        <w:rPr>
          <w:bCs/>
          <w:color w:val="000000"/>
          <w:sz w:val="24"/>
        </w:rPr>
        <w:t>.</w:t>
      </w:r>
    </w:p>
    <w:p w:rsidR="001A71CE" w:rsidRPr="00012C17" w:rsidRDefault="001A71CE" w:rsidP="001B11C5">
      <w:pPr>
        <w:pStyle w:val="ListParagraph"/>
        <w:spacing w:after="0" w:line="240" w:lineRule="auto"/>
        <w:rPr>
          <w:bCs/>
          <w:color w:val="000000"/>
          <w:sz w:val="24"/>
          <w:lang w:val="en-US"/>
        </w:rPr>
      </w:pPr>
    </w:p>
    <w:p w:rsidR="001A71CE" w:rsidRPr="00012C17" w:rsidRDefault="001A71CE" w:rsidP="001B11C5">
      <w:pPr>
        <w:numPr>
          <w:ilvl w:val="0"/>
          <w:numId w:val="1"/>
        </w:numPr>
        <w:spacing w:line="240" w:lineRule="auto"/>
        <w:ind w:left="630" w:hanging="630"/>
        <w:rPr>
          <w:rFonts w:cs="Tahoma"/>
          <w:bCs/>
          <w:color w:val="000000"/>
          <w:sz w:val="24"/>
        </w:rPr>
      </w:pPr>
      <w:r w:rsidRPr="00012C17">
        <w:rPr>
          <w:rFonts w:cs="Tahoma"/>
          <w:bCs/>
          <w:color w:val="000000"/>
          <w:sz w:val="24"/>
        </w:rPr>
        <w:t>And finally, with regard to the third issue, namely, “</w:t>
      </w:r>
      <w:r w:rsidRPr="00012C17">
        <w:rPr>
          <w:rFonts w:cs="Tahoma"/>
          <w:bCs/>
          <w:i/>
          <w:iCs/>
          <w:color w:val="000000"/>
          <w:sz w:val="24"/>
        </w:rPr>
        <w:t>cumulative nature of the proceedings</w:t>
      </w:r>
      <w:r w:rsidRPr="00012C17">
        <w:rPr>
          <w:rFonts w:cs="Tahoma"/>
          <w:bCs/>
          <w:color w:val="000000"/>
          <w:sz w:val="24"/>
        </w:rPr>
        <w:t xml:space="preserve">”, the </w:t>
      </w:r>
      <w:r w:rsidR="00012C17" w:rsidRPr="00012C17">
        <w:rPr>
          <w:rFonts w:cs="Tahoma"/>
          <w:bCs/>
          <w:color w:val="000000"/>
          <w:sz w:val="24"/>
        </w:rPr>
        <w:t>case-law</w:t>
      </w:r>
      <w:r w:rsidRPr="00012C17">
        <w:rPr>
          <w:rFonts w:cs="Tahoma"/>
          <w:bCs/>
          <w:color w:val="000000"/>
          <w:sz w:val="24"/>
        </w:rPr>
        <w:t xml:space="preserve"> of the EC</w:t>
      </w:r>
      <w:r w:rsidR="00174C08" w:rsidRPr="00012C17">
        <w:rPr>
          <w:rFonts w:cs="Tahoma"/>
          <w:bCs/>
          <w:color w:val="000000"/>
          <w:sz w:val="24"/>
        </w:rPr>
        <w:t>t</w:t>
      </w:r>
      <w:r w:rsidRPr="00012C17">
        <w:rPr>
          <w:rFonts w:cs="Tahoma"/>
          <w:bCs/>
          <w:color w:val="000000"/>
          <w:sz w:val="24"/>
        </w:rPr>
        <w:t xml:space="preserve">HR shows that the complete accumulation of </w:t>
      </w:r>
      <w:r w:rsidRPr="00012C17">
        <w:rPr>
          <w:color w:val="000000"/>
          <w:sz w:val="24"/>
        </w:rPr>
        <w:t>redress</w:t>
      </w:r>
      <w:r w:rsidRPr="00012C17">
        <w:rPr>
          <w:rFonts w:cs="Tahoma"/>
          <w:bCs/>
          <w:color w:val="000000"/>
          <w:sz w:val="24"/>
        </w:rPr>
        <w:t xml:space="preserve"> procedures and channels in a legal system must be taken into account when deciding whether or not the Applicant </w:t>
      </w:r>
      <w:r w:rsidR="00743007" w:rsidRPr="00012C17">
        <w:rPr>
          <w:rFonts w:cs="Tahoma"/>
          <w:bCs/>
          <w:color w:val="000000"/>
          <w:sz w:val="24"/>
        </w:rPr>
        <w:t>had an</w:t>
      </w:r>
      <w:r w:rsidRPr="00012C17">
        <w:rPr>
          <w:rFonts w:cs="Tahoma"/>
          <w:bCs/>
          <w:color w:val="000000"/>
          <w:sz w:val="24"/>
        </w:rPr>
        <w:t xml:space="preserve"> effective legal remedy available or not. In this respect, the ECtHR has emphasized that even if any legal remedy itself cannot meet all of the requirements of Article 13 of the ECHR - the </w:t>
      </w:r>
      <w:r w:rsidR="00743007" w:rsidRPr="00012C17">
        <w:rPr>
          <w:rFonts w:cs="Tahoma"/>
          <w:bCs/>
          <w:color w:val="000000"/>
          <w:sz w:val="24"/>
        </w:rPr>
        <w:t xml:space="preserve">aggregate </w:t>
      </w:r>
      <w:r w:rsidRPr="00012C17">
        <w:rPr>
          <w:rFonts w:cs="Tahoma"/>
          <w:bCs/>
          <w:color w:val="000000"/>
          <w:sz w:val="24"/>
        </w:rPr>
        <w:t xml:space="preserve">of legal remedies may meet </w:t>
      </w:r>
      <w:r w:rsidR="00743007" w:rsidRPr="00012C17">
        <w:rPr>
          <w:rFonts w:cs="Tahoma"/>
          <w:bCs/>
          <w:color w:val="000000"/>
          <w:sz w:val="24"/>
        </w:rPr>
        <w:t xml:space="preserve">such </w:t>
      </w:r>
      <w:r w:rsidRPr="00012C17">
        <w:rPr>
          <w:rFonts w:cs="Tahoma"/>
          <w:bCs/>
          <w:color w:val="000000"/>
          <w:sz w:val="24"/>
        </w:rPr>
        <w:t xml:space="preserve">requirements. (See ECHR case, </w:t>
      </w:r>
      <w:r w:rsidRPr="00012C17">
        <w:rPr>
          <w:rFonts w:cs="Tahoma"/>
          <w:bCs/>
          <w:i/>
          <w:iCs/>
          <w:color w:val="000000"/>
          <w:sz w:val="24"/>
        </w:rPr>
        <w:t>Surmeli v. Germany</w:t>
      </w:r>
      <w:r w:rsidRPr="00012C17">
        <w:rPr>
          <w:rFonts w:cs="Tahoma"/>
          <w:bCs/>
          <w:color w:val="000000"/>
          <w:sz w:val="24"/>
        </w:rPr>
        <w:t xml:space="preserve">, No. 75529/01, Judgment of 8 June 2006, see also </w:t>
      </w:r>
      <w:r w:rsidRPr="00012C17">
        <w:rPr>
          <w:rFonts w:cs="Tahoma"/>
          <w:bCs/>
          <w:i/>
          <w:iCs/>
          <w:color w:val="000000"/>
          <w:sz w:val="24"/>
        </w:rPr>
        <w:t>Leander v. Sweden</w:t>
      </w:r>
      <w:r w:rsidRPr="00012C17">
        <w:rPr>
          <w:rFonts w:cs="Tahoma"/>
          <w:bCs/>
          <w:color w:val="000000"/>
          <w:sz w:val="24"/>
        </w:rPr>
        <w:t>,</w:t>
      </w:r>
      <w:r w:rsidR="00347D4F" w:rsidRPr="00012C17">
        <w:rPr>
          <w:rFonts w:cs="Tahoma"/>
          <w:bCs/>
          <w:color w:val="000000"/>
          <w:sz w:val="24"/>
        </w:rPr>
        <w:t xml:space="preserve"> no. </w:t>
      </w:r>
      <w:hyperlink r:id="rId7" w:anchor="{&quot;appno&quot;:[&quot;9248/81&quot;]}" w:tgtFrame="_blank" w:history="1">
        <w:r w:rsidR="00347D4F" w:rsidRPr="00012C17">
          <w:rPr>
            <w:rStyle w:val="Hyperlink"/>
            <w:color w:val="000000"/>
            <w:sz w:val="24"/>
            <w:u w:val="none"/>
          </w:rPr>
          <w:t>9248/81</w:t>
        </w:r>
      </w:hyperlink>
      <w:r w:rsidR="00347D4F" w:rsidRPr="00012C17">
        <w:rPr>
          <w:rStyle w:val="s6b621b36"/>
          <w:color w:val="000000"/>
          <w:sz w:val="24"/>
        </w:rPr>
        <w:t xml:space="preserve">, </w:t>
      </w:r>
      <w:r w:rsidR="00347D4F" w:rsidRPr="00012C17">
        <w:rPr>
          <w:rFonts w:cs="Tahoma"/>
          <w:bCs/>
          <w:color w:val="000000"/>
          <w:sz w:val="24"/>
        </w:rPr>
        <w:t>Judgment 26 March 1987</w:t>
      </w:r>
      <w:r w:rsidRPr="00012C17">
        <w:rPr>
          <w:rFonts w:cs="Tahoma"/>
          <w:bCs/>
          <w:color w:val="000000"/>
          <w:sz w:val="24"/>
        </w:rPr>
        <w:t>).</w:t>
      </w:r>
    </w:p>
    <w:p w:rsidR="001A71CE" w:rsidRPr="00012C17" w:rsidRDefault="001A71CE" w:rsidP="001B11C5">
      <w:pPr>
        <w:tabs>
          <w:tab w:val="left" w:pos="540"/>
          <w:tab w:val="left" w:pos="720"/>
        </w:tabs>
        <w:spacing w:line="240" w:lineRule="auto"/>
        <w:ind w:left="540"/>
        <w:rPr>
          <w:rFonts w:cs="Tahoma"/>
          <w:bCs/>
          <w:color w:val="000000"/>
          <w:sz w:val="24"/>
        </w:rPr>
      </w:pPr>
    </w:p>
    <w:p w:rsidR="001A71CE" w:rsidRPr="00012C17" w:rsidRDefault="001A71CE" w:rsidP="001B11C5">
      <w:pPr>
        <w:numPr>
          <w:ilvl w:val="0"/>
          <w:numId w:val="1"/>
        </w:numPr>
        <w:spacing w:line="240" w:lineRule="auto"/>
        <w:ind w:left="630" w:hanging="630"/>
        <w:rPr>
          <w:bCs/>
          <w:color w:val="000000"/>
          <w:sz w:val="24"/>
        </w:rPr>
      </w:pPr>
      <w:r w:rsidRPr="00012C17">
        <w:rPr>
          <w:bCs/>
          <w:color w:val="000000"/>
          <w:sz w:val="24"/>
        </w:rPr>
        <w:t xml:space="preserve">In this respect, the Court, having in mind that it has already found that the two requirements of the first two criteria were met, also finds that the proceedings in its entirety has enabled and provided an effective legal remedy in addressing the Applicants' allegations. Consequently, the Court finds that the criteria for assessing </w:t>
      </w:r>
      <w:r w:rsidRPr="00012C17">
        <w:rPr>
          <w:color w:val="000000"/>
          <w:sz w:val="24"/>
        </w:rPr>
        <w:t>the</w:t>
      </w:r>
      <w:r w:rsidRPr="00012C17">
        <w:rPr>
          <w:bCs/>
          <w:color w:val="000000"/>
          <w:sz w:val="24"/>
        </w:rPr>
        <w:t xml:space="preserve"> effectiveness of an effective legal remedy within the meaning of Article 13 of the ECHR in the circumstances of the present case </w:t>
      </w:r>
      <w:r w:rsidR="00174C08" w:rsidRPr="00012C17">
        <w:rPr>
          <w:bCs/>
          <w:color w:val="000000"/>
          <w:sz w:val="24"/>
        </w:rPr>
        <w:t xml:space="preserve">, </w:t>
      </w:r>
      <w:r w:rsidRPr="00012C17">
        <w:rPr>
          <w:bCs/>
          <w:color w:val="000000"/>
          <w:sz w:val="24"/>
        </w:rPr>
        <w:t>have been met.</w:t>
      </w:r>
    </w:p>
    <w:p w:rsidR="001A71CE" w:rsidRPr="00012C17" w:rsidRDefault="001A71CE" w:rsidP="001B11C5">
      <w:pPr>
        <w:pStyle w:val="ListParagraph"/>
        <w:spacing w:after="0" w:line="240" w:lineRule="auto"/>
        <w:rPr>
          <w:bCs/>
          <w:color w:val="000000"/>
          <w:sz w:val="24"/>
          <w:lang w:val="en-US"/>
        </w:rPr>
      </w:pPr>
    </w:p>
    <w:p w:rsidR="00E84FF8" w:rsidRPr="00012C17" w:rsidRDefault="00E84FF8" w:rsidP="001B11C5">
      <w:pPr>
        <w:numPr>
          <w:ilvl w:val="0"/>
          <w:numId w:val="1"/>
        </w:numPr>
        <w:spacing w:line="240" w:lineRule="auto"/>
        <w:ind w:left="630" w:hanging="630"/>
        <w:rPr>
          <w:bCs/>
          <w:color w:val="000000"/>
          <w:sz w:val="24"/>
        </w:rPr>
      </w:pPr>
      <w:r w:rsidRPr="00012C17">
        <w:rPr>
          <w:bCs/>
          <w:color w:val="000000"/>
          <w:sz w:val="24"/>
        </w:rPr>
        <w:t xml:space="preserve">In support of this conclusion, the Court also refers to the ECtHR </w:t>
      </w:r>
      <w:r w:rsidR="00012C17" w:rsidRPr="00012C17">
        <w:rPr>
          <w:bCs/>
          <w:color w:val="000000"/>
          <w:sz w:val="24"/>
        </w:rPr>
        <w:t>case-law</w:t>
      </w:r>
      <w:r w:rsidRPr="00012C17">
        <w:rPr>
          <w:bCs/>
          <w:color w:val="000000"/>
          <w:sz w:val="24"/>
        </w:rPr>
        <w:t xml:space="preserve"> where it has found a violation of Article 3 of </w:t>
      </w:r>
      <w:r w:rsidR="00C40D12" w:rsidRPr="00012C17">
        <w:rPr>
          <w:bCs/>
          <w:color w:val="000000"/>
          <w:sz w:val="24"/>
        </w:rPr>
        <w:t>Protocol no.1</w:t>
      </w:r>
      <w:r w:rsidRPr="00012C17">
        <w:rPr>
          <w:bCs/>
          <w:color w:val="000000"/>
          <w:sz w:val="24"/>
        </w:rPr>
        <w:t xml:space="preserve"> to the ECHR in </w:t>
      </w:r>
      <w:r w:rsidR="00174C08" w:rsidRPr="00012C17">
        <w:rPr>
          <w:bCs/>
          <w:color w:val="000000"/>
          <w:sz w:val="24"/>
        </w:rPr>
        <w:t>conjunction with</w:t>
      </w:r>
      <w:r w:rsidRPr="00012C17">
        <w:rPr>
          <w:bCs/>
          <w:color w:val="000000"/>
          <w:sz w:val="24"/>
        </w:rPr>
        <w:t xml:space="preserve"> Article 13 of the ECHR, </w:t>
      </w:r>
      <w:r w:rsidR="00174C08" w:rsidRPr="00012C17">
        <w:rPr>
          <w:bCs/>
          <w:color w:val="000000"/>
          <w:sz w:val="24"/>
        </w:rPr>
        <w:t>namely</w:t>
      </w:r>
      <w:r w:rsidRPr="00012C17">
        <w:rPr>
          <w:bCs/>
          <w:color w:val="000000"/>
          <w:sz w:val="24"/>
        </w:rPr>
        <w:t xml:space="preserve"> in cases where it has found a violation of the right to a legal remedy related to the election rights, cases that coincide with the allegations of the Applicants</w:t>
      </w:r>
      <w:r w:rsidRPr="00012C17">
        <w:rPr>
          <w:rFonts w:eastAsia="Times New Roman"/>
          <w:color w:val="000000"/>
          <w:sz w:val="24"/>
        </w:rPr>
        <w:t xml:space="preserve">. </w:t>
      </w:r>
    </w:p>
    <w:p w:rsidR="00A07553" w:rsidRPr="00012C17" w:rsidRDefault="00A07553" w:rsidP="001B11C5">
      <w:pPr>
        <w:pStyle w:val="ListParagraph"/>
        <w:spacing w:after="0" w:line="240" w:lineRule="auto"/>
        <w:rPr>
          <w:bCs/>
          <w:color w:val="000000"/>
          <w:sz w:val="24"/>
          <w:lang w:val="en-US"/>
        </w:rPr>
      </w:pPr>
    </w:p>
    <w:p w:rsidR="00A07553" w:rsidRPr="00012C17" w:rsidRDefault="00A07553" w:rsidP="001B11C5">
      <w:pPr>
        <w:numPr>
          <w:ilvl w:val="0"/>
          <w:numId w:val="1"/>
        </w:numPr>
        <w:spacing w:line="240" w:lineRule="auto"/>
        <w:ind w:left="630" w:hanging="630"/>
        <w:rPr>
          <w:bCs/>
          <w:color w:val="000000"/>
          <w:sz w:val="24"/>
        </w:rPr>
      </w:pPr>
      <w:r w:rsidRPr="00012C17">
        <w:rPr>
          <w:rFonts w:eastAsia="Times New Roman"/>
          <w:bCs/>
          <w:color w:val="000000"/>
          <w:sz w:val="24"/>
        </w:rPr>
        <w:t xml:space="preserve">In case of </w:t>
      </w:r>
      <w:r w:rsidRPr="00012C17">
        <w:rPr>
          <w:rFonts w:eastAsia="Times New Roman"/>
          <w:bCs/>
          <w:i/>
          <w:iCs/>
          <w:color w:val="000000"/>
          <w:sz w:val="24"/>
        </w:rPr>
        <w:t>Petkov and Others v. Bulgaria</w:t>
      </w:r>
      <w:r w:rsidRPr="00012C17">
        <w:rPr>
          <w:rFonts w:eastAsia="Times New Roman"/>
          <w:bCs/>
          <w:color w:val="000000"/>
          <w:sz w:val="24"/>
        </w:rPr>
        <w:t xml:space="preserve"> (</w:t>
      </w:r>
      <w:r w:rsidR="00DC30B7" w:rsidRPr="00012C17">
        <w:rPr>
          <w:rFonts w:eastAsia="Times New Roman"/>
          <w:bCs/>
          <w:color w:val="000000"/>
          <w:sz w:val="24"/>
        </w:rPr>
        <w:t xml:space="preserve">see </w:t>
      </w:r>
      <w:r w:rsidRPr="00012C17">
        <w:rPr>
          <w:rFonts w:eastAsia="Times New Roman"/>
          <w:bCs/>
          <w:color w:val="000000"/>
          <w:sz w:val="24"/>
        </w:rPr>
        <w:t xml:space="preserve">case of ECtHR, </w:t>
      </w:r>
      <w:r w:rsidRPr="00012C17">
        <w:rPr>
          <w:rFonts w:eastAsia="Times New Roman"/>
          <w:bCs/>
          <w:i/>
          <w:iCs/>
          <w:color w:val="000000"/>
          <w:sz w:val="24"/>
        </w:rPr>
        <w:t>Petkov and Others v. Bulgaria,</w:t>
      </w:r>
      <w:r w:rsidRPr="00012C17">
        <w:rPr>
          <w:rFonts w:eastAsia="Times New Roman"/>
          <w:bCs/>
          <w:color w:val="000000"/>
          <w:sz w:val="24"/>
        </w:rPr>
        <w:t xml:space="preserve"> no. 77568/01, 178/02 and 505/02 Judgment of 11 July 2009), the Applicants alleged that they had been prevented from running for parliamentary elections and that they did not have an effective remedy to challenge such prohibition. They were part of the list of the election candidates, but were </w:t>
      </w:r>
      <w:r w:rsidRPr="00012C17">
        <w:rPr>
          <w:color w:val="000000"/>
          <w:sz w:val="24"/>
        </w:rPr>
        <w:t>removed</w:t>
      </w:r>
      <w:r w:rsidRPr="00012C17">
        <w:rPr>
          <w:rFonts w:eastAsia="Times New Roman"/>
          <w:bCs/>
          <w:color w:val="000000"/>
          <w:sz w:val="24"/>
        </w:rPr>
        <w:t xml:space="preserve"> from the list on suspicion of collaborating with former state security agencies in communist times in Bulgaria. Later </w:t>
      </w:r>
      <w:r w:rsidR="00743007" w:rsidRPr="00012C17">
        <w:rPr>
          <w:rFonts w:eastAsia="Times New Roman"/>
          <w:bCs/>
          <w:color w:val="000000"/>
          <w:sz w:val="24"/>
        </w:rPr>
        <w:t xml:space="preserve">on, </w:t>
      </w:r>
      <w:r w:rsidRPr="00012C17">
        <w:rPr>
          <w:rFonts w:eastAsia="Times New Roman"/>
          <w:bCs/>
          <w:color w:val="000000"/>
          <w:sz w:val="24"/>
        </w:rPr>
        <w:t>Bulgaria's Supreme Administrative Court ordered all three new applicants to return to the candidate lists, however the decisions of that court were not implemented and parliamentary elections were held without the Applicants as candidates</w:t>
      </w:r>
      <w:r w:rsidRPr="00012C17">
        <w:rPr>
          <w:rFonts w:eastAsia="Times New Roman"/>
          <w:color w:val="000000"/>
          <w:sz w:val="24"/>
        </w:rPr>
        <w:t xml:space="preserve">. The ECtHR found a violation of Article 3 of </w:t>
      </w:r>
      <w:r w:rsidR="00C40D12" w:rsidRPr="00012C17">
        <w:rPr>
          <w:rFonts w:eastAsia="Times New Roman"/>
          <w:color w:val="000000"/>
          <w:sz w:val="24"/>
        </w:rPr>
        <w:t>Protocol no.1</w:t>
      </w:r>
      <w:r w:rsidRPr="00012C17">
        <w:rPr>
          <w:rFonts w:eastAsia="Times New Roman"/>
          <w:color w:val="000000"/>
          <w:sz w:val="24"/>
        </w:rPr>
        <w:t xml:space="preserve"> to the ECHR as it noted that (i) the election rules concerning de-registration were issued only 2 and a half months before the elections, which was </w:t>
      </w:r>
      <w:r w:rsidR="00743007" w:rsidRPr="00012C17">
        <w:rPr>
          <w:rFonts w:eastAsia="Times New Roman"/>
          <w:color w:val="000000"/>
          <w:sz w:val="24"/>
        </w:rPr>
        <w:t>not in compliance</w:t>
      </w:r>
      <w:r w:rsidRPr="00012C17">
        <w:rPr>
          <w:rFonts w:eastAsia="Times New Roman"/>
          <w:color w:val="000000"/>
          <w:sz w:val="24"/>
        </w:rPr>
        <w:t xml:space="preserve"> with the recommendations of the Venice Commission; (ii) the mechanism as such posed significant practical, legal and temporal difficulties; and (iii) the practical issues of this legal initiative were clarified by the CEC only 12 days before the elections </w:t>
      </w:r>
      <w:r w:rsidR="00743007" w:rsidRPr="00012C17">
        <w:rPr>
          <w:rFonts w:eastAsia="Times New Roman"/>
          <w:color w:val="000000"/>
          <w:sz w:val="24"/>
        </w:rPr>
        <w:t>although they</w:t>
      </w:r>
      <w:r w:rsidRPr="00012C17">
        <w:rPr>
          <w:rFonts w:eastAsia="Times New Roman"/>
          <w:color w:val="000000"/>
          <w:sz w:val="24"/>
        </w:rPr>
        <w:t xml:space="preserve"> could have been clarified much earlier. After noting these flaws, the ECtHR found a violation based on the failure of the Bulgarian authorities to </w:t>
      </w:r>
      <w:r w:rsidRPr="00012C17">
        <w:rPr>
          <w:rFonts w:eastAsia="Times New Roman"/>
          <w:color w:val="000000"/>
          <w:sz w:val="24"/>
        </w:rPr>
        <w:lastRenderedPageBreak/>
        <w:t xml:space="preserve">pursue final decisions requiring re-placement of Applicants on the list of candidates. The violation of Article 13 in </w:t>
      </w:r>
      <w:r w:rsidR="00DC30B7" w:rsidRPr="00012C17">
        <w:rPr>
          <w:rFonts w:eastAsia="Times New Roman"/>
          <w:color w:val="000000"/>
          <w:sz w:val="24"/>
        </w:rPr>
        <w:t>the circumstances of the present case</w:t>
      </w:r>
      <w:r w:rsidRPr="00012C17">
        <w:rPr>
          <w:rFonts w:eastAsia="Times New Roman"/>
          <w:color w:val="000000"/>
          <w:sz w:val="24"/>
        </w:rPr>
        <w:t xml:space="preserve"> was found for the reason that the ECtHR was not satisfied that the proceedings before the Constitutional Court of Bulgaria had the capacity to provide a sufficient correction to the Applicants.</w:t>
      </w:r>
    </w:p>
    <w:p w:rsidR="006A4D44" w:rsidRPr="00012C17" w:rsidRDefault="006A4D44" w:rsidP="001B11C5">
      <w:pPr>
        <w:spacing w:line="240" w:lineRule="auto"/>
        <w:rPr>
          <w:bCs/>
          <w:color w:val="000000"/>
          <w:sz w:val="24"/>
        </w:rPr>
      </w:pPr>
    </w:p>
    <w:p w:rsidR="00A07553" w:rsidRPr="00012C17" w:rsidRDefault="00A07553" w:rsidP="001B11C5">
      <w:pPr>
        <w:numPr>
          <w:ilvl w:val="0"/>
          <w:numId w:val="1"/>
        </w:numPr>
        <w:spacing w:line="240" w:lineRule="auto"/>
        <w:ind w:left="630" w:hanging="630"/>
        <w:rPr>
          <w:bCs/>
          <w:color w:val="000000"/>
          <w:sz w:val="24"/>
        </w:rPr>
      </w:pPr>
      <w:r w:rsidRPr="00012C17">
        <w:rPr>
          <w:rFonts w:eastAsia="Times New Roman"/>
          <w:bCs/>
          <w:iCs/>
          <w:color w:val="000000"/>
          <w:sz w:val="24"/>
        </w:rPr>
        <w:t xml:space="preserve">In case </w:t>
      </w:r>
      <w:r w:rsidRPr="00012C17">
        <w:rPr>
          <w:rFonts w:eastAsia="Times New Roman"/>
          <w:bCs/>
          <w:i/>
          <w:color w:val="000000"/>
          <w:sz w:val="24"/>
        </w:rPr>
        <w:t>Grosaru v. Romania</w:t>
      </w:r>
      <w:r w:rsidRPr="00012C17">
        <w:rPr>
          <w:rFonts w:eastAsia="Times New Roman"/>
          <w:bCs/>
          <w:iCs/>
          <w:color w:val="000000"/>
          <w:sz w:val="24"/>
        </w:rPr>
        <w:t xml:space="preserve"> (</w:t>
      </w:r>
      <w:r w:rsidRPr="00012C17">
        <w:rPr>
          <w:rFonts w:eastAsia="Times New Roman"/>
          <w:bCs/>
          <w:color w:val="000000"/>
          <w:sz w:val="24"/>
        </w:rPr>
        <w:t>see</w:t>
      </w:r>
      <w:r w:rsidRPr="00012C17">
        <w:rPr>
          <w:rFonts w:eastAsia="Times New Roman"/>
          <w:color w:val="000000"/>
          <w:sz w:val="24"/>
        </w:rPr>
        <w:t xml:space="preserve"> ECtHR case</w:t>
      </w:r>
      <w:r w:rsidR="00BA4B74" w:rsidRPr="00012C17">
        <w:rPr>
          <w:rFonts w:eastAsia="Times New Roman"/>
          <w:color w:val="000000"/>
          <w:sz w:val="24"/>
        </w:rPr>
        <w:t xml:space="preserve"> </w:t>
      </w:r>
      <w:r w:rsidR="00BA4B74" w:rsidRPr="00012C17">
        <w:rPr>
          <w:rFonts w:eastAsia="Times New Roman"/>
          <w:bCs/>
          <w:i/>
          <w:color w:val="000000"/>
          <w:sz w:val="24"/>
        </w:rPr>
        <w:t xml:space="preserve">Grosaru v. Romania, </w:t>
      </w:r>
      <w:r w:rsidR="00BA4B74" w:rsidRPr="00012C17">
        <w:rPr>
          <w:rFonts w:cs="Tahoma"/>
          <w:bCs/>
          <w:color w:val="000000"/>
          <w:sz w:val="24"/>
        </w:rPr>
        <w:t xml:space="preserve">no. 78039/01, Judgment of 2 </w:t>
      </w:r>
      <w:r w:rsidR="00BA4B74" w:rsidRPr="00012C17">
        <w:rPr>
          <w:color w:val="000000"/>
          <w:sz w:val="24"/>
        </w:rPr>
        <w:t>March</w:t>
      </w:r>
      <w:r w:rsidR="00BA4B74" w:rsidRPr="00012C17">
        <w:rPr>
          <w:rFonts w:cs="Tahoma"/>
          <w:bCs/>
          <w:color w:val="000000"/>
          <w:sz w:val="24"/>
        </w:rPr>
        <w:t xml:space="preserve"> 201</w:t>
      </w:r>
      <w:r w:rsidR="00012C17">
        <w:rPr>
          <w:rFonts w:cs="Tahoma"/>
          <w:bCs/>
          <w:color w:val="000000"/>
          <w:sz w:val="24"/>
        </w:rPr>
        <w:t>0)</w:t>
      </w:r>
      <w:r w:rsidR="00BA4B74" w:rsidRPr="00012C17">
        <w:rPr>
          <w:rFonts w:eastAsia="Times New Roman"/>
          <w:bCs/>
          <w:iCs/>
          <w:color w:val="000000"/>
          <w:sz w:val="24"/>
        </w:rPr>
        <w:t xml:space="preserve">, </w:t>
      </w:r>
      <w:r w:rsidR="00BA4B74" w:rsidRPr="00012C17">
        <w:rPr>
          <w:rFonts w:eastAsia="Times New Roman"/>
          <w:color w:val="000000"/>
          <w:sz w:val="24"/>
        </w:rPr>
        <w:t>t</w:t>
      </w:r>
      <w:r w:rsidRPr="00012C17">
        <w:rPr>
          <w:rFonts w:eastAsia="Times New Roman"/>
          <w:color w:val="000000"/>
          <w:sz w:val="24"/>
        </w:rPr>
        <w:t xml:space="preserve">he Applicant was a candidate from the ranks of the Italian minority in Romania who competed for a seat in the Assembly. He had won the highest number of votes at national level; while another candidate, also from the community of </w:t>
      </w:r>
      <w:r w:rsidR="00BA4B74" w:rsidRPr="00012C17">
        <w:rPr>
          <w:rFonts w:eastAsia="Times New Roman"/>
          <w:color w:val="000000"/>
          <w:sz w:val="24"/>
        </w:rPr>
        <w:t xml:space="preserve">Italians of </w:t>
      </w:r>
      <w:r w:rsidRPr="00012C17">
        <w:rPr>
          <w:rFonts w:eastAsia="Times New Roman"/>
          <w:color w:val="000000"/>
          <w:sz w:val="24"/>
        </w:rPr>
        <w:t>Rumania, had won the most votes in a certain zone (</w:t>
      </w:r>
      <w:r w:rsidRPr="00012C17">
        <w:rPr>
          <w:rFonts w:eastAsia="Times New Roman"/>
          <w:i/>
          <w:color w:val="000000"/>
          <w:sz w:val="24"/>
        </w:rPr>
        <w:t>“</w:t>
      </w:r>
      <w:r w:rsidRPr="00012C17">
        <w:rPr>
          <w:rFonts w:eastAsia="Times New Roman"/>
          <w:i/>
          <w:iCs/>
          <w:color w:val="000000"/>
          <w:sz w:val="24"/>
        </w:rPr>
        <w:t>single contituency”</w:t>
      </w:r>
      <w:r w:rsidRPr="00012C17">
        <w:rPr>
          <w:rFonts w:eastAsia="Times New Roman"/>
          <w:color w:val="000000"/>
          <w:sz w:val="24"/>
        </w:rPr>
        <w:t xml:space="preserve">). The winner of the seat in the Assembly was declared the other candidate and not the Applicant. The problem </w:t>
      </w:r>
      <w:r w:rsidR="00743007" w:rsidRPr="00012C17">
        <w:rPr>
          <w:rFonts w:eastAsia="Times New Roman"/>
          <w:color w:val="000000"/>
          <w:sz w:val="24"/>
        </w:rPr>
        <w:t xml:space="preserve">that </w:t>
      </w:r>
      <w:r w:rsidRPr="00012C17">
        <w:rPr>
          <w:rFonts w:eastAsia="Times New Roman"/>
          <w:color w:val="000000"/>
          <w:sz w:val="24"/>
        </w:rPr>
        <w:t xml:space="preserve">the ECtHR found in this case was related to the fact that the CEC equivalent in Romania declared the winner with an arbitrary application of the law because the law specifically did not state whether the winner </w:t>
      </w:r>
      <w:r w:rsidR="00BA4B74" w:rsidRPr="00012C17">
        <w:rPr>
          <w:rFonts w:eastAsia="Times New Roman"/>
          <w:color w:val="000000"/>
          <w:sz w:val="24"/>
        </w:rPr>
        <w:t xml:space="preserve">should be declared </w:t>
      </w:r>
      <w:r w:rsidRPr="00012C17">
        <w:rPr>
          <w:rFonts w:eastAsia="Times New Roman"/>
          <w:color w:val="000000"/>
          <w:sz w:val="24"/>
        </w:rPr>
        <w:t xml:space="preserve">the one who wins at the national or at the level of the electoral zone. Thus, the case concerned the lack of clarity of the electoral law with regard to national minorities and the lack of impartiality of the </w:t>
      </w:r>
      <w:r w:rsidR="00BA4B74" w:rsidRPr="00012C17">
        <w:rPr>
          <w:rFonts w:eastAsia="Times New Roman"/>
          <w:color w:val="000000"/>
          <w:sz w:val="24"/>
        </w:rPr>
        <w:t>authorities</w:t>
      </w:r>
      <w:r w:rsidRPr="00012C17">
        <w:rPr>
          <w:rFonts w:eastAsia="Times New Roman"/>
          <w:color w:val="000000"/>
          <w:sz w:val="24"/>
        </w:rPr>
        <w:t xml:space="preserve"> that reviewed the Applicant's request which were considered as violations that infringed the essence of the right guaranteed by Article 3 of </w:t>
      </w:r>
      <w:r w:rsidR="00C40D12" w:rsidRPr="00012C17">
        <w:rPr>
          <w:rFonts w:eastAsia="Times New Roman"/>
          <w:color w:val="000000"/>
          <w:sz w:val="24"/>
        </w:rPr>
        <w:t>Protocol no.1</w:t>
      </w:r>
      <w:r w:rsidRPr="00012C17">
        <w:rPr>
          <w:rFonts w:eastAsia="Times New Roman"/>
          <w:color w:val="000000"/>
          <w:sz w:val="24"/>
        </w:rPr>
        <w:t xml:space="preserve"> of the ECHR. Meanwhile, the violation of Article 13 was found precisely because no local court had ruled on the interpretation of that </w:t>
      </w:r>
      <w:r w:rsidR="00174C08" w:rsidRPr="00012C17">
        <w:rPr>
          <w:rFonts w:eastAsia="Times New Roman"/>
          <w:color w:val="000000"/>
          <w:sz w:val="24"/>
        </w:rPr>
        <w:t>challenged</w:t>
      </w:r>
      <w:r w:rsidRPr="00012C17">
        <w:rPr>
          <w:rFonts w:eastAsia="Times New Roman"/>
          <w:color w:val="000000"/>
          <w:sz w:val="24"/>
        </w:rPr>
        <w:t xml:space="preserve"> legal provision filed by the Applicant. On one hand, the Supreme Court of Romania declared inadmissible the Applicant's application as it considered that the decisions of the CEC were final; and, on the other hand, the Constitutional Court of Romania had declared itself incompetent and without jurisdiction to decide on the election </w:t>
      </w:r>
      <w:r w:rsidR="00743007" w:rsidRPr="00012C17">
        <w:rPr>
          <w:rFonts w:eastAsia="Times New Roman"/>
          <w:color w:val="000000"/>
          <w:sz w:val="24"/>
        </w:rPr>
        <w:t>matters</w:t>
      </w:r>
      <w:r w:rsidRPr="00012C17">
        <w:rPr>
          <w:rFonts w:eastAsia="Times New Roman"/>
          <w:color w:val="000000"/>
          <w:sz w:val="24"/>
        </w:rPr>
        <w:t>.</w:t>
      </w:r>
    </w:p>
    <w:p w:rsidR="00BA4B74" w:rsidRPr="00012C17" w:rsidRDefault="00BA4B74" w:rsidP="001B11C5">
      <w:pPr>
        <w:tabs>
          <w:tab w:val="left" w:pos="540"/>
          <w:tab w:val="left" w:pos="720"/>
        </w:tabs>
        <w:spacing w:line="240" w:lineRule="auto"/>
        <w:ind w:left="540"/>
        <w:rPr>
          <w:bCs/>
          <w:color w:val="000000"/>
          <w:sz w:val="24"/>
        </w:rPr>
      </w:pPr>
    </w:p>
    <w:p w:rsidR="00A07553" w:rsidRPr="00012C17" w:rsidRDefault="00A07553" w:rsidP="001B11C5">
      <w:pPr>
        <w:numPr>
          <w:ilvl w:val="0"/>
          <w:numId w:val="1"/>
        </w:numPr>
        <w:spacing w:line="240" w:lineRule="auto"/>
        <w:ind w:left="630" w:hanging="630"/>
        <w:rPr>
          <w:bCs/>
          <w:color w:val="000000"/>
          <w:sz w:val="24"/>
        </w:rPr>
      </w:pPr>
      <w:r w:rsidRPr="00012C17">
        <w:rPr>
          <w:rFonts w:eastAsia="Times New Roman"/>
          <w:bCs/>
          <w:iCs/>
          <w:color w:val="000000"/>
          <w:sz w:val="24"/>
        </w:rPr>
        <w:t xml:space="preserve">Finally, in the case </w:t>
      </w:r>
      <w:r w:rsidRPr="00012C17">
        <w:rPr>
          <w:rFonts w:eastAsia="Times New Roman"/>
          <w:bCs/>
          <w:i/>
          <w:color w:val="000000"/>
          <w:sz w:val="24"/>
        </w:rPr>
        <w:t>Paunović and Milovojević v. Serbia</w:t>
      </w:r>
      <w:r w:rsidR="00012C17">
        <w:rPr>
          <w:rFonts w:eastAsia="Times New Roman"/>
          <w:bCs/>
          <w:i/>
          <w:color w:val="000000"/>
          <w:sz w:val="24"/>
        </w:rPr>
        <w:t xml:space="preserve"> </w:t>
      </w:r>
      <w:r w:rsidR="00012C17">
        <w:rPr>
          <w:rFonts w:eastAsia="Times New Roman"/>
          <w:bCs/>
          <w:color w:val="000000"/>
          <w:sz w:val="24"/>
        </w:rPr>
        <w:t>(</w:t>
      </w:r>
      <w:r w:rsidR="00743007" w:rsidRPr="00012C17">
        <w:rPr>
          <w:rFonts w:eastAsia="Times New Roman"/>
          <w:bCs/>
          <w:color w:val="000000"/>
          <w:sz w:val="24"/>
        </w:rPr>
        <w:t>s</w:t>
      </w:r>
      <w:r w:rsidR="00BA4B74" w:rsidRPr="00012C17">
        <w:rPr>
          <w:rFonts w:eastAsia="Times New Roman"/>
          <w:bCs/>
          <w:color w:val="000000"/>
          <w:sz w:val="24"/>
        </w:rPr>
        <w:t>ee</w:t>
      </w:r>
      <w:r w:rsidR="00BA4B74" w:rsidRPr="00012C17">
        <w:rPr>
          <w:rFonts w:eastAsia="Times New Roman"/>
          <w:color w:val="000000"/>
          <w:sz w:val="24"/>
        </w:rPr>
        <w:t xml:space="preserve"> ECTHR case</w:t>
      </w:r>
      <w:r w:rsidR="00BA4B74" w:rsidRPr="00012C17">
        <w:rPr>
          <w:rFonts w:eastAsia="Times New Roman"/>
          <w:bCs/>
          <w:i/>
          <w:color w:val="000000"/>
          <w:sz w:val="24"/>
        </w:rPr>
        <w:t xml:space="preserve"> Paunović and Milovojević v. Serbia, </w:t>
      </w:r>
      <w:r w:rsidR="00BA4B74" w:rsidRPr="00012C17">
        <w:rPr>
          <w:rFonts w:eastAsia="Times New Roman"/>
          <w:bCs/>
          <w:i/>
          <w:iCs/>
          <w:color w:val="000000"/>
          <w:sz w:val="24"/>
        </w:rPr>
        <w:t xml:space="preserve">no. 41683/06, </w:t>
      </w:r>
      <w:r w:rsidR="00BA4B74" w:rsidRPr="00012C17">
        <w:rPr>
          <w:rStyle w:val="s6b621b36"/>
          <w:color w:val="000000"/>
          <w:sz w:val="24"/>
        </w:rPr>
        <w:t>Judgment of 24 May 2016</w:t>
      </w:r>
      <w:r w:rsidR="00BA4B74" w:rsidRPr="00012C17">
        <w:rPr>
          <w:rFonts w:eastAsia="Times New Roman"/>
          <w:bCs/>
          <w:i/>
          <w:iCs/>
          <w:color w:val="000000"/>
          <w:sz w:val="24"/>
        </w:rPr>
        <w:t>)</w:t>
      </w:r>
      <w:r w:rsidR="00BA4B74" w:rsidRPr="00012C17">
        <w:rPr>
          <w:rFonts w:eastAsia="Times New Roman"/>
          <w:bCs/>
          <w:iCs/>
          <w:color w:val="000000"/>
          <w:sz w:val="24"/>
        </w:rPr>
        <w:t>,</w:t>
      </w:r>
      <w:r w:rsidR="006E52F9" w:rsidRPr="00012C17">
        <w:rPr>
          <w:rFonts w:eastAsia="Times New Roman"/>
          <w:bCs/>
          <w:iCs/>
          <w:color w:val="000000"/>
          <w:sz w:val="24"/>
        </w:rPr>
        <w:t xml:space="preserve"> </w:t>
      </w:r>
      <w:r w:rsidRPr="00012C17">
        <w:rPr>
          <w:rFonts w:eastAsia="Times New Roman"/>
          <w:color w:val="000000"/>
          <w:sz w:val="24"/>
        </w:rPr>
        <w:t>a</w:t>
      </w:r>
      <w:r w:rsidR="00BA4B74" w:rsidRPr="00012C17">
        <w:rPr>
          <w:rFonts w:eastAsia="Times New Roman"/>
          <w:color w:val="000000"/>
          <w:sz w:val="24"/>
        </w:rPr>
        <w:t>t a</w:t>
      </w:r>
      <w:r w:rsidRPr="00012C17">
        <w:rPr>
          <w:rFonts w:eastAsia="Times New Roman"/>
          <w:color w:val="000000"/>
          <w:sz w:val="24"/>
        </w:rPr>
        <w:t xml:space="preserve"> certain time, the representative </w:t>
      </w:r>
      <w:r w:rsidRPr="00012C17">
        <w:rPr>
          <w:rFonts w:eastAsia="Times New Roman"/>
          <w:bCs/>
          <w:iCs/>
          <w:color w:val="000000"/>
          <w:sz w:val="24"/>
        </w:rPr>
        <w:t>of</w:t>
      </w:r>
      <w:r w:rsidRPr="00012C17">
        <w:rPr>
          <w:rFonts w:eastAsia="Times New Roman"/>
          <w:color w:val="000000"/>
          <w:sz w:val="24"/>
        </w:rPr>
        <w:t xml:space="preserve"> their political party had submitted their resignations from the mandate of </w:t>
      </w:r>
      <w:r w:rsidR="00F40EB2" w:rsidRPr="00012C17">
        <w:rPr>
          <w:rFonts w:eastAsia="Times New Roman"/>
          <w:color w:val="000000"/>
          <w:sz w:val="24"/>
        </w:rPr>
        <w:t>a</w:t>
      </w:r>
      <w:r w:rsidRPr="00012C17">
        <w:rPr>
          <w:rFonts w:eastAsia="Times New Roman"/>
          <w:color w:val="000000"/>
          <w:sz w:val="24"/>
        </w:rPr>
        <w:t xml:space="preserve"> deputy; the resignations which they had subsequently revoked. Despite the revocation of the resignation and the fact that the resignation was not handed over to them personally, their mandate </w:t>
      </w:r>
      <w:r w:rsidR="00743007" w:rsidRPr="00012C17">
        <w:rPr>
          <w:rFonts w:eastAsia="Times New Roman"/>
          <w:color w:val="000000"/>
          <w:sz w:val="24"/>
        </w:rPr>
        <w:t>as</w:t>
      </w:r>
      <w:r w:rsidRPr="00012C17">
        <w:rPr>
          <w:rFonts w:eastAsia="Times New Roman"/>
          <w:color w:val="000000"/>
          <w:sz w:val="24"/>
        </w:rPr>
        <w:t xml:space="preserve"> a deputy was terminated. Therefore, the main issue before the ECtHR had to do with whether the mandate had been terminated in accordance with the applicable legal rules or not. The ECtHR found a violation of Article 3 of </w:t>
      </w:r>
      <w:r w:rsidR="00C40D12" w:rsidRPr="00012C17">
        <w:rPr>
          <w:rFonts w:eastAsia="Times New Roman"/>
          <w:color w:val="000000"/>
          <w:sz w:val="24"/>
        </w:rPr>
        <w:t>Protocol no.1</w:t>
      </w:r>
      <w:r w:rsidRPr="00012C17">
        <w:rPr>
          <w:rFonts w:eastAsia="Times New Roman"/>
          <w:color w:val="000000"/>
          <w:sz w:val="24"/>
        </w:rPr>
        <w:t xml:space="preserve"> to the ECHR because the entire process of termination of the mandate of a deputy was made outside the legal framework and as such was unlawful. The ECtHR found that their mandate was terminated despite the fact that the Applicants had notified the Assembly in person that they did not want to submit their mandate and that their first request for resignation was considered withdrawn and invalid. Meanwhile, in relation to Article 13 of the ECHR, the ECtHR explained that the separate examination for this allegation was made only for post-election disputes which were not subject to review by local courts and not to those election disputes where the allegations of the Applicants were subject to judicial review by the local courts. Therefore, </w:t>
      </w:r>
      <w:r w:rsidR="00D35865" w:rsidRPr="00012C17">
        <w:rPr>
          <w:rFonts w:eastAsia="Times New Roman"/>
          <w:color w:val="000000"/>
          <w:sz w:val="24"/>
        </w:rPr>
        <w:t xml:space="preserve">considering that in that case </w:t>
      </w:r>
      <w:r w:rsidRPr="00012C17">
        <w:rPr>
          <w:rFonts w:eastAsia="Times New Roman"/>
          <w:color w:val="000000"/>
          <w:sz w:val="24"/>
        </w:rPr>
        <w:t>the Supreme Court and the Constitutional Court of Serbia did not consider the merits of the case at all, the ECtHR found a violation of Article 13 of the ECHR.</w:t>
      </w:r>
    </w:p>
    <w:p w:rsidR="00BA4B74" w:rsidRPr="00012C17" w:rsidRDefault="00BA4B74" w:rsidP="001B11C5">
      <w:pPr>
        <w:tabs>
          <w:tab w:val="left" w:pos="540"/>
          <w:tab w:val="left" w:pos="720"/>
        </w:tabs>
        <w:spacing w:line="240" w:lineRule="auto"/>
        <w:ind w:left="540"/>
        <w:rPr>
          <w:bCs/>
          <w:color w:val="000000"/>
          <w:sz w:val="24"/>
        </w:rPr>
      </w:pPr>
    </w:p>
    <w:p w:rsidR="00A07553" w:rsidRPr="00012C17" w:rsidRDefault="00A07553" w:rsidP="001B11C5">
      <w:pPr>
        <w:numPr>
          <w:ilvl w:val="0"/>
          <w:numId w:val="1"/>
        </w:numPr>
        <w:spacing w:line="240" w:lineRule="auto"/>
        <w:ind w:left="630" w:hanging="630"/>
        <w:rPr>
          <w:bCs/>
          <w:color w:val="000000"/>
          <w:sz w:val="24"/>
        </w:rPr>
      </w:pPr>
      <w:r w:rsidRPr="00012C17">
        <w:rPr>
          <w:bCs/>
          <w:color w:val="000000"/>
          <w:sz w:val="24"/>
        </w:rPr>
        <w:t xml:space="preserve">The Court notes that, while the </w:t>
      </w:r>
      <w:r w:rsidR="00BA4B74" w:rsidRPr="00012C17">
        <w:rPr>
          <w:bCs/>
          <w:color w:val="000000"/>
          <w:sz w:val="24"/>
        </w:rPr>
        <w:t xml:space="preserve">factual </w:t>
      </w:r>
      <w:r w:rsidRPr="00012C17">
        <w:rPr>
          <w:bCs/>
          <w:color w:val="000000"/>
          <w:sz w:val="24"/>
        </w:rPr>
        <w:t xml:space="preserve">circumstances of the cases in question do not correspond to the </w:t>
      </w:r>
      <w:r w:rsidRPr="00012C17">
        <w:rPr>
          <w:rFonts w:eastAsia="Times New Roman"/>
          <w:bCs/>
          <w:iCs/>
          <w:color w:val="000000"/>
          <w:sz w:val="24"/>
        </w:rPr>
        <w:t>circumstances</w:t>
      </w:r>
      <w:r w:rsidRPr="00012C17">
        <w:rPr>
          <w:bCs/>
          <w:color w:val="000000"/>
          <w:sz w:val="24"/>
        </w:rPr>
        <w:t xml:space="preserve"> of the present case, they result in a common denominator of the cases in which the ECtHR has found a violation of Article 13 of the ECHR in relation to the election rights and that is the </w:t>
      </w:r>
      <w:r w:rsidR="00D35865" w:rsidRPr="00012C17">
        <w:rPr>
          <w:bCs/>
          <w:color w:val="000000"/>
          <w:sz w:val="24"/>
        </w:rPr>
        <w:t>“</w:t>
      </w:r>
      <w:r w:rsidRPr="00012C17">
        <w:rPr>
          <w:bCs/>
          <w:i/>
          <w:iCs/>
          <w:color w:val="000000"/>
          <w:sz w:val="24"/>
        </w:rPr>
        <w:t>arbitrariness</w:t>
      </w:r>
      <w:r w:rsidR="00D35865" w:rsidRPr="00012C17">
        <w:rPr>
          <w:bCs/>
          <w:i/>
          <w:iCs/>
          <w:color w:val="000000"/>
          <w:sz w:val="24"/>
        </w:rPr>
        <w:t>”</w:t>
      </w:r>
      <w:r w:rsidRPr="00012C17">
        <w:rPr>
          <w:bCs/>
          <w:color w:val="000000"/>
          <w:sz w:val="24"/>
        </w:rPr>
        <w:t xml:space="preserve">. In all three cases, the courts rejected to assess allegations of serious violation of the election law. In the present case, this Court has considered the merits of the Applicants’ allegations and maintains that in the circumstances of the present case there is no </w:t>
      </w:r>
      <w:r w:rsidR="00BA4B74" w:rsidRPr="00012C17">
        <w:rPr>
          <w:bCs/>
          <w:i/>
          <w:iCs/>
          <w:color w:val="000000"/>
          <w:sz w:val="24"/>
        </w:rPr>
        <w:t>“</w:t>
      </w:r>
      <w:r w:rsidRPr="00012C17">
        <w:rPr>
          <w:bCs/>
          <w:i/>
          <w:iCs/>
          <w:color w:val="000000"/>
          <w:sz w:val="24"/>
        </w:rPr>
        <w:t>arbitrariness</w:t>
      </w:r>
      <w:r w:rsidR="00BA4B74" w:rsidRPr="00012C17">
        <w:rPr>
          <w:bCs/>
          <w:i/>
          <w:iCs/>
          <w:color w:val="000000"/>
          <w:sz w:val="24"/>
        </w:rPr>
        <w:t>”</w:t>
      </w:r>
      <w:r w:rsidRPr="00012C17">
        <w:rPr>
          <w:bCs/>
          <w:color w:val="000000"/>
          <w:sz w:val="24"/>
        </w:rPr>
        <w:t xml:space="preserve"> that could potentially lead </w:t>
      </w:r>
      <w:r w:rsidR="00D35865" w:rsidRPr="00012C17">
        <w:rPr>
          <w:bCs/>
          <w:color w:val="000000"/>
          <w:sz w:val="24"/>
        </w:rPr>
        <w:t>to a</w:t>
      </w:r>
      <w:r w:rsidRPr="00012C17">
        <w:rPr>
          <w:bCs/>
          <w:color w:val="000000"/>
          <w:sz w:val="24"/>
        </w:rPr>
        <w:t xml:space="preserve"> violation of the Constitution and </w:t>
      </w:r>
      <w:r w:rsidR="00D35865" w:rsidRPr="00012C17">
        <w:rPr>
          <w:bCs/>
          <w:color w:val="000000"/>
          <w:sz w:val="24"/>
        </w:rPr>
        <w:t>within the meaning of the ECtHR case-law</w:t>
      </w:r>
      <w:r w:rsidRPr="00012C17">
        <w:rPr>
          <w:bCs/>
          <w:color w:val="000000"/>
          <w:sz w:val="24"/>
        </w:rPr>
        <w:t>.</w:t>
      </w:r>
      <w:r w:rsidR="006E52F9" w:rsidRPr="00012C17">
        <w:rPr>
          <w:bCs/>
          <w:color w:val="000000"/>
          <w:sz w:val="24"/>
        </w:rPr>
        <w:t xml:space="preserve"> </w:t>
      </w:r>
    </w:p>
    <w:p w:rsidR="00BA4B74" w:rsidRPr="00012C17" w:rsidRDefault="00BA4B74" w:rsidP="001B11C5">
      <w:pPr>
        <w:pStyle w:val="ListParagraph"/>
        <w:spacing w:after="0" w:line="240" w:lineRule="auto"/>
        <w:rPr>
          <w:bCs/>
          <w:color w:val="000000"/>
          <w:sz w:val="24"/>
          <w:lang w:val="en-US"/>
        </w:rPr>
      </w:pPr>
    </w:p>
    <w:p w:rsidR="00A07553" w:rsidRPr="00012C17" w:rsidRDefault="00A07553" w:rsidP="001B11C5">
      <w:pPr>
        <w:numPr>
          <w:ilvl w:val="0"/>
          <w:numId w:val="1"/>
        </w:numPr>
        <w:spacing w:line="240" w:lineRule="auto"/>
        <w:ind w:left="630" w:hanging="630"/>
        <w:rPr>
          <w:rFonts w:eastAsia="Times New Roman"/>
          <w:color w:val="000000"/>
          <w:sz w:val="24"/>
        </w:rPr>
      </w:pPr>
      <w:r w:rsidRPr="00012C17">
        <w:rPr>
          <w:bCs/>
          <w:color w:val="000000"/>
          <w:sz w:val="24"/>
        </w:rPr>
        <w:t xml:space="preserve">Finally, the Court </w:t>
      </w:r>
      <w:r w:rsidR="00874B6A" w:rsidRPr="00012C17">
        <w:rPr>
          <w:bCs/>
          <w:color w:val="000000"/>
          <w:sz w:val="24"/>
        </w:rPr>
        <w:t xml:space="preserve">recalls that </w:t>
      </w:r>
      <w:r w:rsidR="00DC30B7" w:rsidRPr="00012C17">
        <w:rPr>
          <w:bCs/>
          <w:color w:val="000000"/>
          <w:sz w:val="24"/>
        </w:rPr>
        <w:t>it</w:t>
      </w:r>
      <w:r w:rsidR="00874B6A" w:rsidRPr="00012C17">
        <w:rPr>
          <w:bCs/>
          <w:color w:val="000000"/>
          <w:sz w:val="24"/>
        </w:rPr>
        <w:t xml:space="preserve"> will refer to </w:t>
      </w:r>
      <w:r w:rsidRPr="00012C17">
        <w:rPr>
          <w:bCs/>
          <w:color w:val="000000"/>
          <w:sz w:val="24"/>
        </w:rPr>
        <w:t xml:space="preserve">the basic principles </w:t>
      </w:r>
      <w:r w:rsidR="00874B6A" w:rsidRPr="00012C17">
        <w:rPr>
          <w:bCs/>
          <w:color w:val="000000"/>
          <w:sz w:val="24"/>
        </w:rPr>
        <w:t>for a right to legal remedy</w:t>
      </w:r>
      <w:r w:rsidRPr="00012C17">
        <w:rPr>
          <w:bCs/>
          <w:color w:val="000000"/>
          <w:sz w:val="24"/>
        </w:rPr>
        <w:t xml:space="preserve"> in </w:t>
      </w:r>
      <w:r w:rsidRPr="00012C17">
        <w:rPr>
          <w:rFonts w:eastAsia="Times New Roman"/>
          <w:bCs/>
          <w:iCs/>
          <w:color w:val="000000"/>
          <w:sz w:val="24"/>
        </w:rPr>
        <w:t>the</w:t>
      </w:r>
      <w:r w:rsidRPr="00012C17">
        <w:rPr>
          <w:bCs/>
          <w:color w:val="000000"/>
          <w:sz w:val="24"/>
        </w:rPr>
        <w:t xml:space="preserve"> electoral dispute</w:t>
      </w:r>
      <w:r w:rsidR="00874B6A" w:rsidRPr="00012C17">
        <w:rPr>
          <w:bCs/>
          <w:color w:val="000000"/>
          <w:sz w:val="24"/>
        </w:rPr>
        <w:t>s</w:t>
      </w:r>
      <w:r w:rsidRPr="00012C17">
        <w:rPr>
          <w:bCs/>
          <w:color w:val="000000"/>
          <w:sz w:val="24"/>
        </w:rPr>
        <w:t xml:space="preserve"> as summarized by the Venice Commission</w:t>
      </w:r>
      <w:r w:rsidR="00874B6A" w:rsidRPr="00012C17">
        <w:rPr>
          <w:bCs/>
          <w:color w:val="000000"/>
          <w:sz w:val="24"/>
        </w:rPr>
        <w:t>,</w:t>
      </w:r>
      <w:r w:rsidRPr="00012C17">
        <w:rPr>
          <w:bCs/>
          <w:color w:val="000000"/>
          <w:sz w:val="24"/>
        </w:rPr>
        <w:t xml:space="preserve"> </w:t>
      </w:r>
      <w:r w:rsidR="00874B6A" w:rsidRPr="00012C17">
        <w:rPr>
          <w:bCs/>
          <w:color w:val="000000"/>
          <w:sz w:val="24"/>
        </w:rPr>
        <w:t>and specifically the rules determined for an “</w:t>
      </w:r>
      <w:r w:rsidR="00874B6A" w:rsidRPr="00012C17">
        <w:rPr>
          <w:bCs/>
          <w:i/>
          <w:iCs/>
          <w:color w:val="000000"/>
          <w:sz w:val="24"/>
        </w:rPr>
        <w:t>effective complaints system</w:t>
      </w:r>
      <w:r w:rsidR="00874B6A" w:rsidRPr="00012C17">
        <w:rPr>
          <w:bCs/>
          <w:color w:val="000000"/>
          <w:sz w:val="24"/>
        </w:rPr>
        <w:t>” as an essential part of the “</w:t>
      </w:r>
      <w:r w:rsidR="00874B6A" w:rsidRPr="00012C17">
        <w:rPr>
          <w:bCs/>
          <w:i/>
          <w:iCs/>
          <w:color w:val="000000"/>
          <w:sz w:val="24"/>
        </w:rPr>
        <w:t>procedural guarantees</w:t>
      </w:r>
      <w:r w:rsidR="00874B6A" w:rsidRPr="00012C17">
        <w:rPr>
          <w:bCs/>
          <w:color w:val="000000"/>
          <w:sz w:val="24"/>
        </w:rPr>
        <w:t>”, one of the requirements for implementation of five fundamental principles that are related to the democratic elections, summarized by the Code of Good Practice, respective Explanatory Report and the Report on Dispute Resolution</w:t>
      </w:r>
      <w:r w:rsidRPr="00012C17">
        <w:rPr>
          <w:bCs/>
          <w:color w:val="000000"/>
          <w:sz w:val="24"/>
        </w:rPr>
        <w:t xml:space="preserve">. </w:t>
      </w:r>
    </w:p>
    <w:p w:rsidR="00874B6A" w:rsidRPr="00012C17" w:rsidRDefault="00874B6A" w:rsidP="001B11C5">
      <w:pPr>
        <w:pStyle w:val="ListParagraph"/>
        <w:spacing w:after="0" w:line="240" w:lineRule="auto"/>
        <w:rPr>
          <w:rFonts w:eastAsia="Times New Roman"/>
          <w:color w:val="000000"/>
          <w:sz w:val="24"/>
          <w:lang w:val="en-US"/>
        </w:rPr>
      </w:pPr>
    </w:p>
    <w:p w:rsidR="00874B6A" w:rsidRPr="00012C17" w:rsidRDefault="00874B6A" w:rsidP="001B11C5">
      <w:pPr>
        <w:numPr>
          <w:ilvl w:val="0"/>
          <w:numId w:val="1"/>
        </w:numPr>
        <w:spacing w:line="240" w:lineRule="auto"/>
        <w:ind w:left="630" w:hanging="630"/>
        <w:rPr>
          <w:rFonts w:eastAsia="Times New Roman"/>
          <w:color w:val="000000"/>
          <w:sz w:val="24"/>
        </w:rPr>
      </w:pPr>
      <w:r w:rsidRPr="00012C17">
        <w:rPr>
          <w:rFonts w:eastAsia="Times New Roman"/>
          <w:color w:val="000000"/>
          <w:sz w:val="24"/>
        </w:rPr>
        <w:t xml:space="preserve">According to the Venice Commission, there are nine (9) fundamental principles that constitute an </w:t>
      </w:r>
      <w:r w:rsidR="0020277E" w:rsidRPr="00012C17">
        <w:rPr>
          <w:rFonts w:eastAsia="Times New Roman"/>
          <w:color w:val="000000"/>
          <w:sz w:val="24"/>
        </w:rPr>
        <w:t>“</w:t>
      </w:r>
      <w:r w:rsidRPr="00012C17">
        <w:rPr>
          <w:rFonts w:eastAsia="Times New Roman"/>
          <w:i/>
          <w:iCs/>
          <w:color w:val="000000"/>
          <w:sz w:val="24"/>
        </w:rPr>
        <w:t xml:space="preserve">effective </w:t>
      </w:r>
      <w:r w:rsidRPr="00012C17">
        <w:rPr>
          <w:rFonts w:eastAsia="Times New Roman"/>
          <w:bCs/>
          <w:i/>
          <w:iCs/>
          <w:color w:val="000000"/>
          <w:sz w:val="24"/>
        </w:rPr>
        <w:t>complaint</w:t>
      </w:r>
      <w:r w:rsidRPr="00012C17">
        <w:rPr>
          <w:rFonts w:eastAsia="Times New Roman"/>
          <w:i/>
          <w:iCs/>
          <w:color w:val="000000"/>
          <w:sz w:val="24"/>
        </w:rPr>
        <w:t xml:space="preserve"> system</w:t>
      </w:r>
      <w:r w:rsidR="0020277E" w:rsidRPr="00012C17">
        <w:rPr>
          <w:rFonts w:eastAsia="Times New Roman"/>
          <w:color w:val="000000"/>
          <w:sz w:val="24"/>
        </w:rPr>
        <w:t>”</w:t>
      </w:r>
      <w:r w:rsidRPr="00012C17">
        <w:rPr>
          <w:rFonts w:eastAsia="Times New Roman"/>
          <w:color w:val="000000"/>
          <w:sz w:val="24"/>
        </w:rPr>
        <w:t xml:space="preserve"> in </w:t>
      </w:r>
      <w:r w:rsidR="00F40EB2" w:rsidRPr="00012C17">
        <w:rPr>
          <w:rFonts w:eastAsia="Times New Roman"/>
          <w:color w:val="000000"/>
          <w:sz w:val="24"/>
        </w:rPr>
        <w:t>the election</w:t>
      </w:r>
      <w:r w:rsidRPr="00012C17">
        <w:rPr>
          <w:rFonts w:eastAsia="Times New Roman"/>
          <w:color w:val="000000"/>
          <w:sz w:val="24"/>
        </w:rPr>
        <w:t xml:space="preserve"> disputes. (</w:t>
      </w:r>
      <w:r w:rsidR="00F40EB2" w:rsidRPr="00012C17">
        <w:rPr>
          <w:rFonts w:eastAsia="Times New Roman"/>
          <w:color w:val="000000"/>
          <w:sz w:val="24"/>
        </w:rPr>
        <w:t>See</w:t>
      </w:r>
      <w:r w:rsidRPr="00012C17">
        <w:rPr>
          <w:rFonts w:eastAsia="Times New Roman"/>
          <w:color w:val="000000"/>
          <w:sz w:val="24"/>
        </w:rPr>
        <w:t xml:space="preserve"> section 3.3 of the Code). </w:t>
      </w:r>
      <w:r w:rsidR="00D35865" w:rsidRPr="00012C17">
        <w:rPr>
          <w:rFonts w:eastAsia="Times New Roman"/>
          <w:color w:val="000000"/>
          <w:sz w:val="24"/>
        </w:rPr>
        <w:t>In relation to</w:t>
      </w:r>
      <w:r w:rsidRPr="00012C17">
        <w:rPr>
          <w:rFonts w:eastAsia="Times New Roman"/>
          <w:color w:val="000000"/>
          <w:sz w:val="24"/>
        </w:rPr>
        <w:t xml:space="preserve"> the importance of the circumstances of the </w:t>
      </w:r>
      <w:r w:rsidR="0020277E" w:rsidRPr="00012C17">
        <w:rPr>
          <w:rFonts w:eastAsia="Times New Roman"/>
          <w:color w:val="000000"/>
          <w:sz w:val="24"/>
        </w:rPr>
        <w:t>present</w:t>
      </w:r>
      <w:r w:rsidRPr="00012C17">
        <w:rPr>
          <w:rFonts w:eastAsia="Times New Roman"/>
          <w:color w:val="000000"/>
          <w:sz w:val="24"/>
        </w:rPr>
        <w:t xml:space="preserve"> case, the Court refers to the following principles: (i) the procedure should be simple and without formalities, particularly as regards the receipt of the </w:t>
      </w:r>
      <w:r w:rsidR="0020277E" w:rsidRPr="00012C17">
        <w:rPr>
          <w:rFonts w:eastAsia="Times New Roman"/>
          <w:color w:val="000000"/>
          <w:sz w:val="24"/>
        </w:rPr>
        <w:t>complaint/</w:t>
      </w:r>
      <w:r w:rsidRPr="00012C17">
        <w:rPr>
          <w:rFonts w:eastAsia="Times New Roman"/>
          <w:color w:val="000000"/>
          <w:sz w:val="24"/>
        </w:rPr>
        <w:t xml:space="preserve">appeal; (ii) the appeal procedures and, in particular, the competencies and responsibilities of different </w:t>
      </w:r>
      <w:r w:rsidR="0020277E" w:rsidRPr="00012C17">
        <w:rPr>
          <w:rFonts w:eastAsia="Times New Roman"/>
          <w:color w:val="000000"/>
          <w:sz w:val="24"/>
        </w:rPr>
        <w:t>authorities</w:t>
      </w:r>
      <w:r w:rsidRPr="00012C17">
        <w:rPr>
          <w:rFonts w:eastAsia="Times New Roman"/>
          <w:color w:val="000000"/>
          <w:sz w:val="24"/>
        </w:rPr>
        <w:t xml:space="preserve"> should be clearly regulated by law in order to avoid conflicts of jurisdiction. Neither the </w:t>
      </w:r>
      <w:r w:rsidR="0020277E" w:rsidRPr="00012C17">
        <w:rPr>
          <w:rFonts w:eastAsia="Times New Roman"/>
          <w:color w:val="000000"/>
          <w:sz w:val="24"/>
        </w:rPr>
        <w:t>complaining party</w:t>
      </w:r>
      <w:r w:rsidR="006E52F9" w:rsidRPr="00012C17">
        <w:rPr>
          <w:rFonts w:eastAsia="Times New Roman"/>
          <w:color w:val="000000"/>
          <w:sz w:val="24"/>
        </w:rPr>
        <w:t xml:space="preserve"> </w:t>
      </w:r>
      <w:r w:rsidRPr="00012C17">
        <w:rPr>
          <w:rFonts w:eastAsia="Times New Roman"/>
          <w:color w:val="000000"/>
          <w:sz w:val="24"/>
        </w:rPr>
        <w:t xml:space="preserve">nor the authorities should have the right to choose the appeal </w:t>
      </w:r>
      <w:r w:rsidR="00F40EB2" w:rsidRPr="00012C17">
        <w:rPr>
          <w:rFonts w:eastAsia="Times New Roman"/>
          <w:color w:val="000000"/>
          <w:sz w:val="24"/>
        </w:rPr>
        <w:t>body</w:t>
      </w:r>
      <w:r w:rsidRPr="00012C17">
        <w:rPr>
          <w:rFonts w:eastAsia="Times New Roman"/>
          <w:color w:val="000000"/>
          <w:sz w:val="24"/>
        </w:rPr>
        <w:t xml:space="preserve">; (iii) the appeal </w:t>
      </w:r>
      <w:r w:rsidR="00F40EB2" w:rsidRPr="00012C17">
        <w:rPr>
          <w:rFonts w:eastAsia="Times New Roman"/>
          <w:color w:val="000000"/>
          <w:sz w:val="24"/>
        </w:rPr>
        <w:t>body</w:t>
      </w:r>
      <w:r w:rsidR="0020277E" w:rsidRPr="00012C17">
        <w:rPr>
          <w:rFonts w:eastAsia="Times New Roman"/>
          <w:color w:val="000000"/>
          <w:sz w:val="24"/>
        </w:rPr>
        <w:t xml:space="preserve"> </w:t>
      </w:r>
      <w:r w:rsidRPr="00012C17">
        <w:rPr>
          <w:rFonts w:eastAsia="Times New Roman"/>
          <w:color w:val="000000"/>
          <w:sz w:val="24"/>
        </w:rPr>
        <w:t xml:space="preserve">should have the power to </w:t>
      </w:r>
      <w:r w:rsidR="00F40EB2" w:rsidRPr="00012C17">
        <w:rPr>
          <w:rFonts w:eastAsia="Times New Roman"/>
          <w:color w:val="000000"/>
          <w:sz w:val="24"/>
        </w:rPr>
        <w:t>cancel</w:t>
      </w:r>
      <w:r w:rsidRPr="00012C17">
        <w:rPr>
          <w:rFonts w:eastAsia="Times New Roman"/>
          <w:color w:val="000000"/>
          <w:sz w:val="24"/>
        </w:rPr>
        <w:t xml:space="preserve"> the elections when the irregularities affect the final </w:t>
      </w:r>
      <w:r w:rsidR="0020277E" w:rsidRPr="00012C17">
        <w:rPr>
          <w:rFonts w:eastAsia="Times New Roman"/>
          <w:color w:val="000000"/>
          <w:sz w:val="24"/>
        </w:rPr>
        <w:t>results</w:t>
      </w:r>
      <w:r w:rsidRPr="00012C17">
        <w:rPr>
          <w:rFonts w:eastAsia="Times New Roman"/>
          <w:color w:val="000000"/>
          <w:sz w:val="24"/>
        </w:rPr>
        <w:t xml:space="preserve">. Elections can be canceled entirely or only results </w:t>
      </w:r>
      <w:r w:rsidR="00D35865" w:rsidRPr="00012C17">
        <w:rPr>
          <w:rFonts w:eastAsia="Times New Roman"/>
          <w:color w:val="000000"/>
          <w:sz w:val="24"/>
        </w:rPr>
        <w:t>of</w:t>
      </w:r>
      <w:r w:rsidRPr="00012C17">
        <w:rPr>
          <w:rFonts w:eastAsia="Times New Roman"/>
          <w:color w:val="000000"/>
          <w:sz w:val="24"/>
        </w:rPr>
        <w:t xml:space="preserve"> an electoral zone or at a polling station. In case of cancellation, new elections should be organized in the respective area; (iv) the time limits for appeal and decision-making should be short (three to five days for each first instance complaint); and (v) if the appeal body is a higher election commission, it should have </w:t>
      </w:r>
      <w:r w:rsidRPr="00012C17">
        <w:rPr>
          <w:rFonts w:eastAsia="Times New Roman"/>
          <w:i/>
          <w:iCs/>
          <w:color w:val="000000"/>
          <w:sz w:val="24"/>
        </w:rPr>
        <w:t>ex officio</w:t>
      </w:r>
      <w:r w:rsidRPr="00012C17">
        <w:rPr>
          <w:rFonts w:eastAsia="Times New Roman"/>
          <w:color w:val="000000"/>
          <w:sz w:val="24"/>
        </w:rPr>
        <w:t xml:space="preserve"> the right to rectify or annul the decisions taken by the lower </w:t>
      </w:r>
      <w:r w:rsidR="0020277E" w:rsidRPr="00012C17">
        <w:rPr>
          <w:rFonts w:eastAsia="Times New Roman"/>
          <w:color w:val="000000"/>
          <w:sz w:val="24"/>
        </w:rPr>
        <w:t>election</w:t>
      </w:r>
      <w:r w:rsidRPr="00012C17">
        <w:rPr>
          <w:rFonts w:eastAsia="Times New Roman"/>
          <w:color w:val="000000"/>
          <w:sz w:val="24"/>
        </w:rPr>
        <w:t xml:space="preserve"> commissions.</w:t>
      </w:r>
    </w:p>
    <w:p w:rsidR="0020277E" w:rsidRPr="00012C17" w:rsidRDefault="0020277E" w:rsidP="001B11C5">
      <w:pPr>
        <w:tabs>
          <w:tab w:val="left" w:pos="540"/>
          <w:tab w:val="left" w:pos="720"/>
        </w:tabs>
        <w:spacing w:line="240" w:lineRule="auto"/>
        <w:ind w:left="540"/>
        <w:rPr>
          <w:rFonts w:eastAsia="Times New Roman"/>
          <w:color w:val="000000"/>
          <w:sz w:val="24"/>
        </w:rPr>
      </w:pPr>
    </w:p>
    <w:p w:rsidR="0020277E" w:rsidRPr="00012C17" w:rsidRDefault="0020277E" w:rsidP="001B11C5">
      <w:pPr>
        <w:numPr>
          <w:ilvl w:val="0"/>
          <w:numId w:val="1"/>
        </w:numPr>
        <w:spacing w:line="240" w:lineRule="auto"/>
        <w:ind w:left="630" w:hanging="630"/>
        <w:rPr>
          <w:rFonts w:eastAsia="Times New Roman"/>
          <w:color w:val="000000"/>
          <w:sz w:val="24"/>
        </w:rPr>
      </w:pPr>
      <w:r w:rsidRPr="00012C17">
        <w:rPr>
          <w:rFonts w:eastAsia="Times New Roman"/>
          <w:color w:val="000000"/>
          <w:sz w:val="24"/>
        </w:rPr>
        <w:t xml:space="preserve">The Court </w:t>
      </w:r>
      <w:r w:rsidR="00F40EB2" w:rsidRPr="00012C17">
        <w:rPr>
          <w:rFonts w:eastAsia="Times New Roman"/>
          <w:color w:val="000000"/>
          <w:sz w:val="24"/>
        </w:rPr>
        <w:t>recalls</w:t>
      </w:r>
      <w:r w:rsidRPr="00012C17">
        <w:rPr>
          <w:rFonts w:eastAsia="Times New Roman"/>
          <w:color w:val="000000"/>
          <w:sz w:val="24"/>
        </w:rPr>
        <w:t xml:space="preserve"> that throughout the reasoning of the Applicants' allegations, </w:t>
      </w:r>
      <w:r w:rsidR="00265D47" w:rsidRPr="00012C17">
        <w:rPr>
          <w:rFonts w:eastAsia="Times New Roman"/>
          <w:color w:val="000000"/>
          <w:sz w:val="24"/>
        </w:rPr>
        <w:t>it</w:t>
      </w:r>
      <w:r w:rsidRPr="00012C17">
        <w:rPr>
          <w:rFonts w:eastAsia="Times New Roman"/>
          <w:color w:val="000000"/>
          <w:sz w:val="24"/>
        </w:rPr>
        <w:t xml:space="preserve"> has dealt with all these matters. And</w:t>
      </w:r>
      <w:r w:rsidR="00F40EB2" w:rsidRPr="00012C17">
        <w:rPr>
          <w:rFonts w:eastAsia="Times New Roman"/>
          <w:color w:val="000000"/>
          <w:sz w:val="24"/>
        </w:rPr>
        <w:t>,</w:t>
      </w:r>
      <w:r w:rsidRPr="00012C17">
        <w:rPr>
          <w:rFonts w:eastAsia="Times New Roman"/>
          <w:color w:val="000000"/>
          <w:sz w:val="24"/>
        </w:rPr>
        <w:t xml:space="preserve"> it is relevant to reiterate that it has specifically explained that, </w:t>
      </w:r>
      <w:r w:rsidRPr="00012C17">
        <w:rPr>
          <w:rFonts w:eastAsia="Times New Roman"/>
          <w:bCs/>
          <w:iCs/>
          <w:color w:val="000000"/>
          <w:sz w:val="24"/>
        </w:rPr>
        <w:t>while</w:t>
      </w:r>
      <w:r w:rsidRPr="00012C17">
        <w:rPr>
          <w:rFonts w:eastAsia="Times New Roman"/>
          <w:color w:val="000000"/>
          <w:sz w:val="24"/>
        </w:rPr>
        <w:t xml:space="preserve"> the principles of the Venice Commission recommend the avoidance of inadmissible claims, the </w:t>
      </w:r>
      <w:r w:rsidR="00F40EB2" w:rsidRPr="00012C17">
        <w:rPr>
          <w:rFonts w:eastAsia="Times New Roman"/>
          <w:color w:val="000000"/>
          <w:sz w:val="24"/>
        </w:rPr>
        <w:t>latter</w:t>
      </w:r>
      <w:r w:rsidRPr="00012C17">
        <w:rPr>
          <w:rFonts w:eastAsia="Times New Roman"/>
          <w:color w:val="000000"/>
          <w:sz w:val="24"/>
        </w:rPr>
        <w:t xml:space="preserve"> was never decided in the context of missing the deadline to file complaints or even to submit evidence before the decision-making authorities</w:t>
      </w:r>
      <w:r w:rsidR="00150B48" w:rsidRPr="00012C17">
        <w:rPr>
          <w:rFonts w:eastAsia="Times New Roman"/>
          <w:color w:val="000000"/>
          <w:sz w:val="24"/>
        </w:rPr>
        <w:t xml:space="preserve"> prior to </w:t>
      </w:r>
      <w:r w:rsidR="00D35865" w:rsidRPr="00012C17">
        <w:rPr>
          <w:rFonts w:eastAsia="Times New Roman"/>
          <w:color w:val="000000"/>
          <w:sz w:val="24"/>
        </w:rPr>
        <w:t xml:space="preserve">the </w:t>
      </w:r>
      <w:r w:rsidR="00150B48" w:rsidRPr="00012C17">
        <w:rPr>
          <w:rFonts w:eastAsia="Times New Roman"/>
          <w:color w:val="000000"/>
          <w:sz w:val="24"/>
        </w:rPr>
        <w:t xml:space="preserve">rendering </w:t>
      </w:r>
      <w:r w:rsidR="00D35865" w:rsidRPr="00012C17">
        <w:rPr>
          <w:rFonts w:eastAsia="Times New Roman"/>
          <w:color w:val="000000"/>
          <w:sz w:val="24"/>
        </w:rPr>
        <w:t xml:space="preserve">of </w:t>
      </w:r>
      <w:r w:rsidR="00150B48" w:rsidRPr="00012C17">
        <w:rPr>
          <w:rFonts w:eastAsia="Times New Roman"/>
          <w:color w:val="000000"/>
          <w:sz w:val="24"/>
        </w:rPr>
        <w:t xml:space="preserve">the respective </w:t>
      </w:r>
      <w:r w:rsidR="00F40EB2" w:rsidRPr="00012C17">
        <w:rPr>
          <w:rFonts w:eastAsia="Times New Roman"/>
          <w:color w:val="000000"/>
          <w:sz w:val="24"/>
        </w:rPr>
        <w:t xml:space="preserve">final </w:t>
      </w:r>
      <w:r w:rsidR="00150B48" w:rsidRPr="00012C17">
        <w:rPr>
          <w:rFonts w:eastAsia="Times New Roman"/>
          <w:color w:val="000000"/>
          <w:sz w:val="24"/>
        </w:rPr>
        <w:t>decision</w:t>
      </w:r>
      <w:r w:rsidRPr="00012C17">
        <w:rPr>
          <w:rFonts w:eastAsia="Times New Roman"/>
          <w:color w:val="000000"/>
          <w:sz w:val="24"/>
        </w:rPr>
        <w:t>.</w:t>
      </w:r>
    </w:p>
    <w:p w:rsidR="0020277E" w:rsidRPr="00012C17" w:rsidRDefault="0020277E" w:rsidP="001B11C5">
      <w:pPr>
        <w:pStyle w:val="ListParagraph"/>
        <w:spacing w:after="0" w:line="240" w:lineRule="auto"/>
        <w:rPr>
          <w:rFonts w:eastAsia="Times New Roman"/>
          <w:color w:val="000000"/>
          <w:sz w:val="24"/>
          <w:lang w:val="en-US"/>
        </w:rPr>
      </w:pPr>
    </w:p>
    <w:p w:rsidR="00A07553" w:rsidRPr="00012C17" w:rsidRDefault="00A07553" w:rsidP="001B11C5">
      <w:pPr>
        <w:numPr>
          <w:ilvl w:val="0"/>
          <w:numId w:val="1"/>
        </w:numPr>
        <w:spacing w:line="240" w:lineRule="auto"/>
        <w:ind w:left="630" w:hanging="630"/>
        <w:rPr>
          <w:bCs/>
          <w:color w:val="000000"/>
          <w:sz w:val="24"/>
        </w:rPr>
      </w:pPr>
      <w:r w:rsidRPr="00012C17">
        <w:rPr>
          <w:color w:val="000000"/>
          <w:sz w:val="24"/>
        </w:rPr>
        <w:t xml:space="preserve">Based on the foregoing and taking into account the allegations raised in the circumstances of the present </w:t>
      </w:r>
      <w:r w:rsidRPr="00012C17">
        <w:rPr>
          <w:rFonts w:eastAsia="Times New Roman"/>
          <w:bCs/>
          <w:iCs/>
          <w:color w:val="000000"/>
          <w:sz w:val="24"/>
        </w:rPr>
        <w:t>case</w:t>
      </w:r>
      <w:r w:rsidRPr="00012C17">
        <w:rPr>
          <w:color w:val="000000"/>
          <w:sz w:val="24"/>
        </w:rPr>
        <w:t xml:space="preserve"> and the facts presented, the Court also </w:t>
      </w:r>
      <w:r w:rsidR="0020277E" w:rsidRPr="00012C17">
        <w:rPr>
          <w:color w:val="000000"/>
          <w:sz w:val="24"/>
        </w:rPr>
        <w:t>by relying</w:t>
      </w:r>
      <w:r w:rsidRPr="00012C17">
        <w:rPr>
          <w:color w:val="000000"/>
          <w:sz w:val="24"/>
        </w:rPr>
        <w:t xml:space="preserve"> on the standards established in its </w:t>
      </w:r>
      <w:r w:rsidR="00012C17" w:rsidRPr="00012C17">
        <w:rPr>
          <w:color w:val="000000"/>
          <w:sz w:val="24"/>
        </w:rPr>
        <w:t>case-law</w:t>
      </w:r>
      <w:r w:rsidRPr="00012C17">
        <w:rPr>
          <w:color w:val="000000"/>
          <w:sz w:val="24"/>
        </w:rPr>
        <w:t xml:space="preserve"> and </w:t>
      </w:r>
      <w:r w:rsidR="0020277E" w:rsidRPr="00012C17">
        <w:rPr>
          <w:color w:val="000000"/>
          <w:sz w:val="24"/>
        </w:rPr>
        <w:t xml:space="preserve">the </w:t>
      </w:r>
      <w:r w:rsidR="00012C17" w:rsidRPr="00012C17">
        <w:rPr>
          <w:color w:val="000000"/>
          <w:sz w:val="24"/>
        </w:rPr>
        <w:t>case-law</w:t>
      </w:r>
      <w:r w:rsidRPr="00012C17">
        <w:rPr>
          <w:color w:val="000000"/>
          <w:sz w:val="24"/>
        </w:rPr>
        <w:t xml:space="preserve"> of the ECtHR and the standards summarized by the Venice Commission, holds that</w:t>
      </w:r>
      <w:r w:rsidR="00D35865" w:rsidRPr="00012C17">
        <w:rPr>
          <w:color w:val="000000"/>
          <w:sz w:val="24"/>
        </w:rPr>
        <w:t>:</w:t>
      </w:r>
      <w:r w:rsidRPr="00012C17">
        <w:rPr>
          <w:color w:val="000000"/>
          <w:sz w:val="24"/>
        </w:rPr>
        <w:t xml:space="preserve"> </w:t>
      </w:r>
      <w:r w:rsidR="0020277E" w:rsidRPr="00012C17">
        <w:rPr>
          <w:color w:val="000000"/>
          <w:sz w:val="24"/>
        </w:rPr>
        <w:t xml:space="preserve">(i) </w:t>
      </w:r>
      <w:r w:rsidRPr="00012C17">
        <w:rPr>
          <w:color w:val="000000"/>
          <w:sz w:val="24"/>
        </w:rPr>
        <w:t xml:space="preserve">the </w:t>
      </w:r>
      <w:r w:rsidR="00F40EB2" w:rsidRPr="00012C17">
        <w:rPr>
          <w:color w:val="000000"/>
          <w:sz w:val="24"/>
        </w:rPr>
        <w:t>f</w:t>
      </w:r>
      <w:r w:rsidRPr="00012C17">
        <w:rPr>
          <w:color w:val="000000"/>
          <w:sz w:val="24"/>
        </w:rPr>
        <w:t xml:space="preserve">irst </w:t>
      </w:r>
      <w:r w:rsidR="00F40EB2" w:rsidRPr="00012C17">
        <w:rPr>
          <w:color w:val="000000"/>
          <w:sz w:val="24"/>
        </w:rPr>
        <w:t>i</w:t>
      </w:r>
      <w:r w:rsidRPr="00012C17">
        <w:rPr>
          <w:color w:val="000000"/>
          <w:sz w:val="24"/>
        </w:rPr>
        <w:t xml:space="preserve">nstance Decision of the Supreme Court, namely Decision [AA. No. </w:t>
      </w:r>
      <w:r w:rsidRPr="00012C17">
        <w:rPr>
          <w:color w:val="000000"/>
          <w:sz w:val="24"/>
        </w:rPr>
        <w:lastRenderedPageBreak/>
        <w:t xml:space="preserve">52/2017] of 25 November 2017 was not rendered in violation and is in compliance with the rights to judicial protection of rights guaranteed by Article 54, of the right to an effective legal remedy guaranteed by Article 32 of the Constitution, in conjunction with the right to an effective remedy guaranteed by Article 13 of the ECHR, of the political entity LDK, namely the second Applicant and that the </w:t>
      </w:r>
      <w:r w:rsidR="00F40EB2" w:rsidRPr="00012C17">
        <w:rPr>
          <w:color w:val="000000"/>
          <w:sz w:val="24"/>
        </w:rPr>
        <w:t>(ii) s</w:t>
      </w:r>
      <w:r w:rsidRPr="00012C17">
        <w:rPr>
          <w:color w:val="000000"/>
          <w:sz w:val="24"/>
        </w:rPr>
        <w:t>econd Decision of the Supreme Court, namely</w:t>
      </w:r>
      <w:r w:rsidR="0020277E" w:rsidRPr="00012C17">
        <w:rPr>
          <w:color w:val="000000"/>
          <w:sz w:val="24"/>
        </w:rPr>
        <w:t xml:space="preserve"> Judgment</w:t>
      </w:r>
      <w:r w:rsidRPr="00012C17">
        <w:rPr>
          <w:color w:val="000000"/>
          <w:sz w:val="24"/>
        </w:rPr>
        <w:t xml:space="preserve"> [A</w:t>
      </w:r>
      <w:r w:rsidR="006634E8" w:rsidRPr="00012C17">
        <w:rPr>
          <w:color w:val="000000"/>
          <w:sz w:val="24"/>
        </w:rPr>
        <w:t>.</w:t>
      </w:r>
      <w:r w:rsidRPr="00012C17">
        <w:rPr>
          <w:color w:val="000000"/>
          <w:sz w:val="24"/>
        </w:rPr>
        <w:t>A.U.ZH. No. 62/2017] of 7 December 2017 was not taken in violation of the rights guaranteed by Article 54 and the right to an effective legal remedy guaranteed by Article 32 of the Constitution in conjunction with the right to an effective remedy guaranteed by Article 13 of the ECHR, of Mr. Arban Abrashi and the political entity of LDK</w:t>
      </w:r>
      <w:r w:rsidR="00F40EB2" w:rsidRPr="00012C17">
        <w:rPr>
          <w:color w:val="000000"/>
          <w:sz w:val="24"/>
        </w:rPr>
        <w:t>,</w:t>
      </w:r>
      <w:r w:rsidRPr="00012C17">
        <w:rPr>
          <w:color w:val="000000"/>
          <w:sz w:val="24"/>
        </w:rPr>
        <w:t xml:space="preserve"> namely the first and second Applicant</w:t>
      </w:r>
      <w:r w:rsidRPr="00012C17">
        <w:rPr>
          <w:bCs/>
          <w:color w:val="000000"/>
          <w:sz w:val="24"/>
        </w:rPr>
        <w:t xml:space="preserve">. </w:t>
      </w:r>
    </w:p>
    <w:p w:rsidR="00A07553" w:rsidRPr="00012C17" w:rsidRDefault="00A07553" w:rsidP="001B11C5">
      <w:pPr>
        <w:pStyle w:val="ListParagraph"/>
        <w:spacing w:after="0" w:line="240" w:lineRule="auto"/>
        <w:rPr>
          <w:rFonts w:ascii="Georgia" w:hAnsi="Georgia" w:cs="Tahoma"/>
          <w:bCs/>
          <w:color w:val="000000"/>
          <w:sz w:val="24"/>
          <w:szCs w:val="24"/>
          <w:lang w:val="en-US"/>
        </w:rPr>
      </w:pPr>
    </w:p>
    <w:p w:rsidR="00A07553" w:rsidRPr="00012C17" w:rsidRDefault="00A07553" w:rsidP="001B11C5">
      <w:pPr>
        <w:spacing w:line="240" w:lineRule="auto"/>
        <w:rPr>
          <w:rFonts w:cs="Tahoma"/>
          <w:b/>
          <w:bCs/>
          <w:color w:val="000000"/>
          <w:sz w:val="24"/>
        </w:rPr>
      </w:pPr>
      <w:r w:rsidRPr="00012C17">
        <w:rPr>
          <w:rFonts w:cs="Tahoma"/>
          <w:b/>
          <w:bCs/>
          <w:color w:val="000000"/>
          <w:sz w:val="24"/>
        </w:rPr>
        <w:t xml:space="preserve">2. As to the Applicants' allegations of violation of </w:t>
      </w:r>
      <w:r w:rsidR="00966915" w:rsidRPr="00012C17">
        <w:rPr>
          <w:rFonts w:cs="Tahoma"/>
          <w:b/>
          <w:bCs/>
          <w:color w:val="000000"/>
          <w:sz w:val="24"/>
        </w:rPr>
        <w:t>freedom of</w:t>
      </w:r>
      <w:r w:rsidRPr="00012C17">
        <w:rPr>
          <w:rFonts w:cs="Tahoma"/>
          <w:b/>
          <w:bCs/>
          <w:color w:val="000000"/>
          <w:sz w:val="24"/>
        </w:rPr>
        <w:t xml:space="preserve"> election and participation guaranteed by Article 45 of the Constitution</w:t>
      </w:r>
    </w:p>
    <w:p w:rsidR="004024CA" w:rsidRPr="00012C17" w:rsidRDefault="004024CA" w:rsidP="001B11C5">
      <w:pPr>
        <w:spacing w:line="240" w:lineRule="auto"/>
        <w:rPr>
          <w:rFonts w:cs="Tahoma"/>
          <w:b/>
          <w:bCs/>
          <w:color w:val="000000"/>
          <w:sz w:val="24"/>
        </w:rPr>
      </w:pPr>
    </w:p>
    <w:p w:rsidR="004024CA" w:rsidRPr="00012C17" w:rsidRDefault="004024CA" w:rsidP="001B11C5">
      <w:pPr>
        <w:numPr>
          <w:ilvl w:val="0"/>
          <w:numId w:val="1"/>
        </w:numPr>
        <w:spacing w:line="240" w:lineRule="auto"/>
        <w:ind w:left="630" w:hanging="630"/>
        <w:rPr>
          <w:rFonts w:cs="Tahoma"/>
          <w:color w:val="000000"/>
          <w:sz w:val="24"/>
        </w:rPr>
      </w:pPr>
      <w:r w:rsidRPr="00012C17">
        <w:rPr>
          <w:rFonts w:cs="Tahoma"/>
          <w:color w:val="000000"/>
          <w:sz w:val="24"/>
        </w:rPr>
        <w:t xml:space="preserve">In dealing with these allegations of the Applicants, the Court will first summarize the general principles on freedom of election and participation guaranteed by Article 45 of the Constitution, and then </w:t>
      </w:r>
      <w:r w:rsidR="00F40EB2" w:rsidRPr="00012C17">
        <w:rPr>
          <w:rFonts w:cs="Tahoma"/>
          <w:color w:val="000000"/>
          <w:sz w:val="24"/>
        </w:rPr>
        <w:t xml:space="preserve">will </w:t>
      </w:r>
      <w:r w:rsidRPr="00012C17">
        <w:rPr>
          <w:rFonts w:cs="Tahoma"/>
          <w:color w:val="000000"/>
          <w:sz w:val="24"/>
        </w:rPr>
        <w:t xml:space="preserve">apply them in the circumstances of the </w:t>
      </w:r>
      <w:r w:rsidR="00F40EB2" w:rsidRPr="00012C17">
        <w:rPr>
          <w:rFonts w:cs="Tahoma"/>
          <w:color w:val="000000"/>
          <w:sz w:val="24"/>
        </w:rPr>
        <w:t xml:space="preserve">present </w:t>
      </w:r>
      <w:r w:rsidRPr="00012C17">
        <w:rPr>
          <w:rFonts w:cs="Tahoma"/>
          <w:color w:val="000000"/>
          <w:sz w:val="24"/>
        </w:rPr>
        <w:t xml:space="preserve">case. As to the </w:t>
      </w:r>
      <w:r w:rsidR="00F40EB2" w:rsidRPr="00012C17">
        <w:rPr>
          <w:rFonts w:cs="Tahoma"/>
          <w:color w:val="000000"/>
          <w:sz w:val="24"/>
        </w:rPr>
        <w:t>first</w:t>
      </w:r>
      <w:r w:rsidRPr="00012C17">
        <w:rPr>
          <w:rFonts w:cs="Tahoma"/>
          <w:color w:val="000000"/>
          <w:sz w:val="24"/>
        </w:rPr>
        <w:t xml:space="preserve">, the Court will elaborate: (i) the applicability of Article 3 of </w:t>
      </w:r>
      <w:r w:rsidR="00C40D12" w:rsidRPr="00012C17">
        <w:rPr>
          <w:rFonts w:cs="Tahoma"/>
          <w:color w:val="000000"/>
          <w:sz w:val="24"/>
        </w:rPr>
        <w:t>Protocol no.</w:t>
      </w:r>
      <w:r w:rsidR="00D35865" w:rsidRPr="00012C17">
        <w:rPr>
          <w:rFonts w:cs="Tahoma"/>
          <w:color w:val="000000"/>
          <w:sz w:val="24"/>
        </w:rPr>
        <w:t xml:space="preserve"> </w:t>
      </w:r>
      <w:r w:rsidR="00C40D12" w:rsidRPr="00012C17">
        <w:rPr>
          <w:rFonts w:cs="Tahoma"/>
          <w:color w:val="000000"/>
          <w:sz w:val="24"/>
        </w:rPr>
        <w:t>1</w:t>
      </w:r>
      <w:r w:rsidRPr="00012C17">
        <w:rPr>
          <w:rFonts w:cs="Tahoma"/>
          <w:color w:val="000000"/>
          <w:sz w:val="24"/>
        </w:rPr>
        <w:t xml:space="preserve"> to the ECHR in the circumstances of the </w:t>
      </w:r>
      <w:r w:rsidR="00F40EB2" w:rsidRPr="00012C17">
        <w:rPr>
          <w:rFonts w:cs="Tahoma"/>
          <w:color w:val="000000"/>
          <w:sz w:val="24"/>
        </w:rPr>
        <w:t xml:space="preserve">present </w:t>
      </w:r>
      <w:r w:rsidRPr="00012C17">
        <w:rPr>
          <w:rFonts w:cs="Tahoma"/>
          <w:color w:val="000000"/>
          <w:sz w:val="24"/>
        </w:rPr>
        <w:t xml:space="preserve">case; (ii) the guarantees of Article 45 of the Constitution in conjunction with Article 3 of </w:t>
      </w:r>
      <w:r w:rsidR="00C40D12" w:rsidRPr="00012C17">
        <w:rPr>
          <w:rFonts w:cs="Tahoma"/>
          <w:color w:val="000000"/>
          <w:sz w:val="24"/>
        </w:rPr>
        <w:t>Protocol no.</w:t>
      </w:r>
      <w:r w:rsidR="0025533F" w:rsidRPr="00012C17">
        <w:rPr>
          <w:rFonts w:cs="Tahoma"/>
          <w:color w:val="000000"/>
          <w:sz w:val="24"/>
        </w:rPr>
        <w:t xml:space="preserve"> </w:t>
      </w:r>
      <w:r w:rsidR="00C40D12" w:rsidRPr="00012C17">
        <w:rPr>
          <w:rFonts w:cs="Tahoma"/>
          <w:color w:val="000000"/>
          <w:sz w:val="24"/>
        </w:rPr>
        <w:t>1</w:t>
      </w:r>
      <w:r w:rsidRPr="00012C17">
        <w:rPr>
          <w:rFonts w:cs="Tahoma"/>
          <w:color w:val="000000"/>
          <w:sz w:val="24"/>
        </w:rPr>
        <w:t xml:space="preserve"> to the ECHR; and (iii) the fundamental principles/framework </w:t>
      </w:r>
      <w:r w:rsidR="00F40EB2" w:rsidRPr="00012C17">
        <w:rPr>
          <w:rFonts w:cs="Tahoma"/>
          <w:color w:val="000000"/>
          <w:sz w:val="24"/>
        </w:rPr>
        <w:t>of</w:t>
      </w:r>
      <w:r w:rsidRPr="00012C17">
        <w:rPr>
          <w:rFonts w:cs="Tahoma"/>
          <w:color w:val="000000"/>
          <w:sz w:val="24"/>
        </w:rPr>
        <w:t xml:space="preserve"> assessment of election disputes based on the </w:t>
      </w:r>
      <w:r w:rsidR="00012C17" w:rsidRPr="00012C17">
        <w:rPr>
          <w:rFonts w:cs="Tahoma"/>
          <w:color w:val="000000"/>
          <w:sz w:val="24"/>
        </w:rPr>
        <w:t>case-law</w:t>
      </w:r>
      <w:r w:rsidRPr="00012C17">
        <w:rPr>
          <w:rFonts w:cs="Tahoma"/>
          <w:color w:val="000000"/>
          <w:sz w:val="24"/>
        </w:rPr>
        <w:t xml:space="preserve"> of the ECtHR and the Venice Commission. Subsequently, the Court, by applying these fundamental principles, will examine the Applicants' allegations of violation of: (i) “</w:t>
      </w:r>
      <w:r w:rsidRPr="00012C17">
        <w:rPr>
          <w:rFonts w:cs="Tahoma"/>
          <w:i/>
          <w:iCs/>
          <w:color w:val="000000"/>
          <w:sz w:val="24"/>
        </w:rPr>
        <w:t>equal vote</w:t>
      </w:r>
      <w:r w:rsidRPr="00012C17">
        <w:rPr>
          <w:rFonts w:cs="Tahoma"/>
          <w:color w:val="000000"/>
          <w:sz w:val="24"/>
        </w:rPr>
        <w:t>”; (ii) “</w:t>
      </w:r>
      <w:r w:rsidRPr="00012C17">
        <w:rPr>
          <w:rFonts w:cs="Tahoma"/>
          <w:i/>
          <w:iCs/>
          <w:color w:val="000000"/>
          <w:sz w:val="24"/>
        </w:rPr>
        <w:t>free vote</w:t>
      </w:r>
      <w:r w:rsidRPr="00012C17">
        <w:rPr>
          <w:rFonts w:cs="Tahoma"/>
          <w:color w:val="000000"/>
          <w:sz w:val="24"/>
        </w:rPr>
        <w:t>”; and (iii) “</w:t>
      </w:r>
      <w:r w:rsidRPr="00012C17">
        <w:rPr>
          <w:rFonts w:cs="Tahoma"/>
          <w:i/>
          <w:iCs/>
          <w:color w:val="000000"/>
          <w:sz w:val="24"/>
        </w:rPr>
        <w:t>principle of transparency</w:t>
      </w:r>
      <w:r w:rsidRPr="00012C17">
        <w:rPr>
          <w:rFonts w:cs="Tahoma"/>
          <w:color w:val="000000"/>
          <w:sz w:val="24"/>
        </w:rPr>
        <w:t>”.</w:t>
      </w:r>
    </w:p>
    <w:p w:rsidR="004024CA" w:rsidRPr="00012C17" w:rsidRDefault="004024CA" w:rsidP="001B11C5">
      <w:pPr>
        <w:spacing w:line="240" w:lineRule="auto"/>
        <w:ind w:left="540"/>
        <w:rPr>
          <w:rFonts w:cs="Tahoma"/>
          <w:color w:val="000000"/>
          <w:sz w:val="24"/>
        </w:rPr>
      </w:pPr>
    </w:p>
    <w:p w:rsidR="004024CA" w:rsidRPr="00012C17" w:rsidRDefault="004024CA" w:rsidP="001B11C5">
      <w:pPr>
        <w:spacing w:line="240" w:lineRule="auto"/>
        <w:rPr>
          <w:rFonts w:cs="Tahoma"/>
          <w:b/>
          <w:bCs/>
          <w:i/>
          <w:iCs/>
          <w:color w:val="000000"/>
          <w:sz w:val="24"/>
        </w:rPr>
      </w:pPr>
      <w:r w:rsidRPr="00012C17">
        <w:rPr>
          <w:rFonts w:cs="Tahoma"/>
          <w:b/>
          <w:bCs/>
          <w:i/>
          <w:iCs/>
          <w:color w:val="000000"/>
          <w:sz w:val="24"/>
        </w:rPr>
        <w:t>General principles</w:t>
      </w:r>
    </w:p>
    <w:p w:rsidR="004024CA" w:rsidRPr="00012C17" w:rsidRDefault="004024CA" w:rsidP="001B11C5">
      <w:pPr>
        <w:spacing w:line="240" w:lineRule="auto"/>
        <w:rPr>
          <w:rFonts w:cs="Tahoma"/>
          <w:bCs/>
          <w:i/>
          <w:color w:val="000000"/>
          <w:sz w:val="24"/>
        </w:rPr>
      </w:pPr>
    </w:p>
    <w:p w:rsidR="004024CA" w:rsidRPr="00012C17" w:rsidRDefault="00265D47" w:rsidP="00265D47">
      <w:pPr>
        <w:numPr>
          <w:ilvl w:val="0"/>
          <w:numId w:val="37"/>
        </w:numPr>
        <w:spacing w:line="240" w:lineRule="auto"/>
        <w:ind w:hanging="450"/>
        <w:rPr>
          <w:rFonts w:eastAsia="Calibri"/>
          <w:i/>
          <w:color w:val="000000"/>
          <w:sz w:val="24"/>
        </w:rPr>
      </w:pPr>
      <w:r w:rsidRPr="00012C17">
        <w:rPr>
          <w:rFonts w:eastAsia="Calibri"/>
          <w:i/>
          <w:color w:val="000000"/>
          <w:sz w:val="24"/>
        </w:rPr>
        <w:t>Regarding</w:t>
      </w:r>
      <w:r w:rsidR="004024CA" w:rsidRPr="00012C17">
        <w:rPr>
          <w:rFonts w:eastAsia="Calibri"/>
          <w:i/>
          <w:color w:val="000000"/>
          <w:sz w:val="24"/>
        </w:rPr>
        <w:t xml:space="preserve"> the applicability of Article 3 of </w:t>
      </w:r>
      <w:r w:rsidR="00C40D12" w:rsidRPr="00012C17">
        <w:rPr>
          <w:rFonts w:eastAsia="Calibri"/>
          <w:i/>
          <w:color w:val="000000"/>
          <w:sz w:val="24"/>
        </w:rPr>
        <w:t>Protocol no.1</w:t>
      </w:r>
      <w:r w:rsidR="004024CA" w:rsidRPr="00012C17">
        <w:rPr>
          <w:rFonts w:eastAsia="Calibri"/>
          <w:i/>
          <w:color w:val="000000"/>
          <w:sz w:val="24"/>
        </w:rPr>
        <w:t xml:space="preserve"> to the ECHR </w:t>
      </w:r>
    </w:p>
    <w:p w:rsidR="004024CA" w:rsidRPr="00012C17" w:rsidRDefault="004024CA" w:rsidP="001B11C5">
      <w:pPr>
        <w:spacing w:line="240" w:lineRule="auto"/>
        <w:rPr>
          <w:rFonts w:eastAsia="Calibri"/>
          <w:color w:val="000000"/>
          <w:sz w:val="24"/>
        </w:rPr>
      </w:pPr>
    </w:p>
    <w:p w:rsidR="001F6F06" w:rsidRPr="00012C17" w:rsidRDefault="004024CA" w:rsidP="001B11C5">
      <w:pPr>
        <w:numPr>
          <w:ilvl w:val="0"/>
          <w:numId w:val="1"/>
        </w:numPr>
        <w:spacing w:line="240" w:lineRule="auto"/>
        <w:ind w:left="630" w:hanging="630"/>
        <w:rPr>
          <w:color w:val="000000"/>
          <w:sz w:val="24"/>
        </w:rPr>
      </w:pPr>
      <w:r w:rsidRPr="00012C17">
        <w:rPr>
          <w:color w:val="000000"/>
          <w:sz w:val="24"/>
        </w:rPr>
        <w:t xml:space="preserve">The rights guaranteed under Article 3 of Protocol no. 1 </w:t>
      </w:r>
      <w:r w:rsidR="00150B48" w:rsidRPr="00012C17">
        <w:rPr>
          <w:rFonts w:eastAsia="Calibri"/>
          <w:iCs/>
          <w:color w:val="000000"/>
          <w:sz w:val="24"/>
        </w:rPr>
        <w:t>to the ECHR</w:t>
      </w:r>
      <w:r w:rsidR="00150B48" w:rsidRPr="00012C17">
        <w:rPr>
          <w:rFonts w:eastAsia="Calibri"/>
          <w:i/>
          <w:color w:val="000000"/>
          <w:sz w:val="24"/>
        </w:rPr>
        <w:t xml:space="preserve"> </w:t>
      </w:r>
      <w:r w:rsidRPr="00012C17">
        <w:rPr>
          <w:color w:val="000000"/>
          <w:sz w:val="24"/>
        </w:rPr>
        <w:t xml:space="preserve">are essential for establishing and maintaining the </w:t>
      </w:r>
      <w:r w:rsidRPr="00012C17">
        <w:rPr>
          <w:rFonts w:eastAsia="Times New Roman"/>
          <w:bCs/>
          <w:iCs/>
          <w:color w:val="000000"/>
          <w:sz w:val="24"/>
        </w:rPr>
        <w:t>foundations</w:t>
      </w:r>
      <w:r w:rsidRPr="00012C17">
        <w:rPr>
          <w:color w:val="000000"/>
          <w:sz w:val="24"/>
        </w:rPr>
        <w:t xml:space="preserve"> of an effective and meaningful democracy governed by the rule of law. (See, </w:t>
      </w:r>
      <w:r w:rsidRPr="00012C17">
        <w:rPr>
          <w:i/>
          <w:iCs/>
          <w:color w:val="000000"/>
          <w:sz w:val="24"/>
        </w:rPr>
        <w:t>mutatis mutandis</w:t>
      </w:r>
      <w:r w:rsidRPr="00012C17">
        <w:rPr>
          <w:color w:val="000000"/>
          <w:sz w:val="24"/>
        </w:rPr>
        <w:t xml:space="preserve">, the case of ECtHR, </w:t>
      </w:r>
      <w:r w:rsidRPr="00012C17">
        <w:rPr>
          <w:i/>
          <w:iCs/>
          <w:color w:val="000000"/>
          <w:sz w:val="24"/>
        </w:rPr>
        <w:t>Hirst v. United Kingdom</w:t>
      </w:r>
      <w:r w:rsidRPr="00012C17">
        <w:rPr>
          <w:color w:val="000000"/>
          <w:sz w:val="24"/>
        </w:rPr>
        <w:t xml:space="preserve"> (no.2) [GC] No. 74025/01, Judgment of 6 October 2005, paragraph 58). However, these rights are not absolute. They have space for “</w:t>
      </w:r>
      <w:r w:rsidRPr="00012C17">
        <w:rPr>
          <w:i/>
          <w:iCs/>
          <w:color w:val="000000"/>
          <w:sz w:val="24"/>
        </w:rPr>
        <w:t>implicit restrictions</w:t>
      </w:r>
      <w:r w:rsidRPr="00012C17">
        <w:rPr>
          <w:color w:val="000000"/>
          <w:sz w:val="24"/>
        </w:rPr>
        <w:t xml:space="preserve">” and </w:t>
      </w:r>
      <w:r w:rsidR="001F6F06" w:rsidRPr="00012C17">
        <w:rPr>
          <w:color w:val="000000"/>
          <w:sz w:val="24"/>
        </w:rPr>
        <w:t xml:space="preserve">the </w:t>
      </w:r>
      <w:r w:rsidRPr="00012C17">
        <w:rPr>
          <w:color w:val="000000"/>
          <w:sz w:val="24"/>
        </w:rPr>
        <w:t>Contracting States are given room for assessment in this s</w:t>
      </w:r>
      <w:r w:rsidR="0025533F" w:rsidRPr="00012C17">
        <w:rPr>
          <w:color w:val="000000"/>
          <w:sz w:val="24"/>
        </w:rPr>
        <w:t>phere. (S</w:t>
      </w:r>
      <w:r w:rsidRPr="00012C17">
        <w:rPr>
          <w:color w:val="000000"/>
          <w:sz w:val="24"/>
        </w:rPr>
        <w:t xml:space="preserve">ee cases of ECtHR </w:t>
      </w:r>
      <w:r w:rsidRPr="00012C17">
        <w:rPr>
          <w:i/>
          <w:iCs/>
          <w:color w:val="000000"/>
          <w:sz w:val="24"/>
        </w:rPr>
        <w:t>Mathieu-Mohin and Clerfayt</w:t>
      </w:r>
      <w:r w:rsidRPr="00012C17">
        <w:rPr>
          <w:color w:val="000000"/>
          <w:sz w:val="24"/>
        </w:rPr>
        <w:t xml:space="preserve">, cited above, paragraph 52, </w:t>
      </w:r>
      <w:r w:rsidRPr="00012C17">
        <w:rPr>
          <w:i/>
          <w:iCs/>
          <w:color w:val="000000"/>
          <w:sz w:val="24"/>
        </w:rPr>
        <w:t>Matthe</w:t>
      </w:r>
      <w:r w:rsidR="006634E8" w:rsidRPr="00012C17">
        <w:rPr>
          <w:i/>
          <w:iCs/>
          <w:color w:val="000000"/>
          <w:sz w:val="24"/>
        </w:rPr>
        <w:t>ws</w:t>
      </w:r>
      <w:r w:rsidRPr="00012C17">
        <w:rPr>
          <w:i/>
          <w:iCs/>
          <w:color w:val="000000"/>
          <w:sz w:val="24"/>
        </w:rPr>
        <w:t xml:space="preserve"> v. United Kingdom</w:t>
      </w:r>
      <w:r w:rsidR="001F6F06" w:rsidRPr="00012C17">
        <w:rPr>
          <w:color w:val="000000"/>
          <w:sz w:val="24"/>
        </w:rPr>
        <w:t>, no.24883/</w:t>
      </w:r>
      <w:r w:rsidRPr="00012C17">
        <w:rPr>
          <w:color w:val="000000"/>
          <w:sz w:val="24"/>
        </w:rPr>
        <w:t xml:space="preserve">94, Judgment of 18 February 1999, paragraph 63, </w:t>
      </w:r>
      <w:r w:rsidRPr="00012C17">
        <w:rPr>
          <w:i/>
          <w:iCs/>
          <w:color w:val="000000"/>
          <w:sz w:val="24"/>
        </w:rPr>
        <w:t>Labita v. Italy</w:t>
      </w:r>
      <w:r w:rsidRPr="00012C17">
        <w:rPr>
          <w:color w:val="000000"/>
          <w:sz w:val="24"/>
        </w:rPr>
        <w:t xml:space="preserve">, No. 26772/95, Judgment of 6 April 2000, paragraph 201 and </w:t>
      </w:r>
      <w:r w:rsidRPr="00012C17">
        <w:rPr>
          <w:i/>
          <w:iCs/>
          <w:color w:val="000000"/>
          <w:sz w:val="24"/>
        </w:rPr>
        <w:t>Podkolzina v. Latvia</w:t>
      </w:r>
      <w:r w:rsidR="0025533F" w:rsidRPr="00012C17">
        <w:rPr>
          <w:color w:val="000000"/>
          <w:sz w:val="24"/>
        </w:rPr>
        <w:t>, No. 46726/99, paragraph</w:t>
      </w:r>
      <w:r w:rsidRPr="00012C17">
        <w:rPr>
          <w:color w:val="000000"/>
          <w:sz w:val="24"/>
        </w:rPr>
        <w:t xml:space="preserve"> 33).</w:t>
      </w:r>
    </w:p>
    <w:p w:rsidR="001F6F06" w:rsidRPr="00012C17" w:rsidRDefault="001F6F06" w:rsidP="001B11C5">
      <w:pPr>
        <w:spacing w:line="240" w:lineRule="auto"/>
        <w:ind w:left="540" w:hanging="540"/>
        <w:rPr>
          <w:rFonts w:eastAsia="Calibri"/>
          <w:color w:val="000000"/>
          <w:sz w:val="24"/>
        </w:rPr>
      </w:pPr>
    </w:p>
    <w:p w:rsidR="004024CA" w:rsidRPr="00012C17" w:rsidRDefault="001F6F06" w:rsidP="001B11C5">
      <w:pPr>
        <w:numPr>
          <w:ilvl w:val="0"/>
          <w:numId w:val="1"/>
        </w:numPr>
        <w:spacing w:line="240" w:lineRule="auto"/>
        <w:ind w:left="630" w:hanging="630"/>
        <w:rPr>
          <w:color w:val="000000"/>
          <w:sz w:val="24"/>
        </w:rPr>
      </w:pPr>
      <w:r w:rsidRPr="00012C17">
        <w:rPr>
          <w:rFonts w:eastAsia="Calibri"/>
          <w:color w:val="000000"/>
          <w:sz w:val="24"/>
        </w:rPr>
        <w:t xml:space="preserve">It is important to note that </w:t>
      </w:r>
      <w:r w:rsidR="004024CA" w:rsidRPr="00012C17">
        <w:rPr>
          <w:color w:val="000000"/>
          <w:sz w:val="24"/>
        </w:rPr>
        <w:t xml:space="preserve">the </w:t>
      </w:r>
      <w:r w:rsidR="004024CA" w:rsidRPr="00012C17">
        <w:rPr>
          <w:rFonts w:eastAsia="Times New Roman"/>
          <w:bCs/>
          <w:iCs/>
          <w:color w:val="000000"/>
          <w:sz w:val="24"/>
        </w:rPr>
        <w:t>guarantees</w:t>
      </w:r>
      <w:r w:rsidR="004024CA" w:rsidRPr="00012C17">
        <w:rPr>
          <w:color w:val="000000"/>
          <w:sz w:val="24"/>
        </w:rPr>
        <w:t xml:space="preserve"> of Article 3 of </w:t>
      </w:r>
      <w:r w:rsidR="00C40D12" w:rsidRPr="00012C17">
        <w:rPr>
          <w:color w:val="000000"/>
          <w:sz w:val="24"/>
        </w:rPr>
        <w:t>Protocol no.</w:t>
      </w:r>
      <w:r w:rsidR="0025533F" w:rsidRPr="00012C17">
        <w:rPr>
          <w:color w:val="000000"/>
          <w:sz w:val="24"/>
        </w:rPr>
        <w:t xml:space="preserve"> </w:t>
      </w:r>
      <w:r w:rsidR="00C40D12" w:rsidRPr="00012C17">
        <w:rPr>
          <w:color w:val="000000"/>
          <w:sz w:val="24"/>
        </w:rPr>
        <w:t>1</w:t>
      </w:r>
      <w:r w:rsidR="004024CA" w:rsidRPr="00012C17">
        <w:rPr>
          <w:color w:val="000000"/>
          <w:sz w:val="24"/>
        </w:rPr>
        <w:t xml:space="preserve"> to the ECHR differ from other rights guaranteed by the ECHR, and this is reflected in the wording of its own article which i</w:t>
      </w:r>
      <w:r w:rsidRPr="00012C17">
        <w:rPr>
          <w:color w:val="000000"/>
          <w:sz w:val="24"/>
        </w:rPr>
        <w:t xml:space="preserve">s </w:t>
      </w:r>
      <w:r w:rsidR="004024CA" w:rsidRPr="00012C17">
        <w:rPr>
          <w:color w:val="000000"/>
          <w:sz w:val="24"/>
        </w:rPr>
        <w:t xml:space="preserve">focused on determining the obligation on the Contracting States to hold elections that ensure the free expression of the voters’ opinion and is not formulated in the light of a particular right or freedom. Consequently, the focus of Article 3 of </w:t>
      </w:r>
      <w:r w:rsidR="00C40D12" w:rsidRPr="00012C17">
        <w:rPr>
          <w:color w:val="000000"/>
          <w:sz w:val="24"/>
        </w:rPr>
        <w:t>Protocol no.</w:t>
      </w:r>
      <w:r w:rsidR="0025533F" w:rsidRPr="00012C17">
        <w:rPr>
          <w:color w:val="000000"/>
          <w:sz w:val="24"/>
        </w:rPr>
        <w:t xml:space="preserve"> </w:t>
      </w:r>
      <w:r w:rsidR="00C40D12" w:rsidRPr="00012C17">
        <w:rPr>
          <w:color w:val="000000"/>
          <w:sz w:val="24"/>
        </w:rPr>
        <w:t>1</w:t>
      </w:r>
      <w:r w:rsidR="004024CA" w:rsidRPr="00012C17">
        <w:rPr>
          <w:color w:val="000000"/>
          <w:sz w:val="24"/>
        </w:rPr>
        <w:t xml:space="preserve"> is on the obligation of the Contracting State and not on the rights and freedoms of natural or legal persons, </w:t>
      </w:r>
      <w:r w:rsidR="004024CA" w:rsidRPr="00012C17">
        <w:rPr>
          <w:color w:val="000000"/>
          <w:sz w:val="24"/>
        </w:rPr>
        <w:lastRenderedPageBreak/>
        <w:t xml:space="preserve">even though they are not excluded, as the case-law of the ECtHR emphasizes. (See the case of ECtHR </w:t>
      </w:r>
      <w:r w:rsidR="004024CA" w:rsidRPr="00012C17">
        <w:rPr>
          <w:i/>
          <w:iCs/>
          <w:color w:val="000000"/>
          <w:sz w:val="24"/>
        </w:rPr>
        <w:t>Mathieu-Mohin and Clerfayt v. Belgium</w:t>
      </w:r>
      <w:r w:rsidR="004024CA" w:rsidRPr="00012C17">
        <w:rPr>
          <w:color w:val="000000"/>
          <w:sz w:val="24"/>
        </w:rPr>
        <w:t>, No. 9267/81 Judgment of 2 March 1987, paragraphs 46-51).</w:t>
      </w:r>
    </w:p>
    <w:p w:rsidR="001F6F06" w:rsidRPr="00012C17" w:rsidRDefault="001F6F06" w:rsidP="001B11C5">
      <w:pPr>
        <w:tabs>
          <w:tab w:val="left" w:pos="270"/>
        </w:tabs>
        <w:spacing w:line="240" w:lineRule="auto"/>
        <w:ind w:left="360"/>
        <w:rPr>
          <w:color w:val="000000"/>
          <w:sz w:val="24"/>
        </w:rPr>
      </w:pPr>
    </w:p>
    <w:p w:rsidR="004024CA" w:rsidRPr="00012C17" w:rsidRDefault="004024CA" w:rsidP="001B11C5">
      <w:pPr>
        <w:numPr>
          <w:ilvl w:val="0"/>
          <w:numId w:val="1"/>
        </w:numPr>
        <w:spacing w:line="240" w:lineRule="auto"/>
        <w:ind w:left="630" w:hanging="630"/>
        <w:rPr>
          <w:rFonts w:eastAsia="Calibri"/>
          <w:color w:val="000000"/>
          <w:sz w:val="24"/>
        </w:rPr>
      </w:pPr>
      <w:r w:rsidRPr="00012C17">
        <w:rPr>
          <w:color w:val="000000"/>
          <w:sz w:val="24"/>
        </w:rPr>
        <w:t xml:space="preserve">In this regard, the Court also </w:t>
      </w:r>
      <w:r w:rsidR="001F6F06" w:rsidRPr="00012C17">
        <w:rPr>
          <w:color w:val="000000"/>
          <w:sz w:val="24"/>
        </w:rPr>
        <w:t>emphasizes the fact</w:t>
      </w:r>
      <w:r w:rsidRPr="00012C17">
        <w:rPr>
          <w:color w:val="000000"/>
          <w:sz w:val="24"/>
        </w:rPr>
        <w:t xml:space="preserve"> that, according to ECtHR </w:t>
      </w:r>
      <w:r w:rsidR="00012C17" w:rsidRPr="00012C17">
        <w:rPr>
          <w:color w:val="000000"/>
          <w:sz w:val="24"/>
        </w:rPr>
        <w:t>case-law</w:t>
      </w:r>
      <w:r w:rsidRPr="00012C17">
        <w:rPr>
          <w:color w:val="000000"/>
          <w:sz w:val="24"/>
        </w:rPr>
        <w:t xml:space="preserve">, Article 3 of </w:t>
      </w:r>
      <w:r w:rsidR="00C40D12" w:rsidRPr="00012C17">
        <w:rPr>
          <w:color w:val="000000"/>
          <w:sz w:val="24"/>
        </w:rPr>
        <w:t>Protocol no.1</w:t>
      </w:r>
      <w:r w:rsidRPr="00012C17">
        <w:rPr>
          <w:color w:val="000000"/>
          <w:sz w:val="24"/>
        </w:rPr>
        <w:t xml:space="preserve"> to the ECHR does not cover all categories of elections, and in principle its guarantees do not apply to local elections. (See case of ECtHR </w:t>
      </w:r>
      <w:r w:rsidRPr="00012C17">
        <w:rPr>
          <w:i/>
          <w:iCs/>
          <w:color w:val="000000"/>
          <w:sz w:val="24"/>
        </w:rPr>
        <w:t>Xuereb v. Malta</w:t>
      </w:r>
      <w:r w:rsidRPr="00012C17">
        <w:rPr>
          <w:color w:val="000000"/>
          <w:sz w:val="24"/>
        </w:rPr>
        <w:t xml:space="preserve">, no. 52492/99, Decision of 15 June 2000). This is because the text of Article 3 of </w:t>
      </w:r>
      <w:r w:rsidR="00C40D12" w:rsidRPr="00012C17">
        <w:rPr>
          <w:color w:val="000000"/>
          <w:sz w:val="24"/>
        </w:rPr>
        <w:t>Protocol no.</w:t>
      </w:r>
      <w:r w:rsidR="00D35865" w:rsidRPr="00012C17">
        <w:rPr>
          <w:color w:val="000000"/>
          <w:sz w:val="24"/>
        </w:rPr>
        <w:t xml:space="preserve"> </w:t>
      </w:r>
      <w:r w:rsidR="00C40D12" w:rsidRPr="00012C17">
        <w:rPr>
          <w:color w:val="000000"/>
          <w:sz w:val="24"/>
        </w:rPr>
        <w:t>1</w:t>
      </w:r>
      <w:r w:rsidR="00D35865" w:rsidRPr="00012C17">
        <w:rPr>
          <w:color w:val="000000"/>
          <w:sz w:val="24"/>
        </w:rPr>
        <w:t xml:space="preserve"> to the ECHR</w:t>
      </w:r>
      <w:r w:rsidRPr="00012C17">
        <w:rPr>
          <w:color w:val="000000"/>
          <w:sz w:val="24"/>
        </w:rPr>
        <w:t xml:space="preserve"> refers specifically to the “</w:t>
      </w:r>
      <w:r w:rsidRPr="00012C17">
        <w:rPr>
          <w:i/>
          <w:iCs/>
          <w:color w:val="000000"/>
          <w:sz w:val="24"/>
        </w:rPr>
        <w:t>legislature</w:t>
      </w:r>
      <w:r w:rsidRPr="00012C17">
        <w:rPr>
          <w:color w:val="000000"/>
          <w:sz w:val="24"/>
        </w:rPr>
        <w:t>”, namely “</w:t>
      </w:r>
      <w:r w:rsidRPr="00012C17">
        <w:rPr>
          <w:rFonts w:cs="Futura Std"/>
          <w:i/>
          <w:iCs/>
          <w:color w:val="000000"/>
          <w:sz w:val="24"/>
        </w:rPr>
        <w:t>free expression of the opinion of the people in the choice of the legislature</w:t>
      </w:r>
      <w:r w:rsidR="001F6F06" w:rsidRPr="00012C17">
        <w:rPr>
          <w:rFonts w:cs="Futura Std"/>
          <w:i/>
          <w:iCs/>
          <w:color w:val="000000"/>
          <w:sz w:val="16"/>
          <w:szCs w:val="16"/>
        </w:rPr>
        <w:t>”</w:t>
      </w:r>
      <w:r w:rsidRPr="00012C17">
        <w:rPr>
          <w:color w:val="000000"/>
          <w:sz w:val="24"/>
        </w:rPr>
        <w:t xml:space="preserve">. Therefore, in interpreting Article 3 of </w:t>
      </w:r>
      <w:r w:rsidR="00C40D12" w:rsidRPr="00012C17">
        <w:rPr>
          <w:color w:val="000000"/>
          <w:sz w:val="24"/>
        </w:rPr>
        <w:t>Protocol no.1</w:t>
      </w:r>
      <w:r w:rsidRPr="00012C17">
        <w:rPr>
          <w:color w:val="000000"/>
          <w:sz w:val="24"/>
        </w:rPr>
        <w:t xml:space="preserve"> to the ECHR, the ECtHR, in principle, excluded from the scope of its control the presidential elections or referendums. However, according to the ECtHR the </w:t>
      </w:r>
      <w:r w:rsidR="001F6F06" w:rsidRPr="00012C17">
        <w:rPr>
          <w:color w:val="000000"/>
          <w:sz w:val="24"/>
        </w:rPr>
        <w:t>“</w:t>
      </w:r>
      <w:r w:rsidR="001F6F06" w:rsidRPr="00012C17">
        <w:rPr>
          <w:i/>
          <w:iCs/>
          <w:color w:val="000000"/>
          <w:sz w:val="24"/>
        </w:rPr>
        <w:t>legislature</w:t>
      </w:r>
      <w:r w:rsidR="001F6F06" w:rsidRPr="00012C17">
        <w:rPr>
          <w:color w:val="000000"/>
          <w:sz w:val="24"/>
        </w:rPr>
        <w:t>”</w:t>
      </w:r>
      <w:r w:rsidR="00E31ADE" w:rsidRPr="00012C17">
        <w:rPr>
          <w:color w:val="000000"/>
          <w:sz w:val="24"/>
        </w:rPr>
        <w:t xml:space="preserve"> </w:t>
      </w:r>
      <w:r w:rsidRPr="00012C17">
        <w:rPr>
          <w:color w:val="000000"/>
          <w:sz w:val="24"/>
        </w:rPr>
        <w:t>should not be interpreted as the synonym of the “</w:t>
      </w:r>
      <w:r w:rsidRPr="00012C17">
        <w:rPr>
          <w:i/>
          <w:iCs/>
          <w:color w:val="000000"/>
          <w:sz w:val="24"/>
        </w:rPr>
        <w:t>parliamentary elections</w:t>
      </w:r>
      <w:r w:rsidRPr="00012C17">
        <w:rPr>
          <w:color w:val="000000"/>
          <w:sz w:val="24"/>
        </w:rPr>
        <w:t>”. The ECtHR has in fact insisted that this term be interpreted in the light of the constitutional structure of the respective state. (</w:t>
      </w:r>
      <w:r w:rsidR="00D35865" w:rsidRPr="00012C17">
        <w:rPr>
          <w:color w:val="000000"/>
          <w:sz w:val="24"/>
        </w:rPr>
        <w:t>S</w:t>
      </w:r>
      <w:r w:rsidRPr="00012C17">
        <w:rPr>
          <w:color w:val="000000"/>
          <w:sz w:val="24"/>
        </w:rPr>
        <w:t xml:space="preserve">ee </w:t>
      </w:r>
      <w:r w:rsidRPr="00012C17">
        <w:rPr>
          <w:i/>
          <w:iCs/>
          <w:color w:val="000000"/>
          <w:sz w:val="24"/>
        </w:rPr>
        <w:t>Mathe</w:t>
      </w:r>
      <w:r w:rsidR="00D35865" w:rsidRPr="00012C17">
        <w:rPr>
          <w:i/>
          <w:iCs/>
          <w:color w:val="000000"/>
          <w:sz w:val="24"/>
        </w:rPr>
        <w:t>ws</w:t>
      </w:r>
      <w:r w:rsidRPr="00012C17">
        <w:rPr>
          <w:i/>
          <w:iCs/>
          <w:color w:val="000000"/>
          <w:sz w:val="24"/>
        </w:rPr>
        <w:t xml:space="preserve"> v. the United Kingdom</w:t>
      </w:r>
      <w:r w:rsidRPr="00012C17">
        <w:rPr>
          <w:color w:val="000000"/>
          <w:sz w:val="24"/>
        </w:rPr>
        <w:t xml:space="preserve">, cited above, paragraph 40). Through </w:t>
      </w:r>
      <w:r w:rsidRPr="00012C17">
        <w:rPr>
          <w:i/>
          <w:iCs/>
          <w:color w:val="000000"/>
          <w:sz w:val="24"/>
        </w:rPr>
        <w:t>Vito Sante Santoro v. Italy</w:t>
      </w:r>
      <w:r w:rsidRPr="00012C17">
        <w:rPr>
          <w:color w:val="000000"/>
          <w:sz w:val="24"/>
        </w:rPr>
        <w:t>, the ECtHR has acknowledged that the regional councils are part of the “</w:t>
      </w:r>
      <w:r w:rsidRPr="00012C17">
        <w:rPr>
          <w:i/>
          <w:iCs/>
          <w:color w:val="000000"/>
          <w:sz w:val="24"/>
        </w:rPr>
        <w:t>law-making body</w:t>
      </w:r>
      <w:r w:rsidRPr="00012C17">
        <w:rPr>
          <w:color w:val="000000"/>
          <w:sz w:val="24"/>
        </w:rPr>
        <w:t>” because they are “</w:t>
      </w:r>
      <w:r w:rsidRPr="00012C17">
        <w:rPr>
          <w:i/>
          <w:iCs/>
          <w:color w:val="000000"/>
          <w:sz w:val="24"/>
        </w:rPr>
        <w:t>competent to issue sub-legal acts and regulations within the territory they cover in a number of important areas in a democratic society [...]</w:t>
      </w:r>
      <w:r w:rsidR="001F6F06" w:rsidRPr="00012C17">
        <w:rPr>
          <w:i/>
          <w:iCs/>
          <w:color w:val="000000"/>
          <w:sz w:val="24"/>
        </w:rPr>
        <w:t>”.</w:t>
      </w:r>
      <w:r w:rsidR="0025533F" w:rsidRPr="00012C17">
        <w:rPr>
          <w:color w:val="000000"/>
          <w:sz w:val="24"/>
        </w:rPr>
        <w:t xml:space="preserve"> (S</w:t>
      </w:r>
      <w:r w:rsidRPr="00012C17">
        <w:rPr>
          <w:color w:val="000000"/>
          <w:sz w:val="24"/>
        </w:rPr>
        <w:t xml:space="preserve">ee case of ECtHR, </w:t>
      </w:r>
      <w:r w:rsidRPr="00012C17">
        <w:rPr>
          <w:i/>
          <w:iCs/>
          <w:color w:val="000000"/>
          <w:sz w:val="24"/>
        </w:rPr>
        <w:t>Vito Sante Santoro v. Italy</w:t>
      </w:r>
      <w:r w:rsidRPr="00012C17">
        <w:rPr>
          <w:color w:val="000000"/>
          <w:sz w:val="24"/>
        </w:rPr>
        <w:t xml:space="preserve">, No. 36681/97, Judgment of 1 July 2004, paragraph 52). However, according to ECtHR, the scope of Article 3 of </w:t>
      </w:r>
      <w:r w:rsidR="00C40D12" w:rsidRPr="00012C17">
        <w:rPr>
          <w:color w:val="000000"/>
          <w:sz w:val="24"/>
        </w:rPr>
        <w:t>Protocol no.1</w:t>
      </w:r>
      <w:r w:rsidRPr="00012C17">
        <w:rPr>
          <w:color w:val="000000"/>
          <w:sz w:val="24"/>
        </w:rPr>
        <w:t xml:space="preserve"> to the ECHR does not cover the elections of “</w:t>
      </w:r>
      <w:r w:rsidRPr="00012C17">
        <w:rPr>
          <w:i/>
          <w:iCs/>
          <w:color w:val="000000"/>
          <w:sz w:val="24"/>
        </w:rPr>
        <w:t>local governments</w:t>
      </w:r>
      <w:r w:rsidRPr="00012C17">
        <w:rPr>
          <w:color w:val="000000"/>
          <w:sz w:val="24"/>
        </w:rPr>
        <w:t>" which lack su</w:t>
      </w:r>
      <w:r w:rsidR="00012C17">
        <w:rPr>
          <w:color w:val="000000"/>
          <w:sz w:val="24"/>
        </w:rPr>
        <w:t>fficient lawmaking authority. (S</w:t>
      </w:r>
      <w:r w:rsidRPr="00012C17">
        <w:rPr>
          <w:color w:val="000000"/>
          <w:sz w:val="24"/>
        </w:rPr>
        <w:t xml:space="preserve">ee cases of the European Commission on Human Rights: </w:t>
      </w:r>
      <w:r w:rsidRPr="00012C17">
        <w:rPr>
          <w:i/>
          <w:iCs/>
          <w:color w:val="000000"/>
          <w:sz w:val="24"/>
        </w:rPr>
        <w:t>X v. United Kingdom</w:t>
      </w:r>
      <w:r w:rsidRPr="00012C17">
        <w:rPr>
          <w:color w:val="000000"/>
          <w:sz w:val="24"/>
        </w:rPr>
        <w:t xml:space="preserve">, no. 7566/76, Decision of 11 December 1976, </w:t>
      </w:r>
      <w:r w:rsidRPr="00012C17">
        <w:rPr>
          <w:i/>
          <w:iCs/>
          <w:color w:val="000000"/>
          <w:sz w:val="24"/>
        </w:rPr>
        <w:t>Booth-Clibborn and Others v. United Kingdom</w:t>
      </w:r>
      <w:r w:rsidRPr="00012C17">
        <w:rPr>
          <w:color w:val="000000"/>
          <w:sz w:val="24"/>
        </w:rPr>
        <w:t xml:space="preserve">, No.11391/85, Decision of 5 July 1985, Case of ECtHR </w:t>
      </w:r>
      <w:r w:rsidRPr="00012C17">
        <w:rPr>
          <w:i/>
          <w:iCs/>
          <w:color w:val="000000"/>
          <w:sz w:val="24"/>
        </w:rPr>
        <w:t>Gorizdra v. Moldova</w:t>
      </w:r>
      <w:r w:rsidRPr="00012C17">
        <w:rPr>
          <w:color w:val="000000"/>
          <w:sz w:val="24"/>
        </w:rPr>
        <w:t xml:space="preserve"> No. 53180/99, Decision of 2 July</w:t>
      </w:r>
      <w:r w:rsidR="006E52F9" w:rsidRPr="00012C17">
        <w:rPr>
          <w:color w:val="000000"/>
          <w:sz w:val="24"/>
        </w:rPr>
        <w:t xml:space="preserve"> </w:t>
      </w:r>
      <w:r w:rsidRPr="00012C17">
        <w:rPr>
          <w:color w:val="000000"/>
          <w:sz w:val="24"/>
        </w:rPr>
        <w:t xml:space="preserve">2002). </w:t>
      </w:r>
    </w:p>
    <w:p w:rsidR="001F6F06" w:rsidRPr="00012C17" w:rsidRDefault="001F6F06" w:rsidP="001B11C5">
      <w:pPr>
        <w:spacing w:line="240" w:lineRule="auto"/>
        <w:ind w:left="540"/>
        <w:rPr>
          <w:rFonts w:eastAsia="Calibri"/>
          <w:color w:val="000000"/>
          <w:sz w:val="24"/>
        </w:rPr>
      </w:pPr>
    </w:p>
    <w:p w:rsidR="001F6F06" w:rsidRPr="00012C17" w:rsidRDefault="001F6F06" w:rsidP="001B11C5">
      <w:pPr>
        <w:numPr>
          <w:ilvl w:val="0"/>
          <w:numId w:val="1"/>
        </w:numPr>
        <w:spacing w:line="240" w:lineRule="auto"/>
        <w:ind w:left="630" w:hanging="630"/>
        <w:rPr>
          <w:rFonts w:eastAsia="Calibri"/>
          <w:color w:val="000000"/>
          <w:sz w:val="24"/>
        </w:rPr>
      </w:pPr>
      <w:r w:rsidRPr="00012C17">
        <w:rPr>
          <w:rFonts w:eastAsia="Calibri"/>
          <w:color w:val="000000"/>
          <w:sz w:val="24"/>
        </w:rPr>
        <w:t xml:space="preserve">Based on the principles outlined above, the Court </w:t>
      </w:r>
      <w:r w:rsidR="00BA6AA7" w:rsidRPr="00012C17">
        <w:rPr>
          <w:rFonts w:eastAsia="Calibri"/>
          <w:color w:val="000000"/>
          <w:sz w:val="24"/>
        </w:rPr>
        <w:t>notes</w:t>
      </w:r>
      <w:r w:rsidRPr="00012C17">
        <w:rPr>
          <w:rFonts w:eastAsia="Calibri"/>
          <w:color w:val="000000"/>
          <w:sz w:val="24"/>
        </w:rPr>
        <w:t xml:space="preserve"> that in the circumstances of the </w:t>
      </w:r>
      <w:r w:rsidR="00BA6AA7" w:rsidRPr="00012C17">
        <w:rPr>
          <w:rFonts w:eastAsia="Calibri"/>
          <w:color w:val="000000"/>
          <w:sz w:val="24"/>
        </w:rPr>
        <w:t>present</w:t>
      </w:r>
      <w:r w:rsidRPr="00012C17">
        <w:rPr>
          <w:rFonts w:eastAsia="Calibri"/>
          <w:color w:val="000000"/>
          <w:sz w:val="24"/>
        </w:rPr>
        <w:t xml:space="preserve"> case related to the election of the </w:t>
      </w:r>
      <w:r w:rsidR="00F4767B" w:rsidRPr="00012C17">
        <w:rPr>
          <w:rFonts w:eastAsia="Calibri"/>
          <w:color w:val="000000"/>
          <w:sz w:val="24"/>
        </w:rPr>
        <w:t xml:space="preserve">Mayor </w:t>
      </w:r>
      <w:r w:rsidR="00BA6AA7" w:rsidRPr="00012C17">
        <w:rPr>
          <w:rFonts w:eastAsia="Calibri"/>
          <w:color w:val="000000"/>
          <w:sz w:val="24"/>
        </w:rPr>
        <w:t xml:space="preserve">of the </w:t>
      </w:r>
      <w:r w:rsidR="00BA6AA7" w:rsidRPr="00012C17">
        <w:rPr>
          <w:color w:val="000000"/>
          <w:sz w:val="24"/>
        </w:rPr>
        <w:t>Municipality</w:t>
      </w:r>
      <w:r w:rsidRPr="00012C17">
        <w:rPr>
          <w:rFonts w:eastAsia="Calibri"/>
          <w:color w:val="000000"/>
          <w:sz w:val="24"/>
        </w:rPr>
        <w:t xml:space="preserve">, Article 3 of </w:t>
      </w:r>
      <w:r w:rsidR="00C40D12" w:rsidRPr="00012C17">
        <w:rPr>
          <w:rFonts w:eastAsia="Calibri"/>
          <w:color w:val="000000"/>
          <w:sz w:val="24"/>
        </w:rPr>
        <w:t>Protocol no.</w:t>
      </w:r>
      <w:r w:rsidR="00265D47" w:rsidRPr="00012C17">
        <w:rPr>
          <w:rFonts w:eastAsia="Calibri"/>
          <w:color w:val="000000"/>
          <w:sz w:val="24"/>
        </w:rPr>
        <w:t xml:space="preserve"> </w:t>
      </w:r>
      <w:r w:rsidR="00C40D12" w:rsidRPr="00012C17">
        <w:rPr>
          <w:rFonts w:eastAsia="Calibri"/>
          <w:color w:val="000000"/>
          <w:sz w:val="24"/>
        </w:rPr>
        <w:t>1</w:t>
      </w:r>
      <w:r w:rsidRPr="00012C17">
        <w:rPr>
          <w:rFonts w:eastAsia="Calibri"/>
          <w:color w:val="000000"/>
          <w:sz w:val="24"/>
        </w:rPr>
        <w:t xml:space="preserve"> to the ECHR in principle </w:t>
      </w:r>
      <w:r w:rsidR="00BA6AA7" w:rsidRPr="00012C17">
        <w:rPr>
          <w:rFonts w:eastAsia="Calibri"/>
          <w:color w:val="000000"/>
          <w:sz w:val="24"/>
        </w:rPr>
        <w:t xml:space="preserve">is </w:t>
      </w:r>
      <w:r w:rsidRPr="00012C17">
        <w:rPr>
          <w:rFonts w:eastAsia="Calibri"/>
          <w:color w:val="000000"/>
          <w:sz w:val="24"/>
        </w:rPr>
        <w:t xml:space="preserve">not applicable. This is because, as noted above, according </w:t>
      </w:r>
      <w:r w:rsidR="00BA6AA7" w:rsidRPr="00012C17">
        <w:rPr>
          <w:rFonts w:eastAsia="Calibri"/>
          <w:color w:val="000000"/>
          <w:sz w:val="24"/>
        </w:rPr>
        <w:t>to the</w:t>
      </w:r>
      <w:r w:rsidR="006E52F9" w:rsidRPr="00012C17">
        <w:rPr>
          <w:rFonts w:eastAsia="Calibri"/>
          <w:color w:val="000000"/>
          <w:sz w:val="24"/>
        </w:rPr>
        <w:t xml:space="preserve"> </w:t>
      </w:r>
      <w:r w:rsidRPr="00012C17">
        <w:rPr>
          <w:rFonts w:eastAsia="Calibri"/>
          <w:color w:val="000000"/>
          <w:sz w:val="24"/>
        </w:rPr>
        <w:t>ECtHR case</w:t>
      </w:r>
      <w:r w:rsidR="00265D47" w:rsidRPr="00012C17">
        <w:rPr>
          <w:rFonts w:eastAsia="Calibri"/>
          <w:color w:val="000000"/>
          <w:sz w:val="24"/>
        </w:rPr>
        <w:t>-</w:t>
      </w:r>
      <w:r w:rsidRPr="00012C17">
        <w:rPr>
          <w:rFonts w:eastAsia="Calibri"/>
          <w:color w:val="000000"/>
          <w:sz w:val="24"/>
        </w:rPr>
        <w:t xml:space="preserve">law, the guarantees of Article 3 of </w:t>
      </w:r>
      <w:r w:rsidR="00C40D12" w:rsidRPr="00012C17">
        <w:rPr>
          <w:rFonts w:eastAsia="Calibri"/>
          <w:color w:val="000000"/>
          <w:sz w:val="24"/>
        </w:rPr>
        <w:t>Protocol no.</w:t>
      </w:r>
      <w:r w:rsidR="00265D47" w:rsidRPr="00012C17">
        <w:rPr>
          <w:rFonts w:eastAsia="Calibri"/>
          <w:color w:val="000000"/>
          <w:sz w:val="24"/>
        </w:rPr>
        <w:t xml:space="preserve"> </w:t>
      </w:r>
      <w:r w:rsidR="00C40D12" w:rsidRPr="00012C17">
        <w:rPr>
          <w:rFonts w:eastAsia="Calibri"/>
          <w:color w:val="000000"/>
          <w:sz w:val="24"/>
        </w:rPr>
        <w:t>1</w:t>
      </w:r>
      <w:r w:rsidRPr="00012C17">
        <w:rPr>
          <w:rFonts w:eastAsia="Calibri"/>
          <w:color w:val="000000"/>
          <w:sz w:val="24"/>
        </w:rPr>
        <w:t xml:space="preserve"> to the ECHR are in principle applicable to </w:t>
      </w:r>
      <w:r w:rsidR="00BA6AA7" w:rsidRPr="00012C17">
        <w:rPr>
          <w:rFonts w:eastAsia="Calibri"/>
          <w:color w:val="000000"/>
          <w:sz w:val="24"/>
        </w:rPr>
        <w:t xml:space="preserve">the </w:t>
      </w:r>
      <w:r w:rsidRPr="00012C17">
        <w:rPr>
          <w:rFonts w:eastAsia="Calibri"/>
          <w:color w:val="000000"/>
          <w:sz w:val="24"/>
        </w:rPr>
        <w:t xml:space="preserve">elections related to a </w:t>
      </w:r>
      <w:r w:rsidR="00BA6AA7" w:rsidRPr="00012C17">
        <w:rPr>
          <w:rFonts w:eastAsia="Calibri"/>
          <w:color w:val="000000"/>
          <w:sz w:val="24"/>
        </w:rPr>
        <w:t>“</w:t>
      </w:r>
      <w:r w:rsidRPr="00012C17">
        <w:rPr>
          <w:rFonts w:eastAsia="Calibri"/>
          <w:i/>
          <w:iCs/>
          <w:color w:val="000000"/>
          <w:sz w:val="24"/>
        </w:rPr>
        <w:t>legislative body</w:t>
      </w:r>
      <w:r w:rsidR="00BA6AA7" w:rsidRPr="00012C17">
        <w:rPr>
          <w:rFonts w:eastAsia="Calibri"/>
          <w:color w:val="000000"/>
          <w:sz w:val="24"/>
        </w:rPr>
        <w:t>”</w:t>
      </w:r>
      <w:r w:rsidRPr="00012C17">
        <w:rPr>
          <w:rFonts w:eastAsia="Calibri"/>
          <w:color w:val="000000"/>
          <w:sz w:val="24"/>
        </w:rPr>
        <w:t xml:space="preserve"> and that in principle</w:t>
      </w:r>
      <w:r w:rsidR="00BA6AA7" w:rsidRPr="00012C17">
        <w:rPr>
          <w:rFonts w:eastAsia="Calibri"/>
          <w:color w:val="000000"/>
          <w:sz w:val="24"/>
        </w:rPr>
        <w:t>,</w:t>
      </w:r>
      <w:r w:rsidRPr="00012C17">
        <w:rPr>
          <w:rFonts w:eastAsia="Calibri"/>
          <w:color w:val="000000"/>
          <w:sz w:val="24"/>
        </w:rPr>
        <w:t xml:space="preserve"> they are not applicable to the </w:t>
      </w:r>
      <w:r w:rsidR="00BA6AA7" w:rsidRPr="00012C17">
        <w:rPr>
          <w:rFonts w:eastAsia="Calibri"/>
          <w:color w:val="000000"/>
          <w:sz w:val="24"/>
        </w:rPr>
        <w:t>“</w:t>
      </w:r>
      <w:r w:rsidRPr="00012C17">
        <w:rPr>
          <w:rFonts w:eastAsia="Calibri"/>
          <w:i/>
          <w:iCs/>
          <w:color w:val="000000"/>
          <w:sz w:val="24"/>
        </w:rPr>
        <w:t>local governments</w:t>
      </w:r>
      <w:r w:rsidR="00BA6AA7" w:rsidRPr="00012C17">
        <w:rPr>
          <w:rFonts w:eastAsia="Calibri"/>
          <w:color w:val="000000"/>
          <w:sz w:val="24"/>
        </w:rPr>
        <w:t>”</w:t>
      </w:r>
      <w:r w:rsidRPr="00012C17">
        <w:rPr>
          <w:rFonts w:eastAsia="Calibri"/>
          <w:color w:val="000000"/>
          <w:sz w:val="24"/>
        </w:rPr>
        <w:t xml:space="preserve"> elections that lack sufficient lawmaking authority.</w:t>
      </w:r>
    </w:p>
    <w:p w:rsidR="001F6F06" w:rsidRPr="00012C17" w:rsidRDefault="001F6F06" w:rsidP="001B11C5">
      <w:pPr>
        <w:spacing w:line="240" w:lineRule="auto"/>
        <w:ind w:left="540"/>
        <w:rPr>
          <w:rFonts w:eastAsia="Calibri"/>
          <w:color w:val="000000"/>
          <w:sz w:val="24"/>
        </w:rPr>
      </w:pPr>
    </w:p>
    <w:p w:rsidR="00BA6AA7" w:rsidRPr="00012C17" w:rsidRDefault="001F6F06" w:rsidP="001B11C5">
      <w:pPr>
        <w:numPr>
          <w:ilvl w:val="0"/>
          <w:numId w:val="1"/>
        </w:numPr>
        <w:spacing w:line="240" w:lineRule="auto"/>
        <w:ind w:left="630" w:hanging="630"/>
        <w:rPr>
          <w:rFonts w:eastAsia="Calibri"/>
          <w:color w:val="000000"/>
          <w:sz w:val="24"/>
        </w:rPr>
      </w:pPr>
      <w:r w:rsidRPr="00012C17">
        <w:rPr>
          <w:rFonts w:eastAsia="Calibri"/>
          <w:color w:val="000000"/>
          <w:sz w:val="24"/>
        </w:rPr>
        <w:t xml:space="preserve">Notwithstanding this, the Court considers that the principles derived from the </w:t>
      </w:r>
      <w:r w:rsidR="00012C17" w:rsidRPr="00012C17">
        <w:rPr>
          <w:rFonts w:eastAsia="Calibri"/>
          <w:color w:val="000000"/>
          <w:sz w:val="24"/>
        </w:rPr>
        <w:t>case-law</w:t>
      </w:r>
      <w:r w:rsidRPr="00012C17">
        <w:rPr>
          <w:rFonts w:eastAsia="Calibri"/>
          <w:color w:val="000000"/>
          <w:sz w:val="24"/>
        </w:rPr>
        <w:t xml:space="preserve"> of the EC</w:t>
      </w:r>
      <w:r w:rsidR="00BA6AA7" w:rsidRPr="00012C17">
        <w:rPr>
          <w:rFonts w:eastAsia="Calibri"/>
          <w:color w:val="000000"/>
          <w:sz w:val="24"/>
        </w:rPr>
        <w:t>t</w:t>
      </w:r>
      <w:r w:rsidRPr="00012C17">
        <w:rPr>
          <w:rFonts w:eastAsia="Calibri"/>
          <w:color w:val="000000"/>
          <w:sz w:val="24"/>
        </w:rPr>
        <w:t xml:space="preserve">HR in relation to Article 3 of Protocol no. 1 </w:t>
      </w:r>
      <w:r w:rsidR="00150B48" w:rsidRPr="00012C17">
        <w:rPr>
          <w:rFonts w:eastAsia="Calibri"/>
          <w:iCs/>
          <w:color w:val="000000"/>
          <w:sz w:val="24"/>
        </w:rPr>
        <w:t>to the ECHR</w:t>
      </w:r>
      <w:r w:rsidR="00150B48" w:rsidRPr="00012C17">
        <w:rPr>
          <w:rFonts w:eastAsia="Calibri"/>
          <w:i/>
          <w:color w:val="000000"/>
          <w:sz w:val="24"/>
        </w:rPr>
        <w:t xml:space="preserve"> </w:t>
      </w:r>
      <w:r w:rsidRPr="00012C17">
        <w:rPr>
          <w:rFonts w:eastAsia="Calibri"/>
          <w:color w:val="000000"/>
          <w:sz w:val="24"/>
        </w:rPr>
        <w:t xml:space="preserve">must be applied in the circumstances of the </w:t>
      </w:r>
      <w:r w:rsidR="00BA6AA7" w:rsidRPr="00012C17">
        <w:rPr>
          <w:rFonts w:eastAsia="Calibri"/>
          <w:color w:val="000000"/>
          <w:sz w:val="24"/>
        </w:rPr>
        <w:t>present</w:t>
      </w:r>
      <w:r w:rsidRPr="00012C17">
        <w:rPr>
          <w:rFonts w:eastAsia="Calibri"/>
          <w:color w:val="000000"/>
          <w:sz w:val="24"/>
        </w:rPr>
        <w:t xml:space="preserve"> case in </w:t>
      </w:r>
      <w:r w:rsidR="00BA6AA7" w:rsidRPr="00012C17">
        <w:rPr>
          <w:rFonts w:eastAsia="Calibri"/>
          <w:color w:val="000000"/>
          <w:sz w:val="24"/>
        </w:rPr>
        <w:t>terms</w:t>
      </w:r>
      <w:r w:rsidRPr="00012C17">
        <w:rPr>
          <w:rFonts w:eastAsia="Calibri"/>
          <w:color w:val="000000"/>
          <w:sz w:val="24"/>
        </w:rPr>
        <w:t xml:space="preserve"> of the definitions and guarantees related to the </w:t>
      </w:r>
      <w:r w:rsidR="00BA6AA7" w:rsidRPr="00012C17">
        <w:rPr>
          <w:rFonts w:eastAsia="Calibri"/>
          <w:color w:val="000000"/>
          <w:sz w:val="24"/>
        </w:rPr>
        <w:t>elections</w:t>
      </w:r>
      <w:r w:rsidRPr="00012C17">
        <w:rPr>
          <w:rFonts w:eastAsia="Calibri"/>
          <w:color w:val="000000"/>
          <w:sz w:val="24"/>
        </w:rPr>
        <w:t xml:space="preserve"> rights protected beyond the ECHR and Article 45 of the Constitution. However, the Court will not </w:t>
      </w:r>
      <w:r w:rsidR="00BA6AA7" w:rsidRPr="00012C17">
        <w:rPr>
          <w:rFonts w:eastAsia="Calibri"/>
          <w:color w:val="000000"/>
          <w:sz w:val="24"/>
        </w:rPr>
        <w:t>limit</w:t>
      </w:r>
      <w:r w:rsidRPr="00012C17">
        <w:rPr>
          <w:rFonts w:eastAsia="Calibri"/>
          <w:color w:val="000000"/>
          <w:sz w:val="24"/>
        </w:rPr>
        <w:t xml:space="preserve"> itself to the applicability of Article 3 of </w:t>
      </w:r>
      <w:r w:rsidR="00C40D12" w:rsidRPr="00012C17">
        <w:rPr>
          <w:rFonts w:eastAsia="Calibri"/>
          <w:color w:val="000000"/>
          <w:sz w:val="24"/>
        </w:rPr>
        <w:t>Protocol no.1</w:t>
      </w:r>
      <w:r w:rsidRPr="00012C17">
        <w:rPr>
          <w:rFonts w:eastAsia="Calibri"/>
          <w:color w:val="000000"/>
          <w:sz w:val="24"/>
        </w:rPr>
        <w:t xml:space="preserve">, </w:t>
      </w:r>
      <w:r w:rsidR="00150B48" w:rsidRPr="00012C17">
        <w:rPr>
          <w:rFonts w:eastAsia="Calibri"/>
          <w:iCs/>
          <w:color w:val="000000"/>
          <w:sz w:val="24"/>
        </w:rPr>
        <w:t>to the ECHR,</w:t>
      </w:r>
      <w:r w:rsidR="00150B48" w:rsidRPr="00012C17">
        <w:rPr>
          <w:rFonts w:eastAsia="Calibri"/>
          <w:i/>
          <w:color w:val="000000"/>
          <w:sz w:val="24"/>
        </w:rPr>
        <w:t xml:space="preserve"> </w:t>
      </w:r>
      <w:r w:rsidR="00150B48" w:rsidRPr="00012C17">
        <w:rPr>
          <w:rFonts w:eastAsia="Calibri"/>
          <w:color w:val="000000"/>
          <w:sz w:val="24"/>
        </w:rPr>
        <w:t>and in</w:t>
      </w:r>
      <w:r w:rsidR="001B11C5" w:rsidRPr="00012C17">
        <w:rPr>
          <w:rFonts w:eastAsia="Calibri"/>
          <w:color w:val="000000"/>
          <w:sz w:val="24"/>
        </w:rPr>
        <w:t xml:space="preserve"> </w:t>
      </w:r>
      <w:r w:rsidRPr="00012C17">
        <w:rPr>
          <w:rFonts w:eastAsia="Calibri"/>
          <w:color w:val="000000"/>
          <w:sz w:val="24"/>
        </w:rPr>
        <w:t xml:space="preserve">fundamental principles built up by the ECtHR in terms of reviewing </w:t>
      </w:r>
      <w:r w:rsidR="00BA6AA7" w:rsidRPr="00012C17">
        <w:rPr>
          <w:rFonts w:eastAsia="Calibri"/>
          <w:color w:val="000000"/>
          <w:sz w:val="24"/>
        </w:rPr>
        <w:t>election</w:t>
      </w:r>
      <w:r w:rsidRPr="00012C17">
        <w:rPr>
          <w:rFonts w:eastAsia="Calibri"/>
          <w:color w:val="000000"/>
          <w:sz w:val="24"/>
        </w:rPr>
        <w:t xml:space="preserve"> disputes and moreover, it will also apply the basic principles of the </w:t>
      </w:r>
      <w:r w:rsidR="00BA6AA7" w:rsidRPr="00012C17">
        <w:rPr>
          <w:rFonts w:eastAsia="Calibri"/>
          <w:color w:val="000000"/>
          <w:sz w:val="24"/>
        </w:rPr>
        <w:t xml:space="preserve">Venice </w:t>
      </w:r>
      <w:r w:rsidRPr="00012C17">
        <w:rPr>
          <w:rFonts w:eastAsia="Calibri"/>
          <w:color w:val="000000"/>
          <w:sz w:val="24"/>
        </w:rPr>
        <w:t>Commission to be elaborated in the next section of this Judgment.</w:t>
      </w:r>
    </w:p>
    <w:p w:rsidR="004024CA" w:rsidRPr="00012C17" w:rsidRDefault="004024CA" w:rsidP="001B11C5">
      <w:pPr>
        <w:spacing w:line="240" w:lineRule="auto"/>
        <w:rPr>
          <w:rFonts w:eastAsia="Calibri"/>
          <w:color w:val="000000"/>
          <w:sz w:val="24"/>
        </w:rPr>
      </w:pPr>
    </w:p>
    <w:p w:rsidR="00A07553" w:rsidRPr="00012C17" w:rsidRDefault="00D92012" w:rsidP="00265D47">
      <w:pPr>
        <w:spacing w:line="240" w:lineRule="auto"/>
        <w:ind w:left="990" w:hanging="360"/>
        <w:rPr>
          <w:rFonts w:cs="Tahoma"/>
          <w:bCs/>
          <w:i/>
          <w:iCs/>
          <w:color w:val="000000"/>
          <w:sz w:val="24"/>
        </w:rPr>
      </w:pPr>
      <w:r w:rsidRPr="00012C17">
        <w:rPr>
          <w:rFonts w:cs="Tahoma"/>
          <w:bCs/>
          <w:i/>
          <w:iCs/>
          <w:color w:val="000000"/>
          <w:sz w:val="24"/>
        </w:rPr>
        <w:t xml:space="preserve">(ii) </w:t>
      </w:r>
      <w:r w:rsidR="00BA6AA7" w:rsidRPr="00012C17">
        <w:rPr>
          <w:rFonts w:cs="Tahoma"/>
          <w:bCs/>
          <w:i/>
          <w:iCs/>
          <w:color w:val="000000"/>
          <w:sz w:val="24"/>
        </w:rPr>
        <w:t xml:space="preserve">Regarding the guarantees of Article 45 of the Constitution in conjunction with Article 3 of </w:t>
      </w:r>
      <w:r w:rsidR="00C40D12" w:rsidRPr="00012C17">
        <w:rPr>
          <w:rFonts w:cs="Tahoma"/>
          <w:bCs/>
          <w:i/>
          <w:iCs/>
          <w:color w:val="000000"/>
          <w:sz w:val="24"/>
        </w:rPr>
        <w:t>Protocol no.1</w:t>
      </w:r>
      <w:r w:rsidR="00BA6AA7" w:rsidRPr="00012C17">
        <w:rPr>
          <w:rFonts w:cs="Tahoma"/>
          <w:bCs/>
          <w:i/>
          <w:iCs/>
          <w:color w:val="000000"/>
          <w:sz w:val="24"/>
        </w:rPr>
        <w:t xml:space="preserve"> to the ECHR</w:t>
      </w:r>
    </w:p>
    <w:p w:rsidR="00BA6AA7" w:rsidRPr="00012C17" w:rsidRDefault="00BA6AA7" w:rsidP="001B11C5">
      <w:pPr>
        <w:spacing w:line="240" w:lineRule="auto"/>
        <w:rPr>
          <w:rFonts w:cs="Tahoma"/>
          <w:bCs/>
          <w:color w:val="000000"/>
          <w:sz w:val="24"/>
        </w:rPr>
      </w:pPr>
    </w:p>
    <w:p w:rsidR="00A07553" w:rsidRPr="00012C17" w:rsidRDefault="00BA6AA7" w:rsidP="001B11C5">
      <w:pPr>
        <w:numPr>
          <w:ilvl w:val="0"/>
          <w:numId w:val="1"/>
        </w:numPr>
        <w:spacing w:line="240" w:lineRule="auto"/>
        <w:ind w:left="630" w:hanging="630"/>
        <w:rPr>
          <w:rFonts w:cs="Tahoma"/>
          <w:bCs/>
          <w:color w:val="000000"/>
          <w:sz w:val="24"/>
        </w:rPr>
      </w:pPr>
      <w:r w:rsidRPr="00012C17">
        <w:rPr>
          <w:rFonts w:cs="Tahoma"/>
          <w:bCs/>
          <w:color w:val="000000"/>
          <w:sz w:val="24"/>
        </w:rPr>
        <w:lastRenderedPageBreak/>
        <w:t>The Court notes that</w:t>
      </w:r>
      <w:r w:rsidR="00A07553" w:rsidRPr="00012C17">
        <w:rPr>
          <w:rFonts w:cs="Tahoma"/>
          <w:bCs/>
          <w:color w:val="000000"/>
          <w:sz w:val="24"/>
        </w:rPr>
        <w:t xml:space="preserve"> Article 45 of the Constitution consists of 3 separate paragraphs and each of them has the </w:t>
      </w:r>
      <w:r w:rsidR="00A07553" w:rsidRPr="00012C17">
        <w:rPr>
          <w:rFonts w:eastAsia="Calibri"/>
          <w:color w:val="000000"/>
          <w:sz w:val="24"/>
        </w:rPr>
        <w:t>relevant</w:t>
      </w:r>
      <w:r w:rsidR="00A07553" w:rsidRPr="00012C17">
        <w:rPr>
          <w:rFonts w:cs="Tahoma"/>
          <w:bCs/>
          <w:color w:val="000000"/>
          <w:sz w:val="24"/>
        </w:rPr>
        <w:t xml:space="preserve"> elements and rules. In support of the justification of the allegations in the circumstances of the present case, the Court will focus only on the first two paragraphs of Article 45 of the Constitution. </w:t>
      </w:r>
    </w:p>
    <w:p w:rsidR="00BA6AA7" w:rsidRPr="00012C17" w:rsidRDefault="00BA6AA7" w:rsidP="001B11C5">
      <w:pPr>
        <w:tabs>
          <w:tab w:val="left" w:pos="540"/>
        </w:tabs>
        <w:spacing w:line="240" w:lineRule="auto"/>
        <w:ind w:left="540"/>
        <w:rPr>
          <w:rFonts w:cs="Tahoma"/>
          <w:bCs/>
          <w:color w:val="000000"/>
          <w:sz w:val="24"/>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The first paragraph of Article 45 of the Constitution defines the right to vote (the active right </w:t>
      </w:r>
      <w:r w:rsidR="00BA6AA7" w:rsidRPr="00012C17">
        <w:rPr>
          <w:rFonts w:cs="Tahoma"/>
          <w:bCs/>
          <w:color w:val="000000"/>
          <w:sz w:val="24"/>
        </w:rPr>
        <w:t>of</w:t>
      </w:r>
      <w:r w:rsidRPr="00012C17">
        <w:rPr>
          <w:rFonts w:cs="Tahoma"/>
          <w:bCs/>
          <w:color w:val="000000"/>
          <w:sz w:val="24"/>
        </w:rPr>
        <w:t xml:space="preserve"> vote) and </w:t>
      </w:r>
      <w:r w:rsidRPr="00012C17">
        <w:rPr>
          <w:rFonts w:eastAsia="Calibri"/>
          <w:color w:val="000000"/>
          <w:sz w:val="24"/>
        </w:rPr>
        <w:t>the</w:t>
      </w:r>
      <w:r w:rsidRPr="00012C17">
        <w:rPr>
          <w:rFonts w:cs="Tahoma"/>
          <w:bCs/>
          <w:color w:val="000000"/>
          <w:sz w:val="24"/>
        </w:rPr>
        <w:t xml:space="preserve"> right to be elected (passive right of vote). The first right, i.e. the one of active vote, belongs only to individuals, i.e. to natural persons, who are citizens of the Republic of Kosovo and who have reached the age of 18, even on the </w:t>
      </w:r>
      <w:r w:rsidR="00BA6AA7" w:rsidRPr="00012C17">
        <w:rPr>
          <w:rFonts w:cs="Tahoma"/>
          <w:bCs/>
          <w:color w:val="000000"/>
          <w:sz w:val="24"/>
        </w:rPr>
        <w:t xml:space="preserve">voting </w:t>
      </w:r>
      <w:r w:rsidRPr="00012C17">
        <w:rPr>
          <w:rFonts w:cs="Tahoma"/>
          <w:bCs/>
          <w:color w:val="000000"/>
          <w:sz w:val="24"/>
        </w:rPr>
        <w:t xml:space="preserve">day and in the event that their right is not limited by a court decision. The other right, that of a passive vote, belongs to the candidates as individuals, namely as natural persons, who run in elections at the local or central level, as well as to political entities, namely legal persons competing in the elections at the local or central level . Also for the passive right of vote </w:t>
      </w:r>
      <w:r w:rsidR="00BA6AA7" w:rsidRPr="00012C17">
        <w:rPr>
          <w:rFonts w:cs="Tahoma"/>
          <w:bCs/>
          <w:color w:val="000000"/>
          <w:sz w:val="24"/>
        </w:rPr>
        <w:t>applies</w:t>
      </w:r>
      <w:r w:rsidRPr="00012C17">
        <w:rPr>
          <w:rFonts w:cs="Tahoma"/>
          <w:bCs/>
          <w:color w:val="000000"/>
          <w:sz w:val="24"/>
        </w:rPr>
        <w:t xml:space="preserve"> the condition that right of the latter to exercise this right is not limited by a court decision.</w:t>
      </w:r>
      <w:r w:rsidR="006E52F9" w:rsidRPr="00012C17">
        <w:rPr>
          <w:rFonts w:cs="Tahoma"/>
          <w:bCs/>
          <w:color w:val="000000"/>
          <w:sz w:val="24"/>
        </w:rPr>
        <w:t xml:space="preserve"> </w:t>
      </w:r>
    </w:p>
    <w:p w:rsidR="00BA6AA7" w:rsidRPr="00012C17" w:rsidRDefault="00BA6AA7" w:rsidP="001B11C5">
      <w:pPr>
        <w:pStyle w:val="ListParagraph"/>
        <w:spacing w:after="0" w:line="240" w:lineRule="auto"/>
        <w:rPr>
          <w:rFonts w:cs="Tahoma"/>
          <w:bCs/>
          <w:color w:val="000000"/>
          <w:sz w:val="24"/>
          <w:lang w:val="en-US"/>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Meanwhile, the second paragraph of Article 45 of the Constitution guarantees that the vote is personal, equal, free and secret. The same guarantees are also defined in terms of local self-government, which according to Article 123 of the Constitution is exercised through </w:t>
      </w:r>
      <w:r w:rsidRPr="00012C17">
        <w:rPr>
          <w:rFonts w:eastAsia="Calibri"/>
          <w:color w:val="000000"/>
          <w:sz w:val="24"/>
        </w:rPr>
        <w:t>representative</w:t>
      </w:r>
      <w:r w:rsidRPr="00012C17">
        <w:rPr>
          <w:rFonts w:cs="Tahoma"/>
          <w:bCs/>
          <w:color w:val="000000"/>
          <w:sz w:val="24"/>
        </w:rPr>
        <w:t xml:space="preserve"> </w:t>
      </w:r>
      <w:r w:rsidR="00BA6AA7" w:rsidRPr="00012C17">
        <w:rPr>
          <w:rFonts w:cs="Tahoma"/>
          <w:bCs/>
          <w:color w:val="000000"/>
          <w:sz w:val="24"/>
        </w:rPr>
        <w:t>authorit</w:t>
      </w:r>
      <w:r w:rsidR="00D92012" w:rsidRPr="00012C17">
        <w:rPr>
          <w:rFonts w:cs="Tahoma"/>
          <w:bCs/>
          <w:color w:val="000000"/>
          <w:sz w:val="24"/>
        </w:rPr>
        <w:t>i</w:t>
      </w:r>
      <w:r w:rsidR="00BA6AA7" w:rsidRPr="00012C17">
        <w:rPr>
          <w:rFonts w:cs="Tahoma"/>
          <w:bCs/>
          <w:color w:val="000000"/>
          <w:sz w:val="24"/>
        </w:rPr>
        <w:t>es</w:t>
      </w:r>
      <w:r w:rsidRPr="00012C17">
        <w:rPr>
          <w:rFonts w:cs="Tahoma"/>
          <w:bCs/>
          <w:color w:val="000000"/>
          <w:sz w:val="24"/>
        </w:rPr>
        <w:t xml:space="preserve"> elected in general, equal, free and direct elections and by secret ballot. These constitutional guarantees are also further specified by the LGE, the Law on </w:t>
      </w:r>
      <w:r w:rsidR="00BA6AA7" w:rsidRPr="00012C17">
        <w:rPr>
          <w:rFonts w:cs="Tahoma"/>
          <w:bCs/>
          <w:color w:val="000000"/>
          <w:sz w:val="24"/>
        </w:rPr>
        <w:t>Amending</w:t>
      </w:r>
      <w:r w:rsidRPr="00012C17">
        <w:rPr>
          <w:rFonts w:cs="Tahoma"/>
          <w:bCs/>
          <w:color w:val="000000"/>
          <w:sz w:val="24"/>
        </w:rPr>
        <w:t xml:space="preserve"> and </w:t>
      </w:r>
      <w:r w:rsidR="00BA6AA7" w:rsidRPr="00012C17">
        <w:rPr>
          <w:rFonts w:cs="Tahoma"/>
          <w:bCs/>
          <w:color w:val="000000"/>
          <w:sz w:val="24"/>
        </w:rPr>
        <w:t>Supplementing</w:t>
      </w:r>
      <w:r w:rsidRPr="00012C17">
        <w:rPr>
          <w:rFonts w:cs="Tahoma"/>
          <w:bCs/>
          <w:color w:val="000000"/>
          <w:sz w:val="24"/>
        </w:rPr>
        <w:t xml:space="preserve"> the LGE and the Law No. 03/L-072 on Local Elections in the Republic of Kosovo (hereinafter: the Law on Local Elections). In addition, the latter are in harmony with the five fundamental principles of the European electoral </w:t>
      </w:r>
      <w:r w:rsidR="00BA6AA7" w:rsidRPr="00012C17">
        <w:rPr>
          <w:rFonts w:cs="Tahoma"/>
          <w:bCs/>
          <w:color w:val="000000"/>
          <w:sz w:val="24"/>
        </w:rPr>
        <w:t>heritage</w:t>
      </w:r>
      <w:r w:rsidRPr="00012C17">
        <w:rPr>
          <w:rFonts w:cs="Tahoma"/>
          <w:bCs/>
          <w:color w:val="000000"/>
          <w:sz w:val="24"/>
        </w:rPr>
        <w:t xml:space="preserve">, summarized in the Code of Good Practice and </w:t>
      </w:r>
      <w:r w:rsidR="00BA6AA7" w:rsidRPr="00012C17">
        <w:rPr>
          <w:rFonts w:cs="Tahoma"/>
          <w:bCs/>
          <w:color w:val="000000"/>
          <w:sz w:val="24"/>
        </w:rPr>
        <w:t xml:space="preserve">respective </w:t>
      </w:r>
      <w:r w:rsidRPr="00012C17">
        <w:rPr>
          <w:rFonts w:cs="Tahoma"/>
          <w:bCs/>
          <w:color w:val="000000"/>
          <w:sz w:val="24"/>
        </w:rPr>
        <w:t>Explanatory Report, which, as summarized above, include the universal vote, equal vote, free vote, secret vote, and direct vote</w:t>
      </w:r>
      <w:r w:rsidRPr="00012C17">
        <w:rPr>
          <w:color w:val="000000"/>
          <w:sz w:val="24"/>
        </w:rPr>
        <w:t xml:space="preserve">. </w:t>
      </w:r>
    </w:p>
    <w:p w:rsidR="00E01357" w:rsidRPr="00012C17" w:rsidRDefault="00E01357" w:rsidP="001B11C5">
      <w:pPr>
        <w:pStyle w:val="ListParagraph"/>
        <w:spacing w:after="0" w:line="240" w:lineRule="auto"/>
        <w:rPr>
          <w:rFonts w:cs="Tahoma"/>
          <w:bCs/>
          <w:color w:val="000000"/>
          <w:sz w:val="24"/>
          <w:lang w:val="en-US"/>
        </w:rPr>
      </w:pPr>
    </w:p>
    <w:p w:rsidR="00A07553" w:rsidRPr="00012C17" w:rsidRDefault="00150B48" w:rsidP="001B11C5">
      <w:pPr>
        <w:numPr>
          <w:ilvl w:val="0"/>
          <w:numId w:val="1"/>
        </w:numPr>
        <w:spacing w:line="240" w:lineRule="auto"/>
        <w:ind w:left="630" w:hanging="630"/>
        <w:rPr>
          <w:rFonts w:cs="Tahoma"/>
          <w:bCs/>
          <w:color w:val="000000"/>
          <w:sz w:val="24"/>
        </w:rPr>
      </w:pPr>
      <w:r w:rsidRPr="00012C17">
        <w:rPr>
          <w:rFonts w:cs="Tahoma"/>
          <w:bCs/>
          <w:color w:val="000000"/>
          <w:sz w:val="24"/>
        </w:rPr>
        <w:t>In the interpretation of guarantees embodied in Article 45 of the Constitution</w:t>
      </w:r>
      <w:r w:rsidR="00E01357" w:rsidRPr="00012C17">
        <w:rPr>
          <w:rFonts w:cs="Tahoma"/>
          <w:bCs/>
          <w:color w:val="000000"/>
          <w:sz w:val="24"/>
        </w:rPr>
        <w:t xml:space="preserve">, the Court </w:t>
      </w:r>
      <w:r w:rsidR="00ED5477" w:rsidRPr="00012C17">
        <w:rPr>
          <w:rFonts w:cs="Tahoma"/>
          <w:bCs/>
          <w:color w:val="000000"/>
          <w:sz w:val="24"/>
        </w:rPr>
        <w:t>refers to</w:t>
      </w:r>
      <w:r w:rsidR="00E01357" w:rsidRPr="00012C17">
        <w:rPr>
          <w:rFonts w:cs="Tahoma"/>
          <w:bCs/>
          <w:color w:val="000000"/>
          <w:sz w:val="24"/>
        </w:rPr>
        <w:t xml:space="preserve"> the</w:t>
      </w:r>
      <w:r w:rsidR="00A07553" w:rsidRPr="00012C17">
        <w:rPr>
          <w:rFonts w:eastAsia="Calibri"/>
          <w:color w:val="000000"/>
          <w:sz w:val="24"/>
        </w:rPr>
        <w:t xml:space="preserve"> ECtHR</w:t>
      </w:r>
      <w:r w:rsidR="00E01357" w:rsidRPr="00012C17">
        <w:rPr>
          <w:rFonts w:eastAsia="Calibri"/>
          <w:color w:val="000000"/>
          <w:sz w:val="24"/>
        </w:rPr>
        <w:t xml:space="preserve"> </w:t>
      </w:r>
      <w:r w:rsidR="00012C17" w:rsidRPr="00012C17">
        <w:rPr>
          <w:rFonts w:eastAsia="Calibri"/>
          <w:color w:val="000000"/>
          <w:sz w:val="24"/>
        </w:rPr>
        <w:t>case-law</w:t>
      </w:r>
      <w:r w:rsidR="00ED5477" w:rsidRPr="00012C17">
        <w:rPr>
          <w:rFonts w:eastAsia="Calibri"/>
          <w:color w:val="000000"/>
          <w:sz w:val="24"/>
        </w:rPr>
        <w:t xml:space="preserve">, which </w:t>
      </w:r>
      <w:r w:rsidR="00A07553" w:rsidRPr="00012C17">
        <w:rPr>
          <w:rFonts w:eastAsia="Calibri"/>
          <w:color w:val="000000"/>
          <w:sz w:val="24"/>
        </w:rPr>
        <w:t xml:space="preserve">has </w:t>
      </w:r>
      <w:r w:rsidR="00ED5477" w:rsidRPr="00012C17">
        <w:rPr>
          <w:rFonts w:eastAsia="Calibri"/>
          <w:color w:val="000000"/>
          <w:sz w:val="24"/>
        </w:rPr>
        <w:t xml:space="preserve">also </w:t>
      </w:r>
      <w:r w:rsidR="00A07553" w:rsidRPr="00012C17">
        <w:rPr>
          <w:rFonts w:eastAsia="Calibri"/>
          <w:color w:val="000000"/>
          <w:sz w:val="24"/>
        </w:rPr>
        <w:t xml:space="preserve">interpreted Article 3 of </w:t>
      </w:r>
      <w:r w:rsidR="00C40D12" w:rsidRPr="00012C17">
        <w:rPr>
          <w:rFonts w:eastAsia="Calibri"/>
          <w:color w:val="000000"/>
          <w:sz w:val="24"/>
        </w:rPr>
        <w:t>Protocol no.1</w:t>
      </w:r>
      <w:r w:rsidR="00A07553" w:rsidRPr="00012C17">
        <w:rPr>
          <w:rFonts w:eastAsia="Calibri"/>
          <w:color w:val="000000"/>
          <w:sz w:val="24"/>
        </w:rPr>
        <w:t xml:space="preserve"> to the ECHR as a guarantee of “</w:t>
      </w:r>
      <w:r w:rsidR="00A07553" w:rsidRPr="00012C17">
        <w:rPr>
          <w:rFonts w:eastAsia="Calibri"/>
          <w:i/>
          <w:iCs/>
          <w:color w:val="000000"/>
          <w:sz w:val="24"/>
        </w:rPr>
        <w:t>the active right of vote</w:t>
      </w:r>
      <w:r w:rsidR="00A07553" w:rsidRPr="00012C17">
        <w:rPr>
          <w:rFonts w:eastAsia="Calibri"/>
          <w:color w:val="000000"/>
          <w:sz w:val="24"/>
        </w:rPr>
        <w:t>” and “</w:t>
      </w:r>
      <w:r w:rsidR="00A07553" w:rsidRPr="00012C17">
        <w:rPr>
          <w:rFonts w:eastAsia="Calibri"/>
          <w:i/>
          <w:iCs/>
          <w:color w:val="000000"/>
          <w:sz w:val="24"/>
        </w:rPr>
        <w:t>the passive right of vote</w:t>
      </w:r>
      <w:r w:rsidR="00A07553" w:rsidRPr="00012C17">
        <w:rPr>
          <w:rFonts w:eastAsia="Calibri"/>
          <w:color w:val="000000"/>
          <w:sz w:val="24"/>
        </w:rPr>
        <w:t>”. Both provide substantial and procedural safeguards. However, the Court notes that</w:t>
      </w:r>
      <w:r w:rsidR="00ED5477" w:rsidRPr="00012C17">
        <w:rPr>
          <w:rFonts w:eastAsia="Calibri"/>
          <w:color w:val="000000"/>
          <w:sz w:val="24"/>
        </w:rPr>
        <w:t xml:space="preserve">, based on the </w:t>
      </w:r>
      <w:r w:rsidR="00012C17" w:rsidRPr="00012C17">
        <w:rPr>
          <w:rFonts w:eastAsia="Calibri"/>
          <w:color w:val="000000"/>
          <w:sz w:val="24"/>
        </w:rPr>
        <w:t>case-law</w:t>
      </w:r>
      <w:r w:rsidR="00ED5477" w:rsidRPr="00012C17">
        <w:rPr>
          <w:rFonts w:eastAsia="Calibri"/>
          <w:color w:val="000000"/>
          <w:sz w:val="24"/>
        </w:rPr>
        <w:t xml:space="preserve"> of the ECtHR, the</w:t>
      </w:r>
      <w:r w:rsidR="00A07553" w:rsidRPr="00012C17">
        <w:rPr>
          <w:rFonts w:eastAsia="Calibri"/>
          <w:color w:val="000000"/>
          <w:sz w:val="24"/>
        </w:rPr>
        <w:t xml:space="preserve"> passive rights have been equipped by less protection through the ECtHR </w:t>
      </w:r>
      <w:r w:rsidR="00012C17" w:rsidRPr="00012C17">
        <w:rPr>
          <w:rFonts w:eastAsia="Calibri"/>
          <w:color w:val="000000"/>
          <w:sz w:val="24"/>
        </w:rPr>
        <w:t>case-law</w:t>
      </w:r>
      <w:r w:rsidR="00A07553" w:rsidRPr="00012C17">
        <w:rPr>
          <w:rFonts w:eastAsia="Calibri"/>
          <w:color w:val="000000"/>
          <w:sz w:val="24"/>
        </w:rPr>
        <w:t xml:space="preserve"> than active rights</w:t>
      </w:r>
      <w:r w:rsidR="0025533F" w:rsidRPr="00012C17">
        <w:rPr>
          <w:rFonts w:eastAsia="Calibri"/>
          <w:color w:val="000000"/>
          <w:sz w:val="24"/>
        </w:rPr>
        <w:t>. (S</w:t>
      </w:r>
      <w:r w:rsidR="00A07553" w:rsidRPr="00012C17">
        <w:rPr>
          <w:rFonts w:eastAsia="Calibri"/>
          <w:color w:val="000000"/>
          <w:sz w:val="24"/>
        </w:rPr>
        <w:t xml:space="preserve">ee ECHR case </w:t>
      </w:r>
      <w:r w:rsidR="00A07553" w:rsidRPr="00012C17">
        <w:rPr>
          <w:rFonts w:eastAsia="Calibri"/>
          <w:i/>
          <w:iCs/>
          <w:color w:val="000000"/>
          <w:sz w:val="24"/>
        </w:rPr>
        <w:t>Zdanoka v. Latvia</w:t>
      </w:r>
      <w:r w:rsidR="00A07553" w:rsidRPr="00012C17">
        <w:rPr>
          <w:rFonts w:eastAsia="Calibri"/>
          <w:color w:val="000000"/>
          <w:sz w:val="24"/>
        </w:rPr>
        <w:t>, No. 588278/00, Judgment of 16 March 20</w:t>
      </w:r>
      <w:r w:rsidR="00E01357" w:rsidRPr="00012C17">
        <w:rPr>
          <w:rFonts w:eastAsia="Calibri"/>
          <w:color w:val="000000"/>
          <w:sz w:val="24"/>
        </w:rPr>
        <w:t>06, para. 105 -106). The ECtHR</w:t>
      </w:r>
      <w:r w:rsidR="00A07553" w:rsidRPr="00012C17">
        <w:rPr>
          <w:rFonts w:eastAsia="Calibri"/>
          <w:color w:val="000000"/>
          <w:sz w:val="24"/>
        </w:rPr>
        <w:t xml:space="preserve"> </w:t>
      </w:r>
      <w:r w:rsidR="00012C17" w:rsidRPr="00012C17">
        <w:rPr>
          <w:rFonts w:eastAsia="Calibri"/>
          <w:color w:val="000000"/>
          <w:sz w:val="24"/>
        </w:rPr>
        <w:t>case-law</w:t>
      </w:r>
      <w:r w:rsidR="00A07553" w:rsidRPr="00012C17">
        <w:rPr>
          <w:rFonts w:eastAsia="Calibri"/>
          <w:color w:val="000000"/>
          <w:sz w:val="24"/>
        </w:rPr>
        <w:t xml:space="preserve"> in relation to passive rights has largely focused on verifying the lack of arbitrariness in </w:t>
      </w:r>
      <w:r w:rsidR="00E01357" w:rsidRPr="00012C17">
        <w:rPr>
          <w:rFonts w:eastAsia="Calibri"/>
          <w:color w:val="000000"/>
          <w:sz w:val="24"/>
        </w:rPr>
        <w:t xml:space="preserve">the </w:t>
      </w:r>
      <w:r w:rsidR="00A07553" w:rsidRPr="00012C17">
        <w:rPr>
          <w:rFonts w:eastAsia="Calibri"/>
          <w:color w:val="000000"/>
          <w:sz w:val="24"/>
        </w:rPr>
        <w:t>domestic proceedings that may have resulted in disqualification of a natural or legal person to run in the election. (</w:t>
      </w:r>
      <w:r w:rsidR="00157DAA" w:rsidRPr="00012C17">
        <w:rPr>
          <w:rFonts w:eastAsia="Calibri"/>
          <w:color w:val="000000"/>
          <w:sz w:val="24"/>
        </w:rPr>
        <w:t xml:space="preserve">See ECtHR cases, </w:t>
      </w:r>
      <w:r w:rsidR="00A07553" w:rsidRPr="00012C17">
        <w:rPr>
          <w:rFonts w:eastAsia="Calibri"/>
          <w:i/>
          <w:iCs/>
          <w:color w:val="000000"/>
          <w:sz w:val="24"/>
        </w:rPr>
        <w:t>Zdanoka v. Latvia</w:t>
      </w:r>
      <w:r w:rsidR="00A07553" w:rsidRPr="00012C17">
        <w:rPr>
          <w:rFonts w:eastAsia="Calibri"/>
          <w:color w:val="000000"/>
          <w:sz w:val="24"/>
        </w:rPr>
        <w:t xml:space="preserve"> cited above, paragraph 115; </w:t>
      </w:r>
      <w:r w:rsidR="00A07553" w:rsidRPr="00012C17">
        <w:rPr>
          <w:rFonts w:eastAsia="Calibri"/>
          <w:i/>
          <w:iCs/>
          <w:color w:val="000000"/>
          <w:sz w:val="24"/>
        </w:rPr>
        <w:t>Melnitchenko v. Ukraine</w:t>
      </w:r>
      <w:r w:rsidR="00A07553" w:rsidRPr="00012C17">
        <w:rPr>
          <w:rFonts w:eastAsia="Calibri"/>
          <w:color w:val="000000"/>
          <w:sz w:val="24"/>
        </w:rPr>
        <w:t xml:space="preserve">, No. 17707/02, Judgment of 19 October 2004, paragraph </w:t>
      </w:r>
      <w:r w:rsidR="00A07553" w:rsidRPr="00012C17">
        <w:rPr>
          <w:rFonts w:eastAsia="Times New Roman" w:cs="Arial"/>
          <w:color w:val="000000"/>
          <w:sz w:val="24"/>
        </w:rPr>
        <w:t>57).</w:t>
      </w:r>
    </w:p>
    <w:p w:rsidR="00157DAA" w:rsidRPr="00012C17" w:rsidRDefault="00157DAA" w:rsidP="001B11C5">
      <w:pPr>
        <w:pStyle w:val="ListParagraph"/>
        <w:spacing w:after="0" w:line="240" w:lineRule="auto"/>
        <w:rPr>
          <w:rFonts w:cs="Tahoma"/>
          <w:bCs/>
          <w:color w:val="000000"/>
          <w:sz w:val="24"/>
          <w:lang w:val="en-US"/>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color w:val="000000"/>
          <w:sz w:val="24"/>
        </w:rPr>
        <w:t xml:space="preserve">Beyond the active and passive </w:t>
      </w:r>
      <w:r w:rsidR="00157DAA" w:rsidRPr="00012C17">
        <w:rPr>
          <w:rFonts w:eastAsia="Calibri"/>
          <w:color w:val="000000"/>
          <w:sz w:val="24"/>
        </w:rPr>
        <w:t>rights</w:t>
      </w:r>
      <w:r w:rsidR="00157DAA" w:rsidRPr="00012C17">
        <w:rPr>
          <w:color w:val="000000"/>
          <w:sz w:val="24"/>
        </w:rPr>
        <w:t xml:space="preserve"> of vote</w:t>
      </w:r>
      <w:r w:rsidRPr="00012C17">
        <w:rPr>
          <w:color w:val="000000"/>
          <w:sz w:val="24"/>
        </w:rPr>
        <w:t xml:space="preserve">, according to the </w:t>
      </w:r>
      <w:r w:rsidR="00157DAA" w:rsidRPr="00012C17">
        <w:rPr>
          <w:color w:val="000000"/>
          <w:sz w:val="24"/>
        </w:rPr>
        <w:t>most recent</w:t>
      </w:r>
      <w:r w:rsidRPr="00012C17">
        <w:rPr>
          <w:color w:val="000000"/>
          <w:sz w:val="24"/>
        </w:rPr>
        <w:t xml:space="preserve"> EC</w:t>
      </w:r>
      <w:r w:rsidR="00157DAA" w:rsidRPr="00012C17">
        <w:rPr>
          <w:color w:val="000000"/>
          <w:sz w:val="24"/>
        </w:rPr>
        <w:t>t</w:t>
      </w:r>
      <w:r w:rsidRPr="00012C17">
        <w:rPr>
          <w:color w:val="000000"/>
          <w:sz w:val="24"/>
        </w:rPr>
        <w:t xml:space="preserve">HR </w:t>
      </w:r>
      <w:r w:rsidR="00012C17" w:rsidRPr="00012C17">
        <w:rPr>
          <w:color w:val="000000"/>
          <w:sz w:val="24"/>
        </w:rPr>
        <w:t>case-law</w:t>
      </w:r>
      <w:r w:rsidRPr="00012C17">
        <w:rPr>
          <w:color w:val="000000"/>
          <w:sz w:val="24"/>
        </w:rPr>
        <w:t xml:space="preserve">, Article 3 of Protocol no. 1 </w:t>
      </w:r>
      <w:r w:rsidR="00D92012" w:rsidRPr="00012C17">
        <w:rPr>
          <w:color w:val="000000"/>
          <w:sz w:val="24"/>
        </w:rPr>
        <w:t xml:space="preserve">to the ECHR </w:t>
      </w:r>
      <w:r w:rsidRPr="00012C17">
        <w:rPr>
          <w:color w:val="000000"/>
          <w:sz w:val="24"/>
        </w:rPr>
        <w:t xml:space="preserve">includes </w:t>
      </w:r>
      <w:r w:rsidR="00157DAA" w:rsidRPr="00012C17">
        <w:rPr>
          <w:color w:val="000000"/>
          <w:sz w:val="24"/>
        </w:rPr>
        <w:t>the “</w:t>
      </w:r>
      <w:r w:rsidRPr="00012C17">
        <w:rPr>
          <w:i/>
          <w:iCs/>
          <w:color w:val="000000"/>
          <w:sz w:val="24"/>
        </w:rPr>
        <w:t>post-election period</w:t>
      </w:r>
      <w:r w:rsidR="00157DAA" w:rsidRPr="00012C17">
        <w:rPr>
          <w:color w:val="000000"/>
          <w:sz w:val="24"/>
        </w:rPr>
        <w:t>”</w:t>
      </w:r>
      <w:r w:rsidRPr="00012C17">
        <w:rPr>
          <w:color w:val="000000"/>
          <w:sz w:val="24"/>
        </w:rPr>
        <w:t xml:space="preserve"> or </w:t>
      </w:r>
      <w:r w:rsidR="00157DAA" w:rsidRPr="00012C17">
        <w:rPr>
          <w:color w:val="000000"/>
          <w:sz w:val="24"/>
        </w:rPr>
        <w:t>“</w:t>
      </w:r>
      <w:r w:rsidRPr="00012C17">
        <w:rPr>
          <w:i/>
          <w:iCs/>
          <w:color w:val="000000"/>
          <w:sz w:val="24"/>
        </w:rPr>
        <w:t>post-election rights</w:t>
      </w:r>
      <w:r w:rsidR="00157DAA" w:rsidRPr="00012C17">
        <w:rPr>
          <w:color w:val="000000"/>
          <w:sz w:val="24"/>
        </w:rPr>
        <w:t>”</w:t>
      </w:r>
      <w:r w:rsidRPr="00012C17">
        <w:rPr>
          <w:color w:val="000000"/>
          <w:sz w:val="24"/>
        </w:rPr>
        <w:t xml:space="preserve">. In that </w:t>
      </w:r>
      <w:r w:rsidR="00157DAA" w:rsidRPr="00012C17">
        <w:rPr>
          <w:color w:val="000000"/>
          <w:sz w:val="24"/>
        </w:rPr>
        <w:t>regard</w:t>
      </w:r>
      <w:r w:rsidRPr="00012C17">
        <w:rPr>
          <w:color w:val="000000"/>
          <w:sz w:val="24"/>
        </w:rPr>
        <w:t>, the ECtHR has argued that the essence of free elections implies a number of electoral rights that encompass minimum standards governing the practices and institutions designed to administer voting, counting and determining the election result. (</w:t>
      </w:r>
      <w:r w:rsidR="00157DAA" w:rsidRPr="00012C17">
        <w:rPr>
          <w:rFonts w:eastAsia="Calibri"/>
          <w:color w:val="000000"/>
          <w:sz w:val="24"/>
        </w:rPr>
        <w:t xml:space="preserve">See ECtHR </w:t>
      </w:r>
      <w:r w:rsidR="00157DAA" w:rsidRPr="00012C17">
        <w:rPr>
          <w:rFonts w:eastAsia="Calibri"/>
          <w:color w:val="000000"/>
          <w:sz w:val="24"/>
        </w:rPr>
        <w:lastRenderedPageBreak/>
        <w:t>case,</w:t>
      </w:r>
      <w:r w:rsidR="00157DAA" w:rsidRPr="00012C17">
        <w:rPr>
          <w:color w:val="000000"/>
          <w:sz w:val="24"/>
        </w:rPr>
        <w:t xml:space="preserve"> </w:t>
      </w:r>
      <w:r w:rsidRPr="00012C17">
        <w:rPr>
          <w:i/>
          <w:iCs/>
          <w:color w:val="000000"/>
          <w:sz w:val="24"/>
        </w:rPr>
        <w:t>Davydov and Others v. Russia</w:t>
      </w:r>
      <w:r w:rsidRPr="00012C17">
        <w:rPr>
          <w:color w:val="000000"/>
          <w:sz w:val="24"/>
        </w:rPr>
        <w:t xml:space="preserve">, No. 75947/11, Judgment of 30 May 2017, paragraphs </w:t>
      </w:r>
      <w:r w:rsidRPr="00012C17">
        <w:rPr>
          <w:rFonts w:eastAsia="Times New Roman" w:cs="Arial"/>
          <w:color w:val="000000"/>
          <w:sz w:val="24"/>
        </w:rPr>
        <w:t>284-285).</w:t>
      </w:r>
    </w:p>
    <w:p w:rsidR="00157DAA" w:rsidRPr="00012C17" w:rsidRDefault="00157DAA" w:rsidP="001B11C5">
      <w:pPr>
        <w:pStyle w:val="ListParagraph"/>
        <w:spacing w:after="0" w:line="240" w:lineRule="auto"/>
        <w:rPr>
          <w:rFonts w:cs="Tahoma"/>
          <w:bCs/>
          <w:color w:val="000000"/>
          <w:sz w:val="24"/>
          <w:lang w:val="en-US"/>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In light of these rights, </w:t>
      </w:r>
      <w:r w:rsidRPr="00012C17">
        <w:rPr>
          <w:rFonts w:eastAsia="Calibri"/>
          <w:color w:val="000000"/>
          <w:sz w:val="24"/>
        </w:rPr>
        <w:t>the</w:t>
      </w:r>
      <w:r w:rsidRPr="00012C17">
        <w:rPr>
          <w:rFonts w:cs="Tahoma"/>
          <w:bCs/>
          <w:color w:val="000000"/>
          <w:sz w:val="24"/>
        </w:rPr>
        <w:t xml:space="preserve"> ECtHR has, </w:t>
      </w:r>
      <w:r w:rsidRPr="00012C17">
        <w:rPr>
          <w:rFonts w:cs="Tahoma"/>
          <w:bCs/>
          <w:i/>
          <w:iCs/>
          <w:color w:val="000000"/>
          <w:sz w:val="24"/>
        </w:rPr>
        <w:t>inter alia</w:t>
      </w:r>
      <w:r w:rsidRPr="00012C17">
        <w:rPr>
          <w:rFonts w:cs="Tahoma"/>
          <w:bCs/>
          <w:color w:val="000000"/>
          <w:sz w:val="24"/>
        </w:rPr>
        <w:t>, reviewed cases involving the laws regulating voter registration issues as a prerequisite for the free exercise of the election rights (</w:t>
      </w:r>
      <w:r w:rsidR="00012C17">
        <w:rPr>
          <w:rFonts w:cs="Tahoma"/>
          <w:bCs/>
          <w:color w:val="000000"/>
          <w:sz w:val="24"/>
        </w:rPr>
        <w:t>s</w:t>
      </w:r>
      <w:r w:rsidR="00D92012" w:rsidRPr="00012C17">
        <w:rPr>
          <w:rFonts w:cs="Tahoma"/>
          <w:bCs/>
          <w:color w:val="000000"/>
          <w:sz w:val="24"/>
        </w:rPr>
        <w:t xml:space="preserve">ee ECtHR case, </w:t>
      </w:r>
      <w:r w:rsidRPr="00012C17">
        <w:rPr>
          <w:rFonts w:cs="Tahoma"/>
          <w:bCs/>
          <w:i/>
          <w:iCs/>
          <w:color w:val="000000"/>
          <w:sz w:val="24"/>
        </w:rPr>
        <w:t xml:space="preserve">Georgian </w:t>
      </w:r>
      <w:r w:rsidR="00D92012" w:rsidRPr="00012C17">
        <w:rPr>
          <w:rFonts w:cs="Tahoma"/>
          <w:bCs/>
          <w:i/>
          <w:iCs/>
          <w:color w:val="000000"/>
          <w:sz w:val="24"/>
        </w:rPr>
        <w:t xml:space="preserve">Labor </w:t>
      </w:r>
      <w:r w:rsidRPr="00012C17">
        <w:rPr>
          <w:rFonts w:cs="Tahoma"/>
          <w:bCs/>
          <w:i/>
          <w:iCs/>
          <w:color w:val="000000"/>
          <w:sz w:val="24"/>
        </w:rPr>
        <w:t>Party v. Georgia</w:t>
      </w:r>
      <w:r w:rsidRPr="00012C17">
        <w:rPr>
          <w:rFonts w:cs="Tahoma"/>
          <w:bCs/>
          <w:color w:val="000000"/>
          <w:sz w:val="24"/>
        </w:rPr>
        <w:t xml:space="preserve"> No. 9103/04, Judgment of 8 July 2008); the obligation of the state to organize free elections includes the obligation to establish mechanisms that have the capacity to investigate the allegations </w:t>
      </w:r>
      <w:r w:rsidR="00157DAA" w:rsidRPr="00012C17">
        <w:rPr>
          <w:rFonts w:cs="Tahoma"/>
          <w:bCs/>
          <w:color w:val="000000"/>
          <w:sz w:val="24"/>
        </w:rPr>
        <w:t>of</w:t>
      </w:r>
      <w:r w:rsidRPr="00012C17">
        <w:rPr>
          <w:rFonts w:cs="Tahoma"/>
          <w:bCs/>
          <w:color w:val="000000"/>
          <w:sz w:val="24"/>
        </w:rPr>
        <w:t xml:space="preserve"> </w:t>
      </w:r>
      <w:r w:rsidR="00D92012" w:rsidRPr="00012C17">
        <w:rPr>
          <w:rFonts w:cs="Tahoma"/>
          <w:bCs/>
          <w:color w:val="000000"/>
          <w:sz w:val="24"/>
        </w:rPr>
        <w:t>electio</w:t>
      </w:r>
      <w:r w:rsidR="00265D47" w:rsidRPr="00012C17">
        <w:rPr>
          <w:rFonts w:cs="Tahoma"/>
          <w:bCs/>
          <w:color w:val="000000"/>
          <w:sz w:val="24"/>
        </w:rPr>
        <w:t>n</w:t>
      </w:r>
      <w:r w:rsidRPr="00012C17">
        <w:rPr>
          <w:rFonts w:cs="Tahoma"/>
          <w:bCs/>
          <w:color w:val="000000"/>
          <w:sz w:val="24"/>
        </w:rPr>
        <w:t xml:space="preserve"> irregularities</w:t>
      </w:r>
      <w:r w:rsidR="00157DAA" w:rsidRPr="00012C17">
        <w:rPr>
          <w:rFonts w:cs="Tahoma"/>
          <w:bCs/>
          <w:color w:val="000000"/>
          <w:sz w:val="24"/>
        </w:rPr>
        <w:t xml:space="preserve"> and to improve and address the latter</w:t>
      </w:r>
      <w:r w:rsidRPr="00012C17">
        <w:rPr>
          <w:rFonts w:cs="Tahoma"/>
          <w:bCs/>
          <w:color w:val="000000"/>
          <w:sz w:val="24"/>
        </w:rPr>
        <w:t xml:space="preserve"> (</w:t>
      </w:r>
      <w:r w:rsidR="0025533F" w:rsidRPr="00012C17">
        <w:rPr>
          <w:rFonts w:cs="Tahoma"/>
          <w:bCs/>
          <w:color w:val="000000"/>
          <w:sz w:val="24"/>
        </w:rPr>
        <w:t>s</w:t>
      </w:r>
      <w:r w:rsidR="00265D47" w:rsidRPr="00012C17">
        <w:rPr>
          <w:rFonts w:cs="Tahoma"/>
          <w:bCs/>
          <w:color w:val="000000"/>
          <w:sz w:val="24"/>
        </w:rPr>
        <w:t xml:space="preserve">ee ECtHR case, </w:t>
      </w:r>
      <w:r w:rsidRPr="00012C17">
        <w:rPr>
          <w:rFonts w:cs="Tahoma"/>
          <w:bCs/>
          <w:i/>
          <w:iCs/>
          <w:color w:val="000000"/>
          <w:sz w:val="24"/>
        </w:rPr>
        <w:t>Namat Aliyev v. Azerbaijan</w:t>
      </w:r>
      <w:r w:rsidRPr="00012C17">
        <w:rPr>
          <w:rFonts w:cs="Tahoma"/>
          <w:bCs/>
          <w:color w:val="000000"/>
          <w:sz w:val="24"/>
        </w:rPr>
        <w:t xml:space="preserve"> No. 18705/06 Judgment of 8 April 2010); or cases related to the need for a court hearing responsible for complaints and election disputes. The latter determined that the essence of an e</w:t>
      </w:r>
      <w:r w:rsidR="00157DAA" w:rsidRPr="00012C17">
        <w:rPr>
          <w:rFonts w:cs="Tahoma"/>
          <w:bCs/>
          <w:color w:val="000000"/>
          <w:sz w:val="24"/>
        </w:rPr>
        <w:t>le</w:t>
      </w:r>
      <w:r w:rsidRPr="00012C17">
        <w:rPr>
          <w:rFonts w:cs="Tahoma"/>
          <w:bCs/>
          <w:color w:val="000000"/>
          <w:sz w:val="24"/>
        </w:rPr>
        <w:t>ction right may be restricted,</w:t>
      </w:r>
      <w:r w:rsidR="00157DAA" w:rsidRPr="00012C17">
        <w:rPr>
          <w:rFonts w:cs="Tahoma"/>
          <w:bCs/>
          <w:color w:val="000000"/>
          <w:sz w:val="24"/>
        </w:rPr>
        <w:t xml:space="preserve"> hence violated, if there is no</w:t>
      </w:r>
      <w:r w:rsidRPr="00012C17">
        <w:rPr>
          <w:rFonts w:cs="Tahoma"/>
          <w:bCs/>
          <w:color w:val="000000"/>
          <w:sz w:val="24"/>
        </w:rPr>
        <w:t xml:space="preserve"> sufficient guarantee for an effective and impartial appeal system. (</w:t>
      </w:r>
      <w:r w:rsidR="00157DAA" w:rsidRPr="00012C17">
        <w:rPr>
          <w:rFonts w:eastAsia="Calibri"/>
          <w:color w:val="000000"/>
          <w:sz w:val="24"/>
        </w:rPr>
        <w:t>See ECtHR case</w:t>
      </w:r>
      <w:r w:rsidR="00157DAA" w:rsidRPr="00012C17">
        <w:rPr>
          <w:rFonts w:cs="Tahoma"/>
          <w:bCs/>
          <w:i/>
          <w:iCs/>
          <w:color w:val="000000"/>
          <w:sz w:val="24"/>
        </w:rPr>
        <w:t xml:space="preserve">, </w:t>
      </w:r>
      <w:r w:rsidRPr="00012C17">
        <w:rPr>
          <w:rFonts w:cs="Tahoma"/>
          <w:bCs/>
          <w:i/>
          <w:iCs/>
          <w:color w:val="000000"/>
          <w:sz w:val="24"/>
        </w:rPr>
        <w:t>Grosaru v. Romania</w:t>
      </w:r>
      <w:r w:rsidRPr="00012C17">
        <w:rPr>
          <w:rFonts w:cs="Tahoma"/>
          <w:bCs/>
          <w:color w:val="000000"/>
          <w:sz w:val="24"/>
        </w:rPr>
        <w:t xml:space="preserve">, </w:t>
      </w:r>
      <w:r w:rsidR="00157DAA" w:rsidRPr="00012C17">
        <w:rPr>
          <w:rFonts w:cs="Tahoma"/>
          <w:bCs/>
          <w:color w:val="000000"/>
          <w:sz w:val="24"/>
        </w:rPr>
        <w:t>cited above</w:t>
      </w:r>
      <w:r w:rsidRPr="00012C17">
        <w:rPr>
          <w:rFonts w:cs="Tahoma"/>
          <w:bCs/>
          <w:color w:val="000000"/>
          <w:sz w:val="24"/>
        </w:rPr>
        <w:t xml:space="preserve">). </w:t>
      </w:r>
    </w:p>
    <w:p w:rsidR="00A07553" w:rsidRPr="00012C17" w:rsidRDefault="00A07553" w:rsidP="001B11C5">
      <w:pPr>
        <w:spacing w:line="240" w:lineRule="auto"/>
        <w:rPr>
          <w:rFonts w:cs="Tahoma"/>
          <w:bCs/>
          <w:color w:val="000000"/>
          <w:sz w:val="24"/>
        </w:rPr>
      </w:pPr>
    </w:p>
    <w:p w:rsidR="00A07553" w:rsidRPr="00012C17" w:rsidRDefault="00ED5477" w:rsidP="00265D47">
      <w:pPr>
        <w:spacing w:line="240" w:lineRule="auto"/>
        <w:ind w:left="1080" w:hanging="450"/>
        <w:rPr>
          <w:rFonts w:cs="Tahoma"/>
          <w:bCs/>
          <w:i/>
          <w:color w:val="000000"/>
          <w:sz w:val="24"/>
        </w:rPr>
      </w:pPr>
      <w:r w:rsidRPr="00012C17">
        <w:rPr>
          <w:rFonts w:cs="Tahoma"/>
          <w:bCs/>
          <w:i/>
          <w:color w:val="000000"/>
          <w:sz w:val="24"/>
        </w:rPr>
        <w:t xml:space="preserve">(iii) </w:t>
      </w:r>
      <w:r w:rsidR="00157DAA" w:rsidRPr="00012C17">
        <w:rPr>
          <w:rFonts w:cs="Tahoma"/>
          <w:bCs/>
          <w:i/>
          <w:color w:val="000000"/>
          <w:sz w:val="24"/>
        </w:rPr>
        <w:t>Regarding the framework for assessment of election disputes based on the EC</w:t>
      </w:r>
      <w:r w:rsidR="00D92012" w:rsidRPr="00012C17">
        <w:rPr>
          <w:rFonts w:cs="Tahoma"/>
          <w:bCs/>
          <w:i/>
          <w:color w:val="000000"/>
          <w:sz w:val="24"/>
        </w:rPr>
        <w:t>t</w:t>
      </w:r>
      <w:r w:rsidR="00157DAA" w:rsidRPr="00012C17">
        <w:rPr>
          <w:rFonts w:cs="Tahoma"/>
          <w:bCs/>
          <w:i/>
          <w:color w:val="000000"/>
          <w:sz w:val="24"/>
        </w:rPr>
        <w:t>HR practice and the Venice Commission</w:t>
      </w:r>
    </w:p>
    <w:p w:rsidR="00157DAA" w:rsidRPr="00012C17" w:rsidRDefault="00157DAA" w:rsidP="001B11C5">
      <w:pPr>
        <w:spacing w:line="240" w:lineRule="auto"/>
        <w:rPr>
          <w:rFonts w:cs="Tahoma"/>
          <w:bCs/>
          <w:color w:val="000000"/>
          <w:sz w:val="24"/>
        </w:rPr>
      </w:pPr>
    </w:p>
    <w:p w:rsidR="00A07553" w:rsidRPr="00012C17" w:rsidRDefault="00A07553" w:rsidP="001B11C5">
      <w:pPr>
        <w:numPr>
          <w:ilvl w:val="0"/>
          <w:numId w:val="1"/>
        </w:numPr>
        <w:spacing w:line="240" w:lineRule="auto"/>
        <w:ind w:left="630" w:hanging="630"/>
        <w:rPr>
          <w:rFonts w:cs="Arial"/>
          <w:i/>
          <w:color w:val="000000"/>
          <w:sz w:val="24"/>
        </w:rPr>
      </w:pPr>
      <w:r w:rsidRPr="00012C17">
        <w:rPr>
          <w:rFonts w:eastAsia="Calibri"/>
          <w:color w:val="000000"/>
          <w:sz w:val="24"/>
        </w:rPr>
        <w:t xml:space="preserve">In principle, the test that the ECtHR applies to assess whether Article 3 of </w:t>
      </w:r>
      <w:r w:rsidR="00C40D12" w:rsidRPr="00012C17">
        <w:rPr>
          <w:rFonts w:eastAsia="Calibri"/>
          <w:color w:val="000000"/>
          <w:sz w:val="24"/>
        </w:rPr>
        <w:t>Protocol no.1</w:t>
      </w:r>
      <w:r w:rsidRPr="00012C17">
        <w:rPr>
          <w:rFonts w:eastAsia="Calibri"/>
          <w:color w:val="000000"/>
          <w:sz w:val="24"/>
        </w:rPr>
        <w:t xml:space="preserve"> has been </w:t>
      </w:r>
      <w:r w:rsidR="00157DAA" w:rsidRPr="00012C17">
        <w:rPr>
          <w:rFonts w:eastAsia="Calibri"/>
          <w:color w:val="000000"/>
          <w:sz w:val="24"/>
        </w:rPr>
        <w:t>violated</w:t>
      </w:r>
      <w:r w:rsidRPr="00012C17">
        <w:rPr>
          <w:rFonts w:eastAsia="Calibri"/>
          <w:color w:val="000000"/>
          <w:sz w:val="24"/>
        </w:rPr>
        <w:t xml:space="preserve"> </w:t>
      </w:r>
      <w:r w:rsidR="00D92012" w:rsidRPr="00012C17">
        <w:rPr>
          <w:rFonts w:eastAsia="Calibri"/>
          <w:color w:val="000000"/>
          <w:sz w:val="24"/>
        </w:rPr>
        <w:t>was</w:t>
      </w:r>
      <w:r w:rsidRPr="00012C17">
        <w:rPr>
          <w:rFonts w:eastAsia="Calibri"/>
          <w:color w:val="000000"/>
          <w:sz w:val="24"/>
        </w:rPr>
        <w:t xml:space="preserve"> determined by </w:t>
      </w:r>
      <w:r w:rsidRPr="00012C17">
        <w:rPr>
          <w:rFonts w:eastAsia="Calibri"/>
          <w:i/>
          <w:iCs/>
          <w:color w:val="000000"/>
          <w:sz w:val="24"/>
        </w:rPr>
        <w:t>Mathieu-Mohin and Clerfayt v. Belgium</w:t>
      </w:r>
      <w:r w:rsidRPr="00012C17">
        <w:rPr>
          <w:rFonts w:eastAsia="Calibri"/>
          <w:color w:val="000000"/>
          <w:sz w:val="24"/>
        </w:rPr>
        <w:t xml:space="preserve"> and according to which</w:t>
      </w:r>
      <w:r w:rsidRPr="00012C17">
        <w:rPr>
          <w:i/>
          <w:color w:val="000000"/>
          <w:sz w:val="24"/>
        </w:rPr>
        <w:t>: “</w:t>
      </w:r>
      <w:r w:rsidRPr="00012C17">
        <w:rPr>
          <w:i/>
          <w:iCs/>
          <w:color w:val="000000"/>
          <w:sz w:val="24"/>
        </w:rPr>
        <w:t>the Court has to satisfy itself that the conditions do not curtail the rights in question to such an extent as to impair their very essence and deprive them of their effectiveness; that they are imposed in pursuit of a legitimate aim; and that the means employed are not disproportionate</w:t>
      </w:r>
      <w:r w:rsidRPr="00012C17">
        <w:rPr>
          <w:i/>
          <w:color w:val="000000"/>
          <w:sz w:val="24"/>
        </w:rPr>
        <w:t xml:space="preserve">”. In particular, such restrictions should not impede the free expression of public opinion in </w:t>
      </w:r>
      <w:r w:rsidR="00667573" w:rsidRPr="00012C17">
        <w:rPr>
          <w:i/>
          <w:color w:val="000000"/>
          <w:sz w:val="24"/>
        </w:rPr>
        <w:t xml:space="preserve">the choice of the legislature”. </w:t>
      </w:r>
      <w:r w:rsidRPr="00012C17">
        <w:rPr>
          <w:color w:val="000000"/>
          <w:sz w:val="24"/>
        </w:rPr>
        <w:t>(</w:t>
      </w:r>
      <w:r w:rsidR="00667573" w:rsidRPr="00012C17">
        <w:rPr>
          <w:rFonts w:eastAsia="Calibri"/>
          <w:color w:val="000000"/>
          <w:sz w:val="24"/>
        </w:rPr>
        <w:t>See ECtHR case,</w:t>
      </w:r>
      <w:r w:rsidR="00667573" w:rsidRPr="00012C17">
        <w:rPr>
          <w:i/>
          <w:color w:val="000000"/>
          <w:sz w:val="24"/>
        </w:rPr>
        <w:t xml:space="preserve"> </w:t>
      </w:r>
      <w:r w:rsidRPr="00012C17">
        <w:rPr>
          <w:i/>
          <w:color w:val="000000"/>
          <w:sz w:val="24"/>
        </w:rPr>
        <w:t xml:space="preserve">Mathieu-Mohin and Clerfayt v. Belgium, cited above, paragraph </w:t>
      </w:r>
      <w:r w:rsidRPr="00012C17">
        <w:rPr>
          <w:color w:val="000000"/>
          <w:sz w:val="24"/>
        </w:rPr>
        <w:t>52).</w:t>
      </w:r>
    </w:p>
    <w:p w:rsidR="00667573" w:rsidRPr="00012C17" w:rsidRDefault="00667573" w:rsidP="001B11C5">
      <w:pPr>
        <w:spacing w:line="240" w:lineRule="auto"/>
        <w:rPr>
          <w:rFonts w:cs="Arial"/>
          <w:i/>
          <w:color w:val="000000"/>
          <w:sz w:val="24"/>
        </w:rPr>
      </w:pPr>
    </w:p>
    <w:p w:rsidR="00667573" w:rsidRPr="00012C17" w:rsidRDefault="00667573" w:rsidP="001B11C5">
      <w:pPr>
        <w:numPr>
          <w:ilvl w:val="0"/>
          <w:numId w:val="1"/>
        </w:numPr>
        <w:spacing w:line="240" w:lineRule="auto"/>
        <w:ind w:left="630" w:hanging="630"/>
        <w:rPr>
          <w:rFonts w:eastAsia="Calibri"/>
          <w:color w:val="000000"/>
          <w:sz w:val="24"/>
        </w:rPr>
      </w:pPr>
      <w:r w:rsidRPr="00012C17">
        <w:rPr>
          <w:color w:val="000000"/>
          <w:sz w:val="24"/>
        </w:rPr>
        <w:t>In this respect</w:t>
      </w:r>
      <w:r w:rsidR="00A07553" w:rsidRPr="00012C17">
        <w:rPr>
          <w:color w:val="000000"/>
          <w:sz w:val="24"/>
        </w:rPr>
        <w:t xml:space="preserve">, the ECtHR </w:t>
      </w:r>
      <w:r w:rsidR="00012C17" w:rsidRPr="00012C17">
        <w:rPr>
          <w:color w:val="000000"/>
          <w:sz w:val="24"/>
        </w:rPr>
        <w:t>case-law</w:t>
      </w:r>
      <w:r w:rsidR="00A07553" w:rsidRPr="00012C17">
        <w:rPr>
          <w:color w:val="000000"/>
          <w:sz w:val="24"/>
        </w:rPr>
        <w:t xml:space="preserve"> has built several other criteria based on which it examines the </w:t>
      </w:r>
      <w:r w:rsidR="00A07553" w:rsidRPr="00012C17">
        <w:rPr>
          <w:rFonts w:eastAsia="Calibri"/>
          <w:color w:val="000000"/>
          <w:sz w:val="24"/>
        </w:rPr>
        <w:t>alleged</w:t>
      </w:r>
      <w:r w:rsidR="00A07553" w:rsidRPr="00012C17">
        <w:rPr>
          <w:color w:val="000000"/>
          <w:sz w:val="24"/>
        </w:rPr>
        <w:t xml:space="preserve"> violations of the election rights, including</w:t>
      </w:r>
      <w:r w:rsidRPr="00012C17">
        <w:rPr>
          <w:color w:val="000000"/>
          <w:sz w:val="24"/>
        </w:rPr>
        <w:t xml:space="preserve"> the fact that</w:t>
      </w:r>
      <w:r w:rsidR="00A07553" w:rsidRPr="00012C17">
        <w:rPr>
          <w:color w:val="000000"/>
          <w:sz w:val="24"/>
        </w:rPr>
        <w:t xml:space="preserve">: a) </w:t>
      </w:r>
      <w:r w:rsidRPr="00012C17">
        <w:rPr>
          <w:color w:val="000000"/>
          <w:sz w:val="24"/>
        </w:rPr>
        <w:t>“</w:t>
      </w:r>
      <w:r w:rsidR="00A07553" w:rsidRPr="00012C17">
        <w:rPr>
          <w:i/>
          <w:iCs/>
          <w:color w:val="000000"/>
          <w:sz w:val="24"/>
        </w:rPr>
        <w:t xml:space="preserve">constraints on electoral rights </w:t>
      </w:r>
      <w:r w:rsidR="00A07553" w:rsidRPr="00012C17">
        <w:rPr>
          <w:rFonts w:cs="Arial"/>
          <w:i/>
          <w:iCs/>
          <w:color w:val="000000"/>
          <w:sz w:val="24"/>
          <w:shd w:val="clear" w:color="auto" w:fill="FFFFFF"/>
        </w:rPr>
        <w:t>must reflect, or not run counter to, the concern to maintain the integrity and effectiveness of an electoral procedure aimed at identifying the will of the people through</w:t>
      </w:r>
      <w:r w:rsidR="00A07553" w:rsidRPr="00012C17">
        <w:rPr>
          <w:i/>
          <w:iCs/>
          <w:color w:val="000000"/>
          <w:sz w:val="24"/>
        </w:rPr>
        <w:t xml:space="preserve"> free vote</w:t>
      </w:r>
      <w:r w:rsidR="00A07553" w:rsidRPr="00012C17">
        <w:rPr>
          <w:color w:val="000000"/>
          <w:sz w:val="24"/>
        </w:rPr>
        <w:t>”</w:t>
      </w:r>
      <w:r w:rsidR="00012C17">
        <w:rPr>
          <w:color w:val="000000"/>
          <w:sz w:val="24"/>
        </w:rPr>
        <w:t>.</w:t>
      </w:r>
      <w:r w:rsidR="00A07553" w:rsidRPr="00012C17">
        <w:rPr>
          <w:color w:val="000000"/>
          <w:sz w:val="24"/>
        </w:rPr>
        <w:t xml:space="preserve"> (</w:t>
      </w:r>
      <w:r w:rsidRPr="00012C17">
        <w:rPr>
          <w:color w:val="000000"/>
          <w:sz w:val="24"/>
        </w:rPr>
        <w:t>See</w:t>
      </w:r>
      <w:r w:rsidR="00A07553" w:rsidRPr="00012C17">
        <w:rPr>
          <w:color w:val="000000"/>
          <w:sz w:val="24"/>
        </w:rPr>
        <w:t xml:space="preserve"> </w:t>
      </w:r>
      <w:r w:rsidR="00A07553" w:rsidRPr="00012C17">
        <w:rPr>
          <w:i/>
          <w:iCs/>
          <w:color w:val="000000"/>
          <w:sz w:val="24"/>
        </w:rPr>
        <w:t>Hirst v. United Kingdom</w:t>
      </w:r>
      <w:r w:rsidR="00A07553" w:rsidRPr="00012C17">
        <w:rPr>
          <w:color w:val="000000"/>
          <w:sz w:val="24"/>
        </w:rPr>
        <w:t xml:space="preserve"> (no 2) cited above, paragraph 162 and </w:t>
      </w:r>
      <w:r w:rsidR="00A07553" w:rsidRPr="00012C17">
        <w:rPr>
          <w:i/>
          <w:iCs/>
          <w:color w:val="000000"/>
          <w:sz w:val="24"/>
        </w:rPr>
        <w:t>Lykourezos v. Greece</w:t>
      </w:r>
      <w:r w:rsidR="00A07553" w:rsidRPr="00012C17">
        <w:rPr>
          <w:color w:val="000000"/>
          <w:sz w:val="24"/>
        </w:rPr>
        <w:t xml:space="preserve"> no. 33554/03, Judgment of 15 June 2006, paragraph 52). In practice, according to the ECtHR, this means that it reviews relevant complaints in terms of </w:t>
      </w:r>
      <w:r w:rsidR="00ED5477" w:rsidRPr="00012C17">
        <w:rPr>
          <w:color w:val="000000"/>
          <w:sz w:val="24"/>
        </w:rPr>
        <w:t xml:space="preserve">lack of </w:t>
      </w:r>
      <w:r w:rsidR="00A07553" w:rsidRPr="00012C17">
        <w:rPr>
          <w:color w:val="000000"/>
          <w:sz w:val="24"/>
        </w:rPr>
        <w:t>arbitrariness</w:t>
      </w:r>
      <w:r w:rsidR="00012C17">
        <w:rPr>
          <w:color w:val="000000"/>
          <w:sz w:val="24"/>
        </w:rPr>
        <w:t xml:space="preserve"> or of proportionality. (S</w:t>
      </w:r>
      <w:r w:rsidR="00A07553" w:rsidRPr="00012C17">
        <w:rPr>
          <w:color w:val="000000"/>
          <w:sz w:val="24"/>
        </w:rPr>
        <w:t xml:space="preserve">ee case of ECtHR </w:t>
      </w:r>
      <w:r w:rsidR="00A07553" w:rsidRPr="00012C17">
        <w:rPr>
          <w:i/>
          <w:iCs/>
          <w:color w:val="000000"/>
          <w:sz w:val="24"/>
        </w:rPr>
        <w:t>Yumak and Sadak v. Turkey</w:t>
      </w:r>
      <w:r w:rsidR="00A07553" w:rsidRPr="00012C17">
        <w:rPr>
          <w:color w:val="000000"/>
          <w:sz w:val="24"/>
        </w:rPr>
        <w:t xml:space="preserve">, No. 10226/03, Judgment of 8 July 2008, paragraph 109). </w:t>
      </w:r>
    </w:p>
    <w:p w:rsidR="00667573" w:rsidRPr="00012C17" w:rsidRDefault="00667573" w:rsidP="001B11C5">
      <w:pPr>
        <w:pStyle w:val="ListParagraph"/>
        <w:spacing w:after="0" w:line="240" w:lineRule="auto"/>
        <w:rPr>
          <w:rFonts w:eastAsia="Calibri"/>
          <w:color w:val="000000"/>
          <w:sz w:val="24"/>
          <w:lang w:val="en-US"/>
        </w:rPr>
      </w:pPr>
    </w:p>
    <w:p w:rsidR="00A07553" w:rsidRPr="00012C17" w:rsidRDefault="00A07553" w:rsidP="001B11C5">
      <w:pPr>
        <w:numPr>
          <w:ilvl w:val="0"/>
          <w:numId w:val="1"/>
        </w:numPr>
        <w:spacing w:line="240" w:lineRule="auto"/>
        <w:ind w:left="630" w:hanging="630"/>
        <w:rPr>
          <w:rFonts w:eastAsia="Calibri"/>
          <w:color w:val="000000"/>
          <w:sz w:val="24"/>
        </w:rPr>
      </w:pPr>
      <w:r w:rsidRPr="00012C17">
        <w:rPr>
          <w:rFonts w:eastAsia="Times New Roman" w:cs="Arial"/>
          <w:color w:val="000000"/>
          <w:sz w:val="24"/>
        </w:rPr>
        <w:t xml:space="preserve">In principle, in assessing </w:t>
      </w:r>
      <w:r w:rsidRPr="00012C17">
        <w:rPr>
          <w:rFonts w:eastAsia="Calibri"/>
          <w:color w:val="000000"/>
          <w:sz w:val="24"/>
        </w:rPr>
        <w:t>compliance</w:t>
      </w:r>
      <w:r w:rsidRPr="00012C17">
        <w:rPr>
          <w:rFonts w:eastAsia="Times New Roman" w:cs="Arial"/>
          <w:color w:val="000000"/>
          <w:sz w:val="24"/>
        </w:rPr>
        <w:t xml:space="preserve"> with Article 3 of </w:t>
      </w:r>
      <w:r w:rsidR="00C40D12" w:rsidRPr="00012C17">
        <w:rPr>
          <w:rFonts w:eastAsia="Times New Roman" w:cs="Arial"/>
          <w:color w:val="000000"/>
          <w:sz w:val="24"/>
        </w:rPr>
        <w:t>Protocol no.1</w:t>
      </w:r>
      <w:r w:rsidRPr="00012C17">
        <w:rPr>
          <w:rFonts w:eastAsia="Times New Roman" w:cs="Arial"/>
          <w:color w:val="000000"/>
          <w:sz w:val="24"/>
        </w:rPr>
        <w:t xml:space="preserve"> to the ECHR, the ECtHR focuses mainly on two essential issues: a) whether there has been arbitrar</w:t>
      </w:r>
      <w:r w:rsidR="00D92012" w:rsidRPr="00012C17">
        <w:rPr>
          <w:rFonts w:eastAsia="Times New Roman" w:cs="Arial"/>
          <w:color w:val="000000"/>
          <w:sz w:val="24"/>
        </w:rPr>
        <w:t>iness</w:t>
      </w:r>
      <w:r w:rsidRPr="00012C17">
        <w:rPr>
          <w:rFonts w:eastAsia="Times New Roman" w:cs="Arial"/>
          <w:color w:val="000000"/>
          <w:sz w:val="24"/>
        </w:rPr>
        <w:t xml:space="preserve"> or lack of proportionality in the circumstances of the case </w:t>
      </w:r>
      <w:r w:rsidR="00667573" w:rsidRPr="00012C17">
        <w:rPr>
          <w:rFonts w:eastAsia="Times New Roman" w:cs="Arial"/>
          <w:color w:val="000000"/>
          <w:sz w:val="24"/>
        </w:rPr>
        <w:t xml:space="preserve">concerned </w:t>
      </w:r>
      <w:r w:rsidRPr="00012C17">
        <w:rPr>
          <w:rFonts w:eastAsia="Times New Roman" w:cs="Arial"/>
          <w:color w:val="000000"/>
          <w:sz w:val="24"/>
        </w:rPr>
        <w:t>and whether the restrictions have infringed the free expression of the will of the voters. (</w:t>
      </w:r>
      <w:r w:rsidR="00667573" w:rsidRPr="00012C17">
        <w:rPr>
          <w:rFonts w:eastAsia="Calibri"/>
          <w:color w:val="000000"/>
          <w:sz w:val="24"/>
        </w:rPr>
        <w:t>See ECtHR cases,</w:t>
      </w:r>
      <w:r w:rsidR="00667573" w:rsidRPr="00012C17">
        <w:rPr>
          <w:rFonts w:eastAsia="Times New Roman" w:cs="Arial"/>
          <w:color w:val="000000"/>
          <w:sz w:val="24"/>
        </w:rPr>
        <w:t xml:space="preserve"> </w:t>
      </w:r>
      <w:r w:rsidRPr="00012C17">
        <w:rPr>
          <w:rFonts w:eastAsia="Times New Roman" w:cs="Arial"/>
          <w:i/>
          <w:iCs/>
          <w:color w:val="000000"/>
          <w:sz w:val="24"/>
        </w:rPr>
        <w:t>Mathieu-Mohin and Clerfayt v. Belgium</w:t>
      </w:r>
      <w:r w:rsidRPr="00012C17">
        <w:rPr>
          <w:rFonts w:eastAsia="Times New Roman" w:cs="Arial"/>
          <w:color w:val="000000"/>
          <w:sz w:val="24"/>
        </w:rPr>
        <w:t xml:space="preserve">, cited above, paragraph 52; </w:t>
      </w:r>
      <w:r w:rsidRPr="00012C17">
        <w:rPr>
          <w:rFonts w:eastAsia="Times New Roman" w:cs="Arial"/>
          <w:i/>
          <w:iCs/>
          <w:color w:val="000000"/>
          <w:sz w:val="24"/>
        </w:rPr>
        <w:t>Ždanoka v. Latvia</w:t>
      </w:r>
      <w:r w:rsidRPr="00012C17">
        <w:rPr>
          <w:rFonts w:eastAsia="Times New Roman" w:cs="Arial"/>
          <w:color w:val="000000"/>
          <w:sz w:val="24"/>
        </w:rPr>
        <w:t xml:space="preserve"> [</w:t>
      </w:r>
      <w:r w:rsidR="00667573" w:rsidRPr="00012C17">
        <w:rPr>
          <w:rFonts w:eastAsia="Times New Roman" w:cs="Arial"/>
          <w:color w:val="000000"/>
          <w:sz w:val="24"/>
        </w:rPr>
        <w:t>GC</w:t>
      </w:r>
      <w:r w:rsidRPr="00012C17">
        <w:rPr>
          <w:rFonts w:eastAsia="Times New Roman" w:cs="Arial"/>
          <w:color w:val="000000"/>
          <w:sz w:val="24"/>
        </w:rPr>
        <w:t>], cited above, paragraphs 103-104 and 115).</w:t>
      </w:r>
    </w:p>
    <w:p w:rsidR="00667573" w:rsidRPr="00012C17" w:rsidRDefault="00667573" w:rsidP="001B11C5">
      <w:pPr>
        <w:pStyle w:val="ListParagraph"/>
        <w:spacing w:after="0" w:line="240" w:lineRule="auto"/>
        <w:rPr>
          <w:rFonts w:eastAsia="Calibri"/>
          <w:color w:val="000000"/>
          <w:sz w:val="24"/>
          <w:lang w:val="en-US"/>
        </w:rPr>
      </w:pPr>
    </w:p>
    <w:p w:rsidR="00667573" w:rsidRPr="00012C17" w:rsidRDefault="00667573" w:rsidP="001B11C5">
      <w:pPr>
        <w:numPr>
          <w:ilvl w:val="0"/>
          <w:numId w:val="1"/>
        </w:numPr>
        <w:spacing w:line="240" w:lineRule="auto"/>
        <w:ind w:left="630" w:hanging="630"/>
        <w:rPr>
          <w:rFonts w:eastAsia="Calibri"/>
          <w:color w:val="000000"/>
          <w:sz w:val="24"/>
        </w:rPr>
      </w:pPr>
      <w:r w:rsidRPr="00012C17">
        <w:rPr>
          <w:rFonts w:eastAsia="Calibri"/>
          <w:color w:val="000000"/>
          <w:sz w:val="24"/>
        </w:rPr>
        <w:t xml:space="preserve">In this regard, in order to put even more in the practical context the ECtHR test in assessing arbitrariness and disproportionality in election disputes, the Court </w:t>
      </w:r>
      <w:r w:rsidRPr="00012C17">
        <w:rPr>
          <w:rFonts w:eastAsia="Calibri"/>
          <w:color w:val="000000"/>
          <w:sz w:val="24"/>
        </w:rPr>
        <w:lastRenderedPageBreak/>
        <w:t xml:space="preserve">will refer to three ECtHR cases in which </w:t>
      </w:r>
      <w:r w:rsidR="00C95202" w:rsidRPr="00012C17">
        <w:rPr>
          <w:rFonts w:eastAsia="Calibri"/>
          <w:color w:val="000000"/>
          <w:sz w:val="24"/>
        </w:rPr>
        <w:t>it found violation</w:t>
      </w:r>
      <w:r w:rsidRPr="00012C17">
        <w:rPr>
          <w:rFonts w:eastAsia="Calibri"/>
          <w:color w:val="000000"/>
          <w:sz w:val="24"/>
        </w:rPr>
        <w:t xml:space="preserve"> of Article 3 of </w:t>
      </w:r>
      <w:r w:rsidR="00C40D12" w:rsidRPr="00012C17">
        <w:rPr>
          <w:rFonts w:eastAsia="Calibri"/>
          <w:color w:val="000000"/>
          <w:sz w:val="24"/>
        </w:rPr>
        <w:t>Protocol no.1</w:t>
      </w:r>
      <w:r w:rsidRPr="00012C17">
        <w:rPr>
          <w:rFonts w:eastAsia="Calibri"/>
          <w:color w:val="000000"/>
          <w:sz w:val="24"/>
        </w:rPr>
        <w:t xml:space="preserve"> in the context of</w:t>
      </w:r>
      <w:r w:rsidR="00C95202" w:rsidRPr="00012C17">
        <w:rPr>
          <w:rFonts w:eastAsia="Calibri"/>
          <w:color w:val="000000"/>
          <w:sz w:val="24"/>
        </w:rPr>
        <w:t xml:space="preserve"> the</w:t>
      </w:r>
      <w:r w:rsidRPr="00012C17">
        <w:rPr>
          <w:rFonts w:eastAsia="Calibri"/>
          <w:color w:val="000000"/>
          <w:sz w:val="24"/>
        </w:rPr>
        <w:t xml:space="preserve"> </w:t>
      </w:r>
      <w:r w:rsidR="00C95202" w:rsidRPr="00012C17">
        <w:rPr>
          <w:rFonts w:eastAsia="Calibri"/>
          <w:color w:val="000000"/>
          <w:sz w:val="24"/>
        </w:rPr>
        <w:t>“</w:t>
      </w:r>
      <w:r w:rsidRPr="00012C17">
        <w:rPr>
          <w:rFonts w:eastAsia="Calibri"/>
          <w:i/>
          <w:iCs/>
          <w:color w:val="000000"/>
          <w:sz w:val="24"/>
        </w:rPr>
        <w:t>post-election rights</w:t>
      </w:r>
      <w:r w:rsidR="00C95202" w:rsidRPr="00012C17">
        <w:rPr>
          <w:rFonts w:eastAsia="Calibri"/>
          <w:color w:val="000000"/>
          <w:sz w:val="24"/>
        </w:rPr>
        <w:t>”</w:t>
      </w:r>
      <w:r w:rsidRPr="00012C17">
        <w:rPr>
          <w:rFonts w:eastAsia="Calibri"/>
          <w:color w:val="000000"/>
          <w:sz w:val="24"/>
        </w:rPr>
        <w:t>.</w:t>
      </w:r>
    </w:p>
    <w:p w:rsidR="00A86405" w:rsidRPr="00012C17" w:rsidRDefault="00A86405" w:rsidP="001B11C5">
      <w:pPr>
        <w:pStyle w:val="ListParagraph"/>
        <w:spacing w:after="0" w:line="240" w:lineRule="auto"/>
        <w:rPr>
          <w:rFonts w:eastAsia="Calibri"/>
          <w:color w:val="000000"/>
          <w:sz w:val="24"/>
          <w:lang w:val="en-US"/>
        </w:rPr>
      </w:pPr>
    </w:p>
    <w:p w:rsidR="00C95202" w:rsidRPr="00012C17" w:rsidRDefault="00C95202" w:rsidP="001B11C5">
      <w:pPr>
        <w:numPr>
          <w:ilvl w:val="0"/>
          <w:numId w:val="1"/>
        </w:numPr>
        <w:spacing w:line="240" w:lineRule="auto"/>
        <w:ind w:left="630" w:hanging="630"/>
        <w:rPr>
          <w:color w:val="000000"/>
          <w:sz w:val="24"/>
        </w:rPr>
      </w:pPr>
      <w:r w:rsidRPr="00012C17">
        <w:rPr>
          <w:iCs/>
          <w:color w:val="000000"/>
          <w:sz w:val="24"/>
        </w:rPr>
        <w:t xml:space="preserve">In case of </w:t>
      </w:r>
      <w:r w:rsidRPr="00012C17">
        <w:rPr>
          <w:i/>
          <w:color w:val="000000"/>
          <w:sz w:val="24"/>
        </w:rPr>
        <w:t>Namat Aliyev v. Azerbaijan</w:t>
      </w:r>
      <w:r w:rsidR="0025533F" w:rsidRPr="00012C17">
        <w:rPr>
          <w:i/>
          <w:color w:val="000000"/>
          <w:sz w:val="24"/>
        </w:rPr>
        <w:t xml:space="preserve"> </w:t>
      </w:r>
      <w:r w:rsidR="0025533F" w:rsidRPr="00012C17">
        <w:rPr>
          <w:color w:val="000000"/>
          <w:sz w:val="24"/>
        </w:rPr>
        <w:t>(</w:t>
      </w:r>
      <w:r w:rsidR="0025533F" w:rsidRPr="00012C17">
        <w:rPr>
          <w:rFonts w:cs="Tahoma"/>
          <w:bCs/>
          <w:iCs/>
          <w:color w:val="000000"/>
          <w:sz w:val="24"/>
        </w:rPr>
        <w:t>cited above)</w:t>
      </w:r>
      <w:r w:rsidRPr="00012C17">
        <w:rPr>
          <w:iCs/>
          <w:color w:val="000000"/>
          <w:sz w:val="24"/>
        </w:rPr>
        <w:t xml:space="preserve">, the Applicant competed for a seat in the Assembly of Azerbaijan. He </w:t>
      </w:r>
      <w:r w:rsidRPr="00012C17">
        <w:rPr>
          <w:rFonts w:eastAsia="Calibri"/>
          <w:color w:val="000000"/>
          <w:sz w:val="24"/>
        </w:rPr>
        <w:t>complained</w:t>
      </w:r>
      <w:r w:rsidRPr="00012C17">
        <w:rPr>
          <w:iCs/>
          <w:color w:val="000000"/>
          <w:sz w:val="24"/>
        </w:rPr>
        <w:t xml:space="preserve"> that his right to run as a candidate in the free elections had been violated due to seri</w:t>
      </w:r>
      <w:r w:rsidR="00927D3E" w:rsidRPr="00012C17">
        <w:rPr>
          <w:iCs/>
          <w:color w:val="000000"/>
          <w:sz w:val="24"/>
        </w:rPr>
        <w:t>o</w:t>
      </w:r>
      <w:r w:rsidRPr="00012C17">
        <w:rPr>
          <w:iCs/>
          <w:color w:val="000000"/>
          <w:sz w:val="24"/>
        </w:rPr>
        <w:t xml:space="preserve">us irregularities and violations of electoral law that occurred before and on the </w:t>
      </w:r>
      <w:r w:rsidR="00A86405" w:rsidRPr="00012C17">
        <w:rPr>
          <w:iCs/>
          <w:color w:val="000000"/>
          <w:sz w:val="24"/>
        </w:rPr>
        <w:t xml:space="preserve">voting </w:t>
      </w:r>
      <w:r w:rsidRPr="00012C17">
        <w:rPr>
          <w:iCs/>
          <w:color w:val="000000"/>
          <w:sz w:val="24"/>
        </w:rPr>
        <w:t xml:space="preserve">day. The created conditions, according to the Applicant, made it impossible to correctly determine the voter's opinion. The ECtHR held that the Applicant filed extremely serious allegations about the unlawful influence of the voting authorities on the voting process, influence on the free choice of voters, unauthorized ballot boxes, ill-treatment of observers and clear discrepancies indicating possible failure regarding what has happened to thousands of unused ballot papers. The court considered that such claims had the potential to impede the democratic nature of the elections. Furthermore, the ECtHR was also based on the official reports of observers who had provided the same facts as to serious irregularities as the Applicant himself. These were some of the reasons - the seriousness of which was sent in finding a violation of Article 3 of </w:t>
      </w:r>
      <w:r w:rsidR="00C40D12" w:rsidRPr="00012C17">
        <w:rPr>
          <w:iCs/>
          <w:color w:val="000000"/>
          <w:sz w:val="24"/>
        </w:rPr>
        <w:t>Protocol no.1</w:t>
      </w:r>
      <w:r w:rsidRPr="00012C17">
        <w:rPr>
          <w:iCs/>
          <w:color w:val="000000"/>
          <w:sz w:val="24"/>
        </w:rPr>
        <w:t xml:space="preserve"> to the ECHR by the ECtHR</w:t>
      </w:r>
      <w:r w:rsidRPr="00012C17">
        <w:rPr>
          <w:color w:val="000000"/>
          <w:sz w:val="24"/>
        </w:rPr>
        <w:t>.</w:t>
      </w:r>
      <w:r w:rsidR="006E52F9" w:rsidRPr="00012C17">
        <w:rPr>
          <w:color w:val="000000"/>
          <w:sz w:val="24"/>
        </w:rPr>
        <w:t xml:space="preserve"> </w:t>
      </w:r>
    </w:p>
    <w:p w:rsidR="00C95202" w:rsidRPr="00012C17" w:rsidRDefault="00C95202" w:rsidP="001B11C5">
      <w:pPr>
        <w:spacing w:line="240" w:lineRule="auto"/>
        <w:ind w:left="825"/>
        <w:rPr>
          <w:color w:val="000000"/>
          <w:sz w:val="24"/>
        </w:rPr>
      </w:pPr>
    </w:p>
    <w:p w:rsidR="00C95202" w:rsidRPr="00012C17" w:rsidRDefault="00C95202" w:rsidP="001B11C5">
      <w:pPr>
        <w:numPr>
          <w:ilvl w:val="0"/>
          <w:numId w:val="1"/>
        </w:numPr>
        <w:spacing w:line="240" w:lineRule="auto"/>
        <w:ind w:left="630" w:hanging="630"/>
        <w:rPr>
          <w:color w:val="000000"/>
          <w:sz w:val="24"/>
        </w:rPr>
      </w:pPr>
      <w:r w:rsidRPr="00012C17">
        <w:rPr>
          <w:color w:val="000000"/>
          <w:sz w:val="24"/>
        </w:rPr>
        <w:t xml:space="preserve">In another case, namely, </w:t>
      </w:r>
      <w:r w:rsidRPr="00012C17">
        <w:rPr>
          <w:i/>
          <w:iCs/>
          <w:color w:val="000000"/>
          <w:sz w:val="24"/>
        </w:rPr>
        <w:t>the Georgian Labor Party v. Georgia</w:t>
      </w:r>
      <w:r w:rsidR="00927D3E" w:rsidRPr="00012C17">
        <w:rPr>
          <w:i/>
          <w:iCs/>
          <w:color w:val="000000"/>
          <w:sz w:val="24"/>
        </w:rPr>
        <w:t xml:space="preserve"> </w:t>
      </w:r>
      <w:r w:rsidR="00927D3E" w:rsidRPr="00012C17">
        <w:rPr>
          <w:color w:val="000000"/>
          <w:sz w:val="24"/>
        </w:rPr>
        <w:t>(cited above)</w:t>
      </w:r>
      <w:r w:rsidRPr="00012C17">
        <w:rPr>
          <w:color w:val="000000"/>
          <w:sz w:val="24"/>
        </w:rPr>
        <w:t>, the Applicant was the political entity the so-called “</w:t>
      </w:r>
      <w:r w:rsidRPr="00012C17">
        <w:rPr>
          <w:i/>
          <w:iCs/>
          <w:color w:val="000000"/>
          <w:sz w:val="24"/>
        </w:rPr>
        <w:t>Georgia Labor Party</w:t>
      </w:r>
      <w:r w:rsidRPr="00012C17">
        <w:rPr>
          <w:color w:val="000000"/>
          <w:sz w:val="24"/>
        </w:rPr>
        <w:t xml:space="preserve">”. This political entity complained, </w:t>
      </w:r>
      <w:r w:rsidRPr="00012C17">
        <w:rPr>
          <w:i/>
          <w:iCs/>
          <w:color w:val="000000"/>
          <w:sz w:val="24"/>
        </w:rPr>
        <w:t>inter alia</w:t>
      </w:r>
      <w:r w:rsidRPr="00012C17">
        <w:rPr>
          <w:color w:val="000000"/>
          <w:sz w:val="24"/>
        </w:rPr>
        <w:t xml:space="preserve">, of the fact that with the exclusion of votes from two districts a certain number of the population was deprived of their right to vote - which had affected their right to run in the elections. Regarding this case, the ECtHR examined a number of claims of this political entity while </w:t>
      </w:r>
      <w:r w:rsidR="00A86405" w:rsidRPr="00012C17">
        <w:rPr>
          <w:color w:val="000000"/>
          <w:sz w:val="24"/>
        </w:rPr>
        <w:t>it found violation of</w:t>
      </w:r>
      <w:r w:rsidRPr="00012C17">
        <w:rPr>
          <w:color w:val="000000"/>
          <w:sz w:val="24"/>
        </w:rPr>
        <w:t xml:space="preserve"> Article 3 of </w:t>
      </w:r>
      <w:r w:rsidR="00C40D12" w:rsidRPr="00012C17">
        <w:rPr>
          <w:color w:val="000000"/>
          <w:sz w:val="24"/>
        </w:rPr>
        <w:t>Protocol no.1</w:t>
      </w:r>
      <w:r w:rsidRPr="00012C17">
        <w:rPr>
          <w:color w:val="000000"/>
          <w:sz w:val="24"/>
        </w:rPr>
        <w:t xml:space="preserve"> </w:t>
      </w:r>
      <w:r w:rsidR="00A86405" w:rsidRPr="00012C17">
        <w:rPr>
          <w:color w:val="000000"/>
          <w:sz w:val="24"/>
        </w:rPr>
        <w:t xml:space="preserve">for the fact </w:t>
      </w:r>
      <w:r w:rsidRPr="00012C17">
        <w:rPr>
          <w:color w:val="000000"/>
          <w:sz w:val="24"/>
        </w:rPr>
        <w:t xml:space="preserve">that the Central Election Commission had taken a hasty decision to conclude elections nationwide without any valid justification. Subsequently, the exclusion of the two districts from the local elections, namely the voters in the Khulo and Kobuleti districts, was considered to be an act that disregarded a number of essential prerequisites of the rule of law and as such resulted in </w:t>
      </w:r>
      <w:r w:rsidRPr="00012C17">
        <w:rPr>
          <w:i/>
          <w:iCs/>
          <w:color w:val="000000"/>
          <w:sz w:val="24"/>
        </w:rPr>
        <w:t>de facto</w:t>
      </w:r>
      <w:r w:rsidRPr="00012C17">
        <w:rPr>
          <w:color w:val="000000"/>
          <w:sz w:val="24"/>
        </w:rPr>
        <w:t xml:space="preserve"> deprivation of the vote </w:t>
      </w:r>
      <w:r w:rsidRPr="00012C17">
        <w:rPr>
          <w:i/>
          <w:color w:val="000000"/>
          <w:sz w:val="24"/>
        </w:rPr>
        <w:t>(“de facto disfranchisement”)</w:t>
      </w:r>
      <w:r w:rsidRPr="00012C17">
        <w:rPr>
          <w:color w:val="000000"/>
          <w:sz w:val="24"/>
        </w:rPr>
        <w:t xml:space="preserve"> for a significant number of the population. As a result of the exclusion of these voters, the right of a political entity to stand for election was violated in a causal way, a right guaranteed by Article 3 of </w:t>
      </w:r>
      <w:r w:rsidR="00C40D12" w:rsidRPr="00012C17">
        <w:rPr>
          <w:color w:val="000000"/>
          <w:sz w:val="24"/>
        </w:rPr>
        <w:t>Protocol no.1</w:t>
      </w:r>
      <w:r w:rsidRPr="00012C17">
        <w:rPr>
          <w:color w:val="000000"/>
          <w:sz w:val="24"/>
        </w:rPr>
        <w:t xml:space="preserve"> to the ECHR. </w:t>
      </w:r>
    </w:p>
    <w:p w:rsidR="00C95202" w:rsidRPr="00012C17" w:rsidRDefault="00C95202" w:rsidP="001B11C5">
      <w:pPr>
        <w:spacing w:line="240" w:lineRule="auto"/>
        <w:ind w:left="825"/>
        <w:rPr>
          <w:color w:val="000000"/>
          <w:sz w:val="24"/>
        </w:rPr>
      </w:pPr>
    </w:p>
    <w:p w:rsidR="00A07553" w:rsidRPr="00012C17" w:rsidRDefault="00C95202" w:rsidP="001B11C5">
      <w:pPr>
        <w:numPr>
          <w:ilvl w:val="0"/>
          <w:numId w:val="1"/>
        </w:numPr>
        <w:spacing w:line="240" w:lineRule="auto"/>
        <w:ind w:left="630" w:hanging="630"/>
        <w:rPr>
          <w:rFonts w:cs="Tahoma"/>
          <w:bCs/>
          <w:color w:val="000000"/>
          <w:sz w:val="24"/>
        </w:rPr>
      </w:pPr>
      <w:r w:rsidRPr="00012C17">
        <w:rPr>
          <w:bCs/>
          <w:color w:val="000000"/>
          <w:sz w:val="24"/>
        </w:rPr>
        <w:t xml:space="preserve">The Court notes that, while the circumstances of the cases in question do not coincide with the </w:t>
      </w:r>
      <w:r w:rsidRPr="00012C17">
        <w:rPr>
          <w:rFonts w:eastAsia="Calibri"/>
          <w:color w:val="000000"/>
          <w:sz w:val="24"/>
        </w:rPr>
        <w:t>circumstances</w:t>
      </w:r>
      <w:r w:rsidRPr="00012C17">
        <w:rPr>
          <w:bCs/>
          <w:color w:val="000000"/>
          <w:sz w:val="24"/>
        </w:rPr>
        <w:t xml:space="preserve"> of the present case, they result in a common denominator of cases in which the ECtHR has found a violation of Article 3 of </w:t>
      </w:r>
      <w:r w:rsidR="00C40D12" w:rsidRPr="00012C17">
        <w:rPr>
          <w:bCs/>
          <w:color w:val="000000"/>
          <w:sz w:val="24"/>
        </w:rPr>
        <w:t>Protocol no.1</w:t>
      </w:r>
      <w:r w:rsidRPr="00012C17">
        <w:rPr>
          <w:bCs/>
          <w:color w:val="000000"/>
          <w:sz w:val="24"/>
        </w:rPr>
        <w:t xml:space="preserve"> to the ECHR. </w:t>
      </w:r>
      <w:r w:rsidR="00ED5477" w:rsidRPr="00012C17">
        <w:rPr>
          <w:bCs/>
          <w:color w:val="000000"/>
          <w:sz w:val="24"/>
        </w:rPr>
        <w:t>These</w:t>
      </w:r>
      <w:r w:rsidRPr="00012C17">
        <w:rPr>
          <w:bCs/>
          <w:color w:val="000000"/>
          <w:sz w:val="24"/>
        </w:rPr>
        <w:t xml:space="preserve"> cases reflect obvious arbitrariness; lack of proportionality; </w:t>
      </w:r>
      <w:r w:rsidR="00927D3E" w:rsidRPr="00012C17">
        <w:rPr>
          <w:bCs/>
          <w:color w:val="000000"/>
          <w:sz w:val="24"/>
        </w:rPr>
        <w:t xml:space="preserve">the </w:t>
      </w:r>
      <w:r w:rsidRPr="00012C17">
        <w:rPr>
          <w:bCs/>
          <w:color w:val="000000"/>
          <w:sz w:val="24"/>
        </w:rPr>
        <w:t xml:space="preserve">restrictions that have violated the free expression of the will of the voters and the inability to verify the will of the voters. </w:t>
      </w:r>
    </w:p>
    <w:p w:rsidR="00A86405" w:rsidRPr="00012C17" w:rsidRDefault="00A86405" w:rsidP="001B11C5">
      <w:pPr>
        <w:pStyle w:val="ListParagraph"/>
        <w:spacing w:after="0" w:line="240" w:lineRule="auto"/>
        <w:rPr>
          <w:rFonts w:cs="Tahoma"/>
          <w:bCs/>
          <w:color w:val="000000"/>
          <w:sz w:val="24"/>
          <w:lang w:val="en-US"/>
        </w:rPr>
      </w:pPr>
    </w:p>
    <w:p w:rsidR="00A07553" w:rsidRPr="00012C17" w:rsidRDefault="00A86405" w:rsidP="001B11C5">
      <w:pPr>
        <w:numPr>
          <w:ilvl w:val="0"/>
          <w:numId w:val="1"/>
        </w:numPr>
        <w:spacing w:line="240" w:lineRule="auto"/>
        <w:ind w:left="630" w:hanging="630"/>
        <w:rPr>
          <w:rFonts w:cs="Tahoma"/>
          <w:bCs/>
          <w:color w:val="000000"/>
          <w:sz w:val="24"/>
        </w:rPr>
      </w:pPr>
      <w:r w:rsidRPr="00012C17">
        <w:rPr>
          <w:rFonts w:cs="Tahoma"/>
          <w:bCs/>
          <w:color w:val="000000"/>
          <w:sz w:val="24"/>
        </w:rPr>
        <w:t>Further and beyond the case</w:t>
      </w:r>
      <w:r w:rsidR="00265D47" w:rsidRPr="00012C17">
        <w:rPr>
          <w:rFonts w:cs="Tahoma"/>
          <w:bCs/>
          <w:color w:val="000000"/>
          <w:sz w:val="24"/>
        </w:rPr>
        <w:t>-</w:t>
      </w:r>
      <w:r w:rsidRPr="00012C17">
        <w:rPr>
          <w:rFonts w:cs="Tahoma"/>
          <w:bCs/>
          <w:color w:val="000000"/>
          <w:sz w:val="24"/>
        </w:rPr>
        <w:t>law</w:t>
      </w:r>
      <w:r w:rsidR="00265D47" w:rsidRPr="00012C17">
        <w:rPr>
          <w:rFonts w:cs="Tahoma"/>
          <w:bCs/>
          <w:color w:val="000000"/>
          <w:sz w:val="24"/>
        </w:rPr>
        <w:t xml:space="preserve"> of the ECtHR</w:t>
      </w:r>
      <w:r w:rsidRPr="00012C17">
        <w:rPr>
          <w:rFonts w:cs="Tahoma"/>
          <w:bCs/>
          <w:color w:val="000000"/>
          <w:sz w:val="24"/>
        </w:rPr>
        <w:t xml:space="preserve">, as previously stated in this Judgment, the Court will refer to the </w:t>
      </w:r>
      <w:r w:rsidRPr="00012C17">
        <w:rPr>
          <w:rFonts w:eastAsia="Calibri"/>
          <w:color w:val="000000"/>
          <w:sz w:val="24"/>
        </w:rPr>
        <w:t>practice</w:t>
      </w:r>
      <w:r w:rsidRPr="00012C17">
        <w:rPr>
          <w:rFonts w:cs="Tahoma"/>
          <w:bCs/>
          <w:color w:val="000000"/>
          <w:sz w:val="24"/>
        </w:rPr>
        <w:t xml:space="preserve"> of the Venice Commission and, accordingly, to the Code of Good Practice, which is based on the underlining principles of European election heritage, which consists of five underlining principles </w:t>
      </w:r>
      <w:r w:rsidR="00A07553" w:rsidRPr="00012C17">
        <w:rPr>
          <w:rFonts w:cs="Tahoma"/>
          <w:bCs/>
          <w:color w:val="000000"/>
          <w:sz w:val="24"/>
        </w:rPr>
        <w:t xml:space="preserve">and they are: (1) universal </w:t>
      </w:r>
      <w:r w:rsidR="00265D47" w:rsidRPr="00012C17">
        <w:rPr>
          <w:rFonts w:cs="Tahoma"/>
          <w:bCs/>
          <w:color w:val="000000"/>
          <w:sz w:val="24"/>
        </w:rPr>
        <w:t>suffrage</w:t>
      </w:r>
      <w:r w:rsidR="00A07553" w:rsidRPr="00012C17">
        <w:rPr>
          <w:rFonts w:cs="Tahoma"/>
          <w:bCs/>
          <w:color w:val="000000"/>
          <w:sz w:val="24"/>
        </w:rPr>
        <w:t xml:space="preserve">; (2) equal </w:t>
      </w:r>
      <w:r w:rsidR="00265D47" w:rsidRPr="00012C17">
        <w:rPr>
          <w:rFonts w:cs="Tahoma"/>
          <w:bCs/>
          <w:color w:val="000000"/>
          <w:sz w:val="24"/>
        </w:rPr>
        <w:t>suffrage</w:t>
      </w:r>
      <w:r w:rsidR="00A07553" w:rsidRPr="00012C17">
        <w:rPr>
          <w:rFonts w:cs="Tahoma"/>
          <w:bCs/>
          <w:color w:val="000000"/>
          <w:sz w:val="24"/>
        </w:rPr>
        <w:t xml:space="preserve">; (3) free </w:t>
      </w:r>
      <w:r w:rsidR="00265D47" w:rsidRPr="00012C17">
        <w:rPr>
          <w:rFonts w:cs="Tahoma"/>
          <w:bCs/>
          <w:color w:val="000000"/>
          <w:sz w:val="24"/>
        </w:rPr>
        <w:lastRenderedPageBreak/>
        <w:t>suffrage</w:t>
      </w:r>
      <w:r w:rsidR="00A07553" w:rsidRPr="00012C17">
        <w:rPr>
          <w:rFonts w:cs="Tahoma"/>
          <w:bCs/>
          <w:color w:val="000000"/>
          <w:sz w:val="24"/>
        </w:rPr>
        <w:t xml:space="preserve">; (4) secret </w:t>
      </w:r>
      <w:r w:rsidR="00265D47" w:rsidRPr="00012C17">
        <w:rPr>
          <w:rFonts w:cs="Tahoma"/>
          <w:bCs/>
          <w:color w:val="000000"/>
          <w:sz w:val="24"/>
        </w:rPr>
        <w:t>suffrage</w:t>
      </w:r>
      <w:r w:rsidR="00A07553" w:rsidRPr="00012C17">
        <w:rPr>
          <w:rFonts w:cs="Tahoma"/>
          <w:bCs/>
          <w:color w:val="000000"/>
          <w:sz w:val="24"/>
        </w:rPr>
        <w:t xml:space="preserve">; and (5) </w:t>
      </w:r>
      <w:r w:rsidRPr="00012C17">
        <w:rPr>
          <w:rFonts w:cs="Tahoma"/>
          <w:bCs/>
          <w:color w:val="000000"/>
          <w:sz w:val="24"/>
        </w:rPr>
        <w:t xml:space="preserve">direct </w:t>
      </w:r>
      <w:r w:rsidR="00265D47" w:rsidRPr="00012C17">
        <w:rPr>
          <w:rFonts w:cs="Tahoma"/>
          <w:bCs/>
          <w:color w:val="000000"/>
          <w:sz w:val="24"/>
        </w:rPr>
        <w:t>suffrage</w:t>
      </w:r>
      <w:r w:rsidR="00A07553" w:rsidRPr="00012C17">
        <w:rPr>
          <w:rFonts w:cs="Tahoma"/>
          <w:bCs/>
          <w:color w:val="000000"/>
          <w:sz w:val="24"/>
        </w:rPr>
        <w:t xml:space="preserve">. The same are guaranteed also through Article 45 of the Constitution and applicable </w:t>
      </w:r>
      <w:r w:rsidR="00927D3E" w:rsidRPr="00012C17">
        <w:rPr>
          <w:rFonts w:cs="Tahoma"/>
          <w:bCs/>
          <w:color w:val="000000"/>
          <w:sz w:val="24"/>
        </w:rPr>
        <w:t>election</w:t>
      </w:r>
      <w:r w:rsidR="00A07553" w:rsidRPr="00012C17">
        <w:rPr>
          <w:rFonts w:cs="Tahoma"/>
          <w:bCs/>
          <w:color w:val="000000"/>
          <w:sz w:val="24"/>
        </w:rPr>
        <w:t xml:space="preserve"> laws. </w:t>
      </w:r>
    </w:p>
    <w:p w:rsidR="00CA3E76" w:rsidRPr="00012C17" w:rsidRDefault="00CA3E76" w:rsidP="001B11C5">
      <w:pPr>
        <w:pStyle w:val="ListParagraph"/>
        <w:spacing w:after="0" w:line="240" w:lineRule="auto"/>
        <w:rPr>
          <w:rFonts w:cs="Tahoma"/>
          <w:bCs/>
          <w:color w:val="000000"/>
          <w:sz w:val="24"/>
          <w:lang w:val="en-US"/>
        </w:rPr>
      </w:pPr>
    </w:p>
    <w:p w:rsidR="00CA3E76" w:rsidRPr="00012C17" w:rsidRDefault="00927D3E" w:rsidP="001B11C5">
      <w:pPr>
        <w:numPr>
          <w:ilvl w:val="0"/>
          <w:numId w:val="1"/>
        </w:numPr>
        <w:spacing w:line="240" w:lineRule="auto"/>
        <w:ind w:left="630" w:hanging="630"/>
        <w:rPr>
          <w:rFonts w:cs="Tahoma"/>
          <w:bCs/>
          <w:color w:val="000000"/>
          <w:sz w:val="24"/>
        </w:rPr>
      </w:pPr>
      <w:r w:rsidRPr="00012C17">
        <w:rPr>
          <w:rFonts w:cs="Tahoma"/>
          <w:bCs/>
          <w:color w:val="000000"/>
          <w:sz w:val="24"/>
        </w:rPr>
        <w:t>Furthermore, t</w:t>
      </w:r>
      <w:r w:rsidR="00CA3E76" w:rsidRPr="00012C17">
        <w:rPr>
          <w:rFonts w:cs="Tahoma"/>
          <w:bCs/>
          <w:color w:val="000000"/>
          <w:sz w:val="24"/>
        </w:rPr>
        <w:t xml:space="preserve">he Court </w:t>
      </w:r>
      <w:r w:rsidRPr="00012C17">
        <w:rPr>
          <w:rFonts w:cs="Tahoma"/>
          <w:bCs/>
          <w:color w:val="000000"/>
          <w:sz w:val="24"/>
        </w:rPr>
        <w:t>recalls</w:t>
      </w:r>
      <w:r w:rsidR="00CA3E76" w:rsidRPr="00012C17">
        <w:rPr>
          <w:rFonts w:cs="Tahoma"/>
          <w:bCs/>
          <w:color w:val="000000"/>
          <w:sz w:val="24"/>
        </w:rPr>
        <w:t xml:space="preserve"> that the Code of Good Practice highlights three conditions, the completion of which is a </w:t>
      </w:r>
      <w:r w:rsidR="00CA3E76" w:rsidRPr="00012C17">
        <w:rPr>
          <w:rFonts w:eastAsia="Calibri"/>
          <w:color w:val="000000"/>
          <w:sz w:val="24"/>
        </w:rPr>
        <w:t>prerequisite</w:t>
      </w:r>
      <w:r w:rsidR="00CA3E76" w:rsidRPr="00012C17">
        <w:rPr>
          <w:rFonts w:cs="Tahoma"/>
          <w:bCs/>
          <w:color w:val="000000"/>
          <w:sz w:val="24"/>
        </w:rPr>
        <w:t xml:space="preserve"> for the proper implementation of these five principles of this Code and they are: (1) respect for fundamental rights; (2) the level of regulation and stability of the election law; and (3) procedural guarantees. </w:t>
      </w:r>
    </w:p>
    <w:p w:rsidR="00CA3E76" w:rsidRPr="00012C17" w:rsidRDefault="00CA3E76" w:rsidP="001B11C5">
      <w:pPr>
        <w:pStyle w:val="ListParagraph"/>
        <w:spacing w:after="0" w:line="240" w:lineRule="auto"/>
        <w:rPr>
          <w:rFonts w:cs="Tahoma"/>
          <w:bCs/>
          <w:color w:val="000000"/>
          <w:sz w:val="24"/>
          <w:lang w:val="en-US"/>
        </w:rPr>
      </w:pPr>
    </w:p>
    <w:p w:rsidR="00CA3E76" w:rsidRPr="00012C17" w:rsidRDefault="00CA3E76"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Concerning the first implementing condition, namely, respect for fundamental rights, the Code of Good Practice underlines that democratic elections are not possible without respect for human rights. In particular, respect for the right to freedom of expression, media, movement </w:t>
      </w:r>
      <w:r w:rsidR="00927D3E" w:rsidRPr="00012C17">
        <w:rPr>
          <w:rFonts w:cs="Tahoma"/>
          <w:bCs/>
          <w:color w:val="000000"/>
          <w:sz w:val="24"/>
        </w:rPr>
        <w:t>inside the country</w:t>
      </w:r>
      <w:r w:rsidRPr="00012C17">
        <w:rPr>
          <w:rFonts w:cs="Tahoma"/>
          <w:bCs/>
          <w:color w:val="000000"/>
          <w:sz w:val="24"/>
        </w:rPr>
        <w:t>, assembly, association for political purposes, including the right to create political parties. Any restriction of these rights should be foreseen by law and be in the public interest in accordance with the principle of proportionality. In the part of the Explanatory Report, it is emphasized that the possible limitations of these rights should also be in accordance with the ECHR. (</w:t>
      </w:r>
      <w:r w:rsidR="00BE5B71" w:rsidRPr="00012C17">
        <w:rPr>
          <w:rFonts w:cs="Tahoma"/>
          <w:bCs/>
          <w:color w:val="000000"/>
          <w:sz w:val="24"/>
        </w:rPr>
        <w:t xml:space="preserve">See </w:t>
      </w:r>
      <w:r w:rsidRPr="00012C17">
        <w:rPr>
          <w:rFonts w:cs="Tahoma"/>
          <w:bCs/>
          <w:color w:val="000000"/>
          <w:sz w:val="24"/>
        </w:rPr>
        <w:t xml:space="preserve">part II of </w:t>
      </w:r>
      <w:r w:rsidR="00BE5B71" w:rsidRPr="00012C17">
        <w:rPr>
          <w:rFonts w:cs="Tahoma"/>
          <w:bCs/>
          <w:color w:val="000000"/>
          <w:sz w:val="24"/>
        </w:rPr>
        <w:t xml:space="preserve">the </w:t>
      </w:r>
      <w:r w:rsidRPr="00012C17">
        <w:rPr>
          <w:rFonts w:cs="Tahoma"/>
          <w:bCs/>
          <w:color w:val="000000"/>
          <w:sz w:val="24"/>
        </w:rPr>
        <w:t>Explanatory Report item 1).</w:t>
      </w:r>
    </w:p>
    <w:p w:rsidR="00CA3E76" w:rsidRPr="00012C17" w:rsidRDefault="00CA3E76" w:rsidP="001B11C5">
      <w:pPr>
        <w:pStyle w:val="ListParagraph"/>
        <w:spacing w:after="0" w:line="240" w:lineRule="auto"/>
        <w:rPr>
          <w:rFonts w:cs="Tahoma"/>
          <w:bCs/>
          <w:color w:val="000000"/>
          <w:sz w:val="24"/>
          <w:lang w:val="en-US"/>
        </w:rPr>
      </w:pPr>
    </w:p>
    <w:p w:rsidR="00CA3E76" w:rsidRPr="00012C17" w:rsidRDefault="00CA3E76" w:rsidP="001B11C5">
      <w:pPr>
        <w:numPr>
          <w:ilvl w:val="0"/>
          <w:numId w:val="1"/>
        </w:numPr>
        <w:spacing w:line="240" w:lineRule="auto"/>
        <w:ind w:left="630" w:hanging="630"/>
        <w:rPr>
          <w:rFonts w:cs="Tahoma"/>
          <w:bCs/>
          <w:color w:val="000000"/>
          <w:sz w:val="24"/>
        </w:rPr>
      </w:pPr>
      <w:r w:rsidRPr="00012C17">
        <w:rPr>
          <w:rFonts w:cs="Tahoma"/>
          <w:bCs/>
          <w:color w:val="000000"/>
          <w:sz w:val="24"/>
        </w:rPr>
        <w:t>Concerning the second implementing requirement, namely “</w:t>
      </w:r>
      <w:r w:rsidRPr="00012C17">
        <w:rPr>
          <w:rFonts w:cs="Tahoma"/>
          <w:bCs/>
          <w:i/>
          <w:iCs/>
          <w:color w:val="000000"/>
          <w:sz w:val="24"/>
        </w:rPr>
        <w:t>the level of regulation and the stability of the election law”</w:t>
      </w:r>
      <w:r w:rsidRPr="00012C17">
        <w:rPr>
          <w:rFonts w:cs="Tahoma"/>
          <w:bCs/>
          <w:color w:val="000000"/>
          <w:sz w:val="24"/>
        </w:rPr>
        <w:t xml:space="preserve">, the Code of Good Practice underlines that, apart from </w:t>
      </w:r>
      <w:r w:rsidR="00927D3E" w:rsidRPr="00012C17">
        <w:rPr>
          <w:rFonts w:cs="Tahoma"/>
          <w:bCs/>
          <w:color w:val="000000"/>
          <w:sz w:val="24"/>
        </w:rPr>
        <w:t xml:space="preserve">rules on </w:t>
      </w:r>
      <w:r w:rsidRPr="00012C17">
        <w:rPr>
          <w:rFonts w:cs="Tahoma"/>
          <w:bCs/>
          <w:color w:val="000000"/>
          <w:sz w:val="24"/>
        </w:rPr>
        <w:t xml:space="preserve">technical and similar details that may be included in the lower legal regulatory level (administrative acts, regulations), the election rules should have at least </w:t>
      </w:r>
      <w:r w:rsidRPr="00012C17">
        <w:rPr>
          <w:rFonts w:eastAsia="Calibri"/>
          <w:color w:val="000000"/>
          <w:sz w:val="24"/>
        </w:rPr>
        <w:t>the</w:t>
      </w:r>
      <w:r w:rsidRPr="00012C17">
        <w:rPr>
          <w:rFonts w:cs="Tahoma"/>
          <w:bCs/>
          <w:color w:val="000000"/>
          <w:sz w:val="24"/>
        </w:rPr>
        <w:t xml:space="preserve"> level of a law. Issues that relate to the fundamental rights of the election law, in particular those with the election system/electoral system and electoral zones, should not be subject to legal amendments-supplementations one year </w:t>
      </w:r>
      <w:r w:rsidR="00927D3E" w:rsidRPr="00012C17">
        <w:rPr>
          <w:rFonts w:cs="Tahoma"/>
          <w:bCs/>
          <w:color w:val="000000"/>
          <w:sz w:val="24"/>
        </w:rPr>
        <w:t>before</w:t>
      </w:r>
      <w:r w:rsidRPr="00012C17">
        <w:rPr>
          <w:rFonts w:cs="Tahoma"/>
          <w:bCs/>
          <w:color w:val="000000"/>
          <w:sz w:val="24"/>
        </w:rPr>
        <w:t xml:space="preserve"> the elections. If such a thing is necessary to occur, they must be foreseen by the Constitution or any other act that has a higher level than ordinary law. In the part of the Explanatory Report is stated that the stability of the law is a crucial issue for the credibility of the electoral process, which in itself is a vital process for consolidating a democracy of a cou</w:t>
      </w:r>
      <w:r w:rsidR="00BE5B71" w:rsidRPr="00012C17">
        <w:rPr>
          <w:rFonts w:cs="Tahoma"/>
          <w:bCs/>
          <w:color w:val="000000"/>
          <w:sz w:val="24"/>
        </w:rPr>
        <w:t>ntry. (See Section II, item</w:t>
      </w:r>
      <w:r w:rsidRPr="00012C17">
        <w:rPr>
          <w:rFonts w:cs="Tahoma"/>
          <w:bCs/>
          <w:color w:val="000000"/>
          <w:sz w:val="24"/>
        </w:rPr>
        <w:t xml:space="preserve"> 2, paragraph 63 of the Explanatory Report).</w:t>
      </w:r>
    </w:p>
    <w:p w:rsidR="00CA3E76" w:rsidRPr="00012C17" w:rsidRDefault="00CA3E76" w:rsidP="001B11C5">
      <w:pPr>
        <w:pStyle w:val="ListParagraph"/>
        <w:spacing w:after="0" w:line="240" w:lineRule="auto"/>
        <w:rPr>
          <w:rFonts w:cs="Tahoma"/>
          <w:bCs/>
          <w:color w:val="000000"/>
          <w:sz w:val="24"/>
          <w:lang w:val="en-US"/>
        </w:rPr>
      </w:pPr>
    </w:p>
    <w:p w:rsidR="00CA3E76" w:rsidRPr="00012C17" w:rsidRDefault="00CA3E76" w:rsidP="001B11C5">
      <w:pPr>
        <w:numPr>
          <w:ilvl w:val="0"/>
          <w:numId w:val="1"/>
        </w:numPr>
        <w:spacing w:line="240" w:lineRule="auto"/>
        <w:ind w:left="630" w:hanging="630"/>
        <w:rPr>
          <w:rFonts w:cs="Tahoma"/>
          <w:bCs/>
          <w:color w:val="000000"/>
          <w:sz w:val="24"/>
        </w:rPr>
      </w:pPr>
      <w:r w:rsidRPr="00012C17">
        <w:rPr>
          <w:rFonts w:cs="Tahoma"/>
          <w:bCs/>
          <w:color w:val="000000"/>
          <w:sz w:val="24"/>
        </w:rPr>
        <w:t>And finally, with regard to the third condition, namely the “</w:t>
      </w:r>
      <w:r w:rsidRPr="00012C17">
        <w:rPr>
          <w:rFonts w:cs="Tahoma"/>
          <w:bCs/>
          <w:i/>
          <w:iCs/>
          <w:color w:val="000000"/>
          <w:sz w:val="24"/>
        </w:rPr>
        <w:t>procedural guarantees”,</w:t>
      </w:r>
      <w:r w:rsidRPr="00012C17">
        <w:rPr>
          <w:rFonts w:cs="Tahoma"/>
          <w:bCs/>
          <w:color w:val="000000"/>
          <w:sz w:val="24"/>
        </w:rPr>
        <w:t xml:space="preserve"> the Code of Good Practices states that the organization of elections should be conducted by an </w:t>
      </w:r>
      <w:r w:rsidRPr="00012C17">
        <w:rPr>
          <w:rFonts w:eastAsia="Calibri"/>
          <w:color w:val="000000"/>
          <w:sz w:val="24"/>
        </w:rPr>
        <w:t>independent</w:t>
      </w:r>
      <w:r w:rsidRPr="00012C17">
        <w:rPr>
          <w:rFonts w:cs="Tahoma"/>
          <w:bCs/>
          <w:color w:val="000000"/>
          <w:sz w:val="24"/>
        </w:rPr>
        <w:t xml:space="preserve"> body subject to observations by local and international observers and should provide an “</w:t>
      </w:r>
      <w:r w:rsidRPr="00012C17">
        <w:rPr>
          <w:rFonts w:cs="Tahoma"/>
          <w:bCs/>
          <w:i/>
          <w:iCs/>
          <w:color w:val="000000"/>
          <w:sz w:val="24"/>
        </w:rPr>
        <w:t>effective complaint system</w:t>
      </w:r>
      <w:r w:rsidRPr="00012C17">
        <w:rPr>
          <w:rFonts w:cs="Tahoma"/>
          <w:bCs/>
          <w:color w:val="000000"/>
          <w:sz w:val="24"/>
        </w:rPr>
        <w:t xml:space="preserve">". The latter have been elaborated and applied in the circumstances of the present case in detail during the examination of the Applicants' allegations relating to alleged violations of the rights to judicial protection guaranteed by Article 54 of the Constitution. </w:t>
      </w:r>
    </w:p>
    <w:p w:rsidR="00A07553" w:rsidRPr="00012C17" w:rsidRDefault="00A07553" w:rsidP="001B11C5">
      <w:pPr>
        <w:tabs>
          <w:tab w:val="left" w:pos="720"/>
        </w:tabs>
        <w:spacing w:line="240" w:lineRule="auto"/>
        <w:rPr>
          <w:rFonts w:cs="Tahoma"/>
          <w:bCs/>
          <w:color w:val="000000"/>
          <w:sz w:val="24"/>
        </w:rPr>
      </w:pPr>
    </w:p>
    <w:p w:rsidR="00A04131" w:rsidRPr="00012C17" w:rsidRDefault="00A04131" w:rsidP="001B11C5">
      <w:pPr>
        <w:spacing w:line="240" w:lineRule="auto"/>
        <w:rPr>
          <w:rFonts w:eastAsia="Calibri"/>
          <w:b/>
          <w:bCs/>
          <w:i/>
          <w:color w:val="000000"/>
          <w:sz w:val="24"/>
        </w:rPr>
      </w:pPr>
      <w:r w:rsidRPr="00012C17">
        <w:rPr>
          <w:rFonts w:eastAsia="Calibri"/>
          <w:b/>
          <w:bCs/>
          <w:i/>
          <w:color w:val="000000"/>
          <w:sz w:val="24"/>
        </w:rPr>
        <w:t>Application of these principles in the circumstances of the present case</w:t>
      </w:r>
    </w:p>
    <w:p w:rsidR="00A04131" w:rsidRPr="00012C17" w:rsidRDefault="00A04131" w:rsidP="001B11C5">
      <w:pPr>
        <w:tabs>
          <w:tab w:val="left" w:pos="720"/>
        </w:tabs>
        <w:spacing w:line="240" w:lineRule="auto"/>
        <w:rPr>
          <w:rFonts w:cs="Tahoma"/>
          <w:bCs/>
          <w:color w:val="000000"/>
          <w:sz w:val="24"/>
        </w:rPr>
      </w:pPr>
    </w:p>
    <w:p w:rsidR="00A04131" w:rsidRPr="00012C17" w:rsidRDefault="00A04131" w:rsidP="001B11C5">
      <w:pPr>
        <w:numPr>
          <w:ilvl w:val="0"/>
          <w:numId w:val="1"/>
        </w:numPr>
        <w:spacing w:line="240" w:lineRule="auto"/>
        <w:ind w:left="630" w:hanging="630"/>
        <w:rPr>
          <w:rFonts w:cs="Tahoma"/>
          <w:bCs/>
          <w:color w:val="000000"/>
          <w:sz w:val="24"/>
        </w:rPr>
      </w:pPr>
      <w:r w:rsidRPr="00012C17">
        <w:rPr>
          <w:rFonts w:cs="Tahoma"/>
          <w:bCs/>
          <w:color w:val="000000"/>
          <w:sz w:val="24"/>
        </w:rPr>
        <w:t>The Court recalls that the Applicants allege that the Supreme Court</w:t>
      </w:r>
      <w:r w:rsidR="00BF077B" w:rsidRPr="00012C17">
        <w:rPr>
          <w:rFonts w:cs="Tahoma"/>
          <w:bCs/>
          <w:color w:val="000000"/>
          <w:sz w:val="24"/>
        </w:rPr>
        <w:t>,</w:t>
      </w:r>
      <w:r w:rsidRPr="00012C17">
        <w:rPr>
          <w:rFonts w:cs="Tahoma"/>
          <w:bCs/>
          <w:color w:val="000000"/>
          <w:sz w:val="24"/>
        </w:rPr>
        <w:t xml:space="preserve"> through both of its decisions violated the fundamental rights and freedoms guaranteed by Article 45 of the Constitution. In this regard, their </w:t>
      </w:r>
      <w:r w:rsidR="00BF077B" w:rsidRPr="00012C17">
        <w:rPr>
          <w:rFonts w:cs="Tahoma"/>
          <w:bCs/>
          <w:color w:val="000000"/>
          <w:sz w:val="24"/>
        </w:rPr>
        <w:t>allegations</w:t>
      </w:r>
      <w:r w:rsidRPr="00012C17">
        <w:rPr>
          <w:rFonts w:cs="Tahoma"/>
          <w:bCs/>
          <w:color w:val="000000"/>
          <w:sz w:val="24"/>
        </w:rPr>
        <w:t xml:space="preserve"> may be categorized as follows: (i) </w:t>
      </w:r>
      <w:r w:rsidR="00741B92" w:rsidRPr="00012C17">
        <w:rPr>
          <w:rFonts w:cs="Tahoma"/>
          <w:bCs/>
          <w:color w:val="000000"/>
          <w:sz w:val="24"/>
        </w:rPr>
        <w:t>“</w:t>
      </w:r>
      <w:r w:rsidRPr="00012C17">
        <w:rPr>
          <w:rFonts w:cs="Tahoma"/>
          <w:bCs/>
          <w:i/>
          <w:iCs/>
          <w:color w:val="000000"/>
          <w:sz w:val="24"/>
        </w:rPr>
        <w:t>violation of equal vote</w:t>
      </w:r>
      <w:r w:rsidR="00741B92" w:rsidRPr="00012C17">
        <w:rPr>
          <w:rFonts w:cs="Tahoma"/>
          <w:bCs/>
          <w:color w:val="000000"/>
          <w:sz w:val="24"/>
        </w:rPr>
        <w:t>”</w:t>
      </w:r>
      <w:r w:rsidRPr="00012C17">
        <w:rPr>
          <w:rFonts w:cs="Tahoma"/>
          <w:bCs/>
          <w:color w:val="000000"/>
          <w:sz w:val="24"/>
        </w:rPr>
        <w:t xml:space="preserve">; (ii) </w:t>
      </w:r>
      <w:r w:rsidR="00741B92" w:rsidRPr="00012C17">
        <w:rPr>
          <w:rFonts w:cs="Tahoma"/>
          <w:bCs/>
          <w:color w:val="000000"/>
          <w:sz w:val="24"/>
        </w:rPr>
        <w:t>“</w:t>
      </w:r>
      <w:r w:rsidR="00741B92" w:rsidRPr="00012C17">
        <w:rPr>
          <w:rFonts w:cs="Tahoma"/>
          <w:bCs/>
          <w:i/>
          <w:iCs/>
          <w:color w:val="000000"/>
          <w:sz w:val="24"/>
        </w:rPr>
        <w:t xml:space="preserve">violation of </w:t>
      </w:r>
      <w:r w:rsidR="00BF077B" w:rsidRPr="00012C17">
        <w:rPr>
          <w:rFonts w:cs="Tahoma"/>
          <w:bCs/>
          <w:i/>
          <w:iCs/>
          <w:color w:val="000000"/>
          <w:sz w:val="24"/>
        </w:rPr>
        <w:t>allegations</w:t>
      </w:r>
      <w:r w:rsidR="00741B92" w:rsidRPr="00012C17">
        <w:rPr>
          <w:rFonts w:cs="Tahoma"/>
          <w:bCs/>
          <w:i/>
          <w:iCs/>
          <w:color w:val="000000"/>
          <w:sz w:val="24"/>
        </w:rPr>
        <w:t xml:space="preserve"> </w:t>
      </w:r>
      <w:r w:rsidR="00741B92" w:rsidRPr="00012C17">
        <w:rPr>
          <w:rFonts w:cs="Tahoma"/>
          <w:bCs/>
          <w:i/>
          <w:iCs/>
          <w:color w:val="000000"/>
          <w:sz w:val="24"/>
        </w:rPr>
        <w:lastRenderedPageBreak/>
        <w:t>vote</w:t>
      </w:r>
      <w:r w:rsidR="00741B92" w:rsidRPr="00012C17">
        <w:rPr>
          <w:rFonts w:cs="Tahoma"/>
          <w:bCs/>
          <w:color w:val="000000"/>
          <w:sz w:val="24"/>
        </w:rPr>
        <w:t>”</w:t>
      </w:r>
      <w:r w:rsidRPr="00012C17">
        <w:rPr>
          <w:rFonts w:cs="Tahoma"/>
          <w:bCs/>
          <w:color w:val="000000"/>
          <w:sz w:val="24"/>
        </w:rPr>
        <w:t xml:space="preserve">; and (iii) </w:t>
      </w:r>
      <w:r w:rsidR="00741B92" w:rsidRPr="00012C17">
        <w:rPr>
          <w:rFonts w:cs="Tahoma"/>
          <w:bCs/>
          <w:color w:val="000000"/>
          <w:sz w:val="24"/>
        </w:rPr>
        <w:t>“</w:t>
      </w:r>
      <w:r w:rsidRPr="00012C17">
        <w:rPr>
          <w:rFonts w:cs="Tahoma"/>
          <w:bCs/>
          <w:i/>
          <w:iCs/>
          <w:color w:val="000000"/>
          <w:sz w:val="24"/>
        </w:rPr>
        <w:t>violation of the principle of transparency</w:t>
      </w:r>
      <w:r w:rsidR="00741B92" w:rsidRPr="00012C17">
        <w:rPr>
          <w:rFonts w:cs="Tahoma"/>
          <w:bCs/>
          <w:color w:val="000000"/>
          <w:sz w:val="24"/>
        </w:rPr>
        <w:t>”</w:t>
      </w:r>
      <w:r w:rsidR="00BE5B71" w:rsidRPr="00012C17">
        <w:rPr>
          <w:rFonts w:cs="Tahoma"/>
          <w:bCs/>
          <w:color w:val="000000"/>
          <w:sz w:val="24"/>
        </w:rPr>
        <w:t>. (S</w:t>
      </w:r>
      <w:r w:rsidRPr="00012C17">
        <w:rPr>
          <w:rFonts w:cs="Tahoma"/>
          <w:bCs/>
          <w:color w:val="000000"/>
          <w:sz w:val="24"/>
        </w:rPr>
        <w:t>ee specific</w:t>
      </w:r>
      <w:r w:rsidR="00BE5B71" w:rsidRPr="00012C17">
        <w:rPr>
          <w:rFonts w:cs="Tahoma"/>
          <w:bCs/>
          <w:color w:val="000000"/>
          <w:sz w:val="24"/>
        </w:rPr>
        <w:t xml:space="preserve"> allegations</w:t>
      </w:r>
      <w:r w:rsidRPr="00012C17">
        <w:rPr>
          <w:rFonts w:cs="Tahoma"/>
          <w:bCs/>
          <w:color w:val="000000"/>
          <w:sz w:val="24"/>
        </w:rPr>
        <w:t xml:space="preserve"> raised by the Applicants in paragraphs </w:t>
      </w:r>
      <w:r w:rsidR="00BF077B" w:rsidRPr="00012C17">
        <w:rPr>
          <w:rFonts w:cs="Tahoma"/>
          <w:bCs/>
          <w:color w:val="000000"/>
          <w:sz w:val="24"/>
        </w:rPr>
        <w:t>62</w:t>
      </w:r>
      <w:r w:rsidRPr="00012C17">
        <w:rPr>
          <w:rFonts w:cs="Tahoma"/>
          <w:bCs/>
          <w:color w:val="000000"/>
          <w:sz w:val="24"/>
        </w:rPr>
        <w:t>-</w:t>
      </w:r>
      <w:r w:rsidR="00BF077B" w:rsidRPr="00012C17">
        <w:rPr>
          <w:rFonts w:cs="Tahoma"/>
          <w:bCs/>
          <w:color w:val="000000"/>
          <w:sz w:val="24"/>
        </w:rPr>
        <w:t>73 of this Judgment</w:t>
      </w:r>
      <w:r w:rsidRPr="00012C17">
        <w:rPr>
          <w:rFonts w:cs="Tahoma"/>
          <w:bCs/>
          <w:color w:val="000000"/>
          <w:sz w:val="24"/>
        </w:rPr>
        <w:t>).</w:t>
      </w:r>
    </w:p>
    <w:p w:rsidR="00A04131" w:rsidRPr="00012C17" w:rsidRDefault="00A04131" w:rsidP="001B11C5">
      <w:pPr>
        <w:tabs>
          <w:tab w:val="left" w:pos="720"/>
        </w:tabs>
        <w:spacing w:line="240" w:lineRule="auto"/>
        <w:rPr>
          <w:rFonts w:cs="Tahoma"/>
          <w:bCs/>
          <w:color w:val="000000"/>
          <w:sz w:val="24"/>
        </w:rPr>
      </w:pPr>
    </w:p>
    <w:p w:rsidR="00A07553" w:rsidRPr="00012C17" w:rsidRDefault="00A04131"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In this regard, the Court </w:t>
      </w:r>
      <w:r w:rsidR="00741B92" w:rsidRPr="00012C17">
        <w:rPr>
          <w:rFonts w:eastAsia="Calibri"/>
          <w:color w:val="000000"/>
          <w:sz w:val="24"/>
        </w:rPr>
        <w:t>notes</w:t>
      </w:r>
      <w:r w:rsidRPr="00012C17">
        <w:rPr>
          <w:rFonts w:cs="Tahoma"/>
          <w:bCs/>
          <w:color w:val="000000"/>
          <w:sz w:val="24"/>
        </w:rPr>
        <w:t xml:space="preserve"> that the Applicants raise only </w:t>
      </w:r>
      <w:r w:rsidR="00ED5477" w:rsidRPr="00012C17">
        <w:rPr>
          <w:rFonts w:cs="Tahoma"/>
          <w:bCs/>
          <w:color w:val="000000"/>
          <w:sz w:val="24"/>
        </w:rPr>
        <w:t xml:space="preserve">2 </w:t>
      </w:r>
      <w:r w:rsidRPr="00012C17">
        <w:rPr>
          <w:rFonts w:cs="Tahoma"/>
          <w:bCs/>
          <w:color w:val="000000"/>
          <w:sz w:val="24"/>
        </w:rPr>
        <w:t xml:space="preserve">of the </w:t>
      </w:r>
      <w:r w:rsidR="00ED5477" w:rsidRPr="00012C17">
        <w:rPr>
          <w:rFonts w:cs="Tahoma"/>
          <w:bCs/>
          <w:color w:val="000000"/>
          <w:sz w:val="24"/>
        </w:rPr>
        <w:t xml:space="preserve">5 </w:t>
      </w:r>
      <w:r w:rsidRPr="00012C17">
        <w:rPr>
          <w:rFonts w:cs="Tahoma"/>
          <w:bCs/>
          <w:color w:val="000000"/>
          <w:sz w:val="24"/>
        </w:rPr>
        <w:t xml:space="preserve">underlining principles related to the quality of the vote, </w:t>
      </w:r>
      <w:r w:rsidR="00741B92" w:rsidRPr="00012C17">
        <w:rPr>
          <w:rFonts w:cs="Tahoma"/>
          <w:bCs/>
          <w:color w:val="000000"/>
          <w:sz w:val="24"/>
        </w:rPr>
        <w:t>“</w:t>
      </w:r>
      <w:r w:rsidRPr="00012C17">
        <w:rPr>
          <w:rFonts w:cs="Tahoma"/>
          <w:bCs/>
          <w:i/>
          <w:iCs/>
          <w:color w:val="000000"/>
          <w:sz w:val="24"/>
        </w:rPr>
        <w:t>equal vote</w:t>
      </w:r>
      <w:r w:rsidR="00741B92" w:rsidRPr="00012C17">
        <w:rPr>
          <w:rFonts w:cs="Tahoma"/>
          <w:bCs/>
          <w:color w:val="000000"/>
          <w:sz w:val="24"/>
        </w:rPr>
        <w:t>”</w:t>
      </w:r>
      <w:r w:rsidRPr="00012C17">
        <w:rPr>
          <w:rFonts w:cs="Tahoma"/>
          <w:bCs/>
          <w:color w:val="000000"/>
          <w:sz w:val="24"/>
        </w:rPr>
        <w:t xml:space="preserve"> and </w:t>
      </w:r>
      <w:r w:rsidR="00741B92" w:rsidRPr="00012C17">
        <w:rPr>
          <w:rFonts w:cs="Tahoma"/>
          <w:bCs/>
          <w:color w:val="000000"/>
          <w:sz w:val="24"/>
        </w:rPr>
        <w:t>“</w:t>
      </w:r>
      <w:r w:rsidR="00741B92" w:rsidRPr="00012C17">
        <w:rPr>
          <w:rFonts w:cs="Tahoma"/>
          <w:bCs/>
          <w:i/>
          <w:iCs/>
          <w:color w:val="000000"/>
          <w:sz w:val="24"/>
        </w:rPr>
        <w:t>free vote</w:t>
      </w:r>
      <w:r w:rsidR="00741B92" w:rsidRPr="00012C17">
        <w:rPr>
          <w:rFonts w:cs="Tahoma"/>
          <w:bCs/>
          <w:color w:val="000000"/>
          <w:sz w:val="24"/>
        </w:rPr>
        <w:t>”</w:t>
      </w:r>
      <w:r w:rsidRPr="00012C17">
        <w:rPr>
          <w:rFonts w:cs="Tahoma"/>
          <w:bCs/>
          <w:color w:val="000000"/>
          <w:sz w:val="24"/>
        </w:rPr>
        <w:t xml:space="preserve">. The </w:t>
      </w:r>
      <w:r w:rsidR="00741B92" w:rsidRPr="00012C17">
        <w:rPr>
          <w:rFonts w:cs="Tahoma"/>
          <w:bCs/>
          <w:color w:val="000000"/>
          <w:sz w:val="24"/>
        </w:rPr>
        <w:t>Applicants’</w:t>
      </w:r>
      <w:r w:rsidRPr="00012C17">
        <w:rPr>
          <w:rFonts w:cs="Tahoma"/>
          <w:bCs/>
          <w:color w:val="000000"/>
          <w:sz w:val="24"/>
        </w:rPr>
        <w:t xml:space="preserve"> </w:t>
      </w:r>
      <w:r w:rsidR="00BF077B" w:rsidRPr="00012C17">
        <w:rPr>
          <w:rFonts w:cs="Tahoma"/>
          <w:bCs/>
          <w:color w:val="000000"/>
          <w:sz w:val="24"/>
        </w:rPr>
        <w:t>allegations</w:t>
      </w:r>
      <w:r w:rsidRPr="00012C17">
        <w:rPr>
          <w:rFonts w:cs="Tahoma"/>
          <w:bCs/>
          <w:color w:val="000000"/>
          <w:sz w:val="24"/>
        </w:rPr>
        <w:t xml:space="preserve"> further fall within the scope of the third </w:t>
      </w:r>
      <w:r w:rsidR="00741B92" w:rsidRPr="00012C17">
        <w:rPr>
          <w:rFonts w:cs="Tahoma"/>
          <w:bCs/>
          <w:color w:val="000000"/>
          <w:sz w:val="24"/>
        </w:rPr>
        <w:t>requirement</w:t>
      </w:r>
      <w:r w:rsidRPr="00012C17">
        <w:rPr>
          <w:rFonts w:cs="Tahoma"/>
          <w:bCs/>
          <w:color w:val="000000"/>
          <w:sz w:val="24"/>
        </w:rPr>
        <w:t xml:space="preserve">, namely </w:t>
      </w:r>
      <w:r w:rsidR="00741B92" w:rsidRPr="00012C17">
        <w:rPr>
          <w:rFonts w:cs="Tahoma"/>
          <w:bCs/>
          <w:color w:val="000000"/>
          <w:sz w:val="24"/>
        </w:rPr>
        <w:t>the “</w:t>
      </w:r>
      <w:r w:rsidRPr="00012C17">
        <w:rPr>
          <w:rFonts w:cs="Tahoma"/>
          <w:bCs/>
          <w:i/>
          <w:iCs/>
          <w:color w:val="000000"/>
          <w:sz w:val="24"/>
        </w:rPr>
        <w:t>procedural gua</w:t>
      </w:r>
      <w:r w:rsidR="00741B92" w:rsidRPr="00012C17">
        <w:rPr>
          <w:rFonts w:cs="Tahoma"/>
          <w:bCs/>
          <w:i/>
          <w:iCs/>
          <w:color w:val="000000"/>
          <w:sz w:val="24"/>
        </w:rPr>
        <w:t>rantees</w:t>
      </w:r>
      <w:r w:rsidR="00741B92" w:rsidRPr="00012C17">
        <w:rPr>
          <w:rFonts w:cs="Tahoma"/>
          <w:bCs/>
          <w:color w:val="000000"/>
          <w:sz w:val="24"/>
        </w:rPr>
        <w:t>”</w:t>
      </w:r>
      <w:r w:rsidRPr="00012C17">
        <w:rPr>
          <w:rFonts w:cs="Tahoma"/>
          <w:bCs/>
          <w:color w:val="000000"/>
          <w:sz w:val="24"/>
        </w:rPr>
        <w:t xml:space="preserve">. Consequently, in the light of the basic principles of the Venice Commission, the Court will assess whether </w:t>
      </w:r>
      <w:r w:rsidR="00741B92" w:rsidRPr="00012C17">
        <w:rPr>
          <w:rFonts w:cs="Tahoma"/>
          <w:bCs/>
          <w:color w:val="000000"/>
          <w:sz w:val="24"/>
        </w:rPr>
        <w:t xml:space="preserve">the </w:t>
      </w:r>
      <w:r w:rsidR="00BF077B" w:rsidRPr="00012C17">
        <w:rPr>
          <w:rFonts w:cs="Tahoma"/>
          <w:bCs/>
          <w:color w:val="000000"/>
          <w:sz w:val="24"/>
        </w:rPr>
        <w:t>general principles in relation to “</w:t>
      </w:r>
      <w:r w:rsidR="00BF077B" w:rsidRPr="00012C17">
        <w:rPr>
          <w:rFonts w:cs="Tahoma"/>
          <w:bCs/>
          <w:i/>
          <w:iCs/>
          <w:color w:val="000000"/>
          <w:sz w:val="24"/>
        </w:rPr>
        <w:t>free vote</w:t>
      </w:r>
      <w:r w:rsidR="00BF077B" w:rsidRPr="00012C17">
        <w:rPr>
          <w:rFonts w:cs="Tahoma"/>
          <w:bCs/>
          <w:color w:val="000000"/>
          <w:sz w:val="24"/>
        </w:rPr>
        <w:t>” and “</w:t>
      </w:r>
      <w:r w:rsidR="00BF077B" w:rsidRPr="00012C17">
        <w:rPr>
          <w:rFonts w:cs="Tahoma"/>
          <w:bCs/>
          <w:i/>
          <w:iCs/>
          <w:color w:val="000000"/>
          <w:sz w:val="24"/>
        </w:rPr>
        <w:t>equal vote</w:t>
      </w:r>
      <w:r w:rsidR="00BF077B" w:rsidRPr="00012C17">
        <w:rPr>
          <w:rFonts w:cs="Tahoma"/>
          <w:bCs/>
          <w:color w:val="000000"/>
          <w:sz w:val="24"/>
        </w:rPr>
        <w:t>” and respective</w:t>
      </w:r>
      <w:r w:rsidR="001B11C5" w:rsidRPr="00012C17">
        <w:rPr>
          <w:rFonts w:cs="Tahoma"/>
          <w:bCs/>
          <w:color w:val="000000"/>
          <w:sz w:val="24"/>
        </w:rPr>
        <w:t xml:space="preserve"> </w:t>
      </w:r>
      <w:r w:rsidR="00741B92" w:rsidRPr="00012C17">
        <w:rPr>
          <w:rFonts w:cs="Tahoma"/>
          <w:bCs/>
          <w:color w:val="000000"/>
          <w:sz w:val="24"/>
        </w:rPr>
        <w:t>“</w:t>
      </w:r>
      <w:r w:rsidRPr="00012C17">
        <w:rPr>
          <w:rFonts w:cs="Tahoma"/>
          <w:bCs/>
          <w:i/>
          <w:iCs/>
          <w:color w:val="000000"/>
          <w:sz w:val="24"/>
        </w:rPr>
        <w:t>procedural guarantees</w:t>
      </w:r>
      <w:r w:rsidR="00741B92" w:rsidRPr="00012C17">
        <w:rPr>
          <w:rFonts w:cs="Tahoma"/>
          <w:bCs/>
          <w:color w:val="000000"/>
          <w:sz w:val="24"/>
        </w:rPr>
        <w:t>”</w:t>
      </w:r>
      <w:r w:rsidRPr="00012C17">
        <w:rPr>
          <w:rFonts w:cs="Tahoma"/>
          <w:bCs/>
          <w:color w:val="000000"/>
          <w:sz w:val="24"/>
        </w:rPr>
        <w:t xml:space="preserve"> may have been violated. Whereas, i</w:t>
      </w:r>
      <w:r w:rsidR="00BE5B71" w:rsidRPr="00012C17">
        <w:rPr>
          <w:rFonts w:cs="Tahoma"/>
          <w:bCs/>
          <w:color w:val="000000"/>
          <w:sz w:val="24"/>
        </w:rPr>
        <w:t>n the context of the ECtHR case-</w:t>
      </w:r>
      <w:r w:rsidRPr="00012C17">
        <w:rPr>
          <w:rFonts w:cs="Tahoma"/>
          <w:bCs/>
          <w:color w:val="000000"/>
          <w:sz w:val="24"/>
        </w:rPr>
        <w:t xml:space="preserve">law, the Court will examine the </w:t>
      </w:r>
      <w:r w:rsidR="00741B92" w:rsidRPr="00012C17">
        <w:rPr>
          <w:rFonts w:cs="Tahoma"/>
          <w:bCs/>
          <w:color w:val="000000"/>
          <w:sz w:val="24"/>
        </w:rPr>
        <w:t>A</w:t>
      </w:r>
      <w:r w:rsidRPr="00012C17">
        <w:rPr>
          <w:rFonts w:cs="Tahoma"/>
          <w:bCs/>
          <w:color w:val="000000"/>
          <w:sz w:val="24"/>
        </w:rPr>
        <w:t xml:space="preserve">pplicants' allegations in terms of </w:t>
      </w:r>
      <w:r w:rsidR="00741B92" w:rsidRPr="00012C17">
        <w:rPr>
          <w:rFonts w:cs="Tahoma"/>
          <w:bCs/>
          <w:color w:val="000000"/>
          <w:sz w:val="24"/>
        </w:rPr>
        <w:t>the “</w:t>
      </w:r>
      <w:r w:rsidRPr="00012C17">
        <w:rPr>
          <w:rFonts w:cs="Tahoma"/>
          <w:bCs/>
          <w:i/>
          <w:iCs/>
          <w:color w:val="000000"/>
          <w:sz w:val="24"/>
        </w:rPr>
        <w:t>post-election rights</w:t>
      </w:r>
      <w:r w:rsidR="00741B92" w:rsidRPr="00012C17">
        <w:rPr>
          <w:rFonts w:cs="Tahoma"/>
          <w:bCs/>
          <w:color w:val="000000"/>
          <w:sz w:val="24"/>
        </w:rPr>
        <w:t>”</w:t>
      </w:r>
      <w:r w:rsidRPr="00012C17">
        <w:rPr>
          <w:rFonts w:cs="Tahoma"/>
          <w:bCs/>
          <w:color w:val="000000"/>
          <w:sz w:val="24"/>
        </w:rPr>
        <w:t xml:space="preserve"> guaranteed by Article 3 of </w:t>
      </w:r>
      <w:r w:rsidR="00C40D12" w:rsidRPr="00012C17">
        <w:rPr>
          <w:rFonts w:cs="Tahoma"/>
          <w:bCs/>
          <w:color w:val="000000"/>
          <w:sz w:val="24"/>
        </w:rPr>
        <w:t>Protocol no.</w:t>
      </w:r>
      <w:r w:rsidR="00BE5B71" w:rsidRPr="00012C17">
        <w:rPr>
          <w:rFonts w:cs="Tahoma"/>
          <w:bCs/>
          <w:color w:val="000000"/>
          <w:sz w:val="24"/>
        </w:rPr>
        <w:t xml:space="preserve"> </w:t>
      </w:r>
      <w:r w:rsidR="00C40D12" w:rsidRPr="00012C17">
        <w:rPr>
          <w:rFonts w:cs="Tahoma"/>
          <w:bCs/>
          <w:color w:val="000000"/>
          <w:sz w:val="24"/>
        </w:rPr>
        <w:t>1</w:t>
      </w:r>
      <w:r w:rsidRPr="00012C17">
        <w:rPr>
          <w:rFonts w:cs="Tahoma"/>
          <w:bCs/>
          <w:color w:val="000000"/>
          <w:sz w:val="24"/>
        </w:rPr>
        <w:t xml:space="preserve"> to the ECHR, applying the ECtHR test in </w:t>
      </w:r>
      <w:r w:rsidR="00741B92" w:rsidRPr="00012C17">
        <w:rPr>
          <w:rFonts w:cs="Tahoma"/>
          <w:bCs/>
          <w:color w:val="000000"/>
          <w:sz w:val="24"/>
        </w:rPr>
        <w:t>the election</w:t>
      </w:r>
      <w:r w:rsidRPr="00012C17">
        <w:rPr>
          <w:rFonts w:cs="Tahoma"/>
          <w:bCs/>
          <w:color w:val="000000"/>
          <w:sz w:val="24"/>
        </w:rPr>
        <w:t xml:space="preserve"> disputes, </w:t>
      </w:r>
      <w:r w:rsidR="00741B92" w:rsidRPr="00012C17">
        <w:rPr>
          <w:rFonts w:cs="Tahoma"/>
          <w:bCs/>
          <w:color w:val="000000"/>
          <w:sz w:val="24"/>
        </w:rPr>
        <w:t>namely</w:t>
      </w:r>
      <w:r w:rsidRPr="00012C17">
        <w:rPr>
          <w:rFonts w:cs="Tahoma"/>
          <w:bCs/>
          <w:color w:val="000000"/>
          <w:sz w:val="24"/>
        </w:rPr>
        <w:t xml:space="preserve"> arbitrariness; lack of proportionality and whether the restrictions have violated the free expression of the will of voters. </w:t>
      </w:r>
      <w:r w:rsidR="00741B92" w:rsidRPr="00012C17">
        <w:rPr>
          <w:rFonts w:cs="Tahoma"/>
          <w:bCs/>
          <w:color w:val="000000"/>
          <w:sz w:val="24"/>
        </w:rPr>
        <w:t>The</w:t>
      </w:r>
      <w:r w:rsidRPr="00012C17">
        <w:rPr>
          <w:rFonts w:cs="Tahoma"/>
          <w:bCs/>
          <w:color w:val="000000"/>
          <w:sz w:val="24"/>
        </w:rPr>
        <w:t xml:space="preserve"> Court will </w:t>
      </w:r>
      <w:r w:rsidR="00741B92" w:rsidRPr="00012C17">
        <w:rPr>
          <w:rFonts w:cs="Tahoma"/>
          <w:bCs/>
          <w:color w:val="000000"/>
          <w:sz w:val="24"/>
        </w:rPr>
        <w:t xml:space="preserve">further </w:t>
      </w:r>
      <w:r w:rsidRPr="00012C17">
        <w:rPr>
          <w:rFonts w:cs="Tahoma"/>
          <w:bCs/>
          <w:color w:val="000000"/>
          <w:sz w:val="24"/>
        </w:rPr>
        <w:t xml:space="preserve">deal with each </w:t>
      </w:r>
      <w:r w:rsidR="00741B92" w:rsidRPr="00012C17">
        <w:rPr>
          <w:rFonts w:cs="Tahoma"/>
          <w:bCs/>
          <w:color w:val="000000"/>
          <w:sz w:val="24"/>
        </w:rPr>
        <w:t>Applicant’s allegation</w:t>
      </w:r>
      <w:r w:rsidRPr="00012C17">
        <w:rPr>
          <w:rFonts w:cs="Tahoma"/>
          <w:bCs/>
          <w:color w:val="000000"/>
          <w:sz w:val="24"/>
        </w:rPr>
        <w:t xml:space="preserve"> individually.</w:t>
      </w:r>
    </w:p>
    <w:p w:rsidR="006A4D44" w:rsidRPr="00012C17" w:rsidRDefault="006A4D44" w:rsidP="001B11C5">
      <w:pPr>
        <w:tabs>
          <w:tab w:val="left" w:pos="720"/>
        </w:tabs>
        <w:spacing w:line="240" w:lineRule="auto"/>
        <w:rPr>
          <w:rFonts w:cs="Tahoma"/>
          <w:bCs/>
          <w:i/>
          <w:color w:val="000000"/>
          <w:sz w:val="24"/>
        </w:rPr>
      </w:pPr>
    </w:p>
    <w:p w:rsidR="00A07553" w:rsidRPr="00012C17" w:rsidRDefault="00A07553" w:rsidP="00265D47">
      <w:pPr>
        <w:numPr>
          <w:ilvl w:val="0"/>
          <w:numId w:val="35"/>
        </w:numPr>
        <w:tabs>
          <w:tab w:val="left" w:pos="720"/>
        </w:tabs>
        <w:spacing w:line="240" w:lineRule="auto"/>
        <w:ind w:hanging="450"/>
        <w:rPr>
          <w:rFonts w:cs="Tahoma"/>
          <w:bCs/>
          <w:i/>
          <w:color w:val="000000"/>
          <w:sz w:val="24"/>
        </w:rPr>
      </w:pPr>
      <w:r w:rsidRPr="00012C17">
        <w:rPr>
          <w:rFonts w:cs="Tahoma"/>
          <w:bCs/>
          <w:i/>
          <w:color w:val="000000"/>
          <w:sz w:val="24"/>
        </w:rPr>
        <w:t xml:space="preserve">As to “equal </w:t>
      </w:r>
      <w:r w:rsidR="00E004B6" w:rsidRPr="00012C17">
        <w:rPr>
          <w:rFonts w:cs="Tahoma"/>
          <w:bCs/>
          <w:i/>
          <w:color w:val="000000"/>
          <w:sz w:val="24"/>
        </w:rPr>
        <w:t>vote</w:t>
      </w:r>
      <w:r w:rsidRPr="00012C17">
        <w:rPr>
          <w:rFonts w:cs="Tahoma"/>
          <w:bCs/>
          <w:i/>
          <w:color w:val="000000"/>
          <w:sz w:val="24"/>
        </w:rPr>
        <w:t>”</w:t>
      </w:r>
    </w:p>
    <w:p w:rsidR="00A07553" w:rsidRPr="00012C17" w:rsidRDefault="00A07553" w:rsidP="001B11C5">
      <w:pPr>
        <w:tabs>
          <w:tab w:val="left" w:pos="720"/>
        </w:tabs>
        <w:spacing w:line="240" w:lineRule="auto"/>
        <w:rPr>
          <w:rFonts w:cs="Tahoma"/>
          <w:bCs/>
          <w:color w:val="000000"/>
          <w:sz w:val="24"/>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The principle of </w:t>
      </w:r>
      <w:r w:rsidRPr="00012C17">
        <w:rPr>
          <w:rFonts w:cs="Tahoma"/>
          <w:bCs/>
          <w:i/>
          <w:color w:val="000000"/>
          <w:sz w:val="24"/>
        </w:rPr>
        <w:t xml:space="preserve">“equal vote” </w:t>
      </w:r>
      <w:r w:rsidRPr="00012C17">
        <w:rPr>
          <w:rFonts w:cs="Tahoma"/>
          <w:bCs/>
          <w:color w:val="000000"/>
          <w:sz w:val="24"/>
        </w:rPr>
        <w:t xml:space="preserve">according to the Code of Good Practice and relevant Explanatory Report means: </w:t>
      </w:r>
      <w:r w:rsidR="00741B92" w:rsidRPr="00012C17">
        <w:rPr>
          <w:rFonts w:cs="Tahoma"/>
          <w:bCs/>
          <w:color w:val="000000"/>
          <w:sz w:val="24"/>
        </w:rPr>
        <w:t>(i</w:t>
      </w:r>
      <w:r w:rsidRPr="00012C17">
        <w:rPr>
          <w:rFonts w:cs="Tahoma"/>
          <w:bCs/>
          <w:color w:val="000000"/>
          <w:sz w:val="24"/>
        </w:rPr>
        <w:t xml:space="preserve">) the right to equal vote - namely the right of each voter to have, in principle, a vote and in the electoral systems where voters are given the right for more than one vote, each voter must have the same number of votes; </w:t>
      </w:r>
      <w:r w:rsidR="00741B92" w:rsidRPr="00012C17">
        <w:rPr>
          <w:rFonts w:cs="Tahoma"/>
          <w:bCs/>
          <w:color w:val="000000"/>
          <w:sz w:val="24"/>
        </w:rPr>
        <w:t>(ii</w:t>
      </w:r>
      <w:r w:rsidRPr="00012C17">
        <w:rPr>
          <w:rFonts w:cs="Tahoma"/>
          <w:bCs/>
          <w:color w:val="000000"/>
          <w:sz w:val="24"/>
        </w:rPr>
        <w:t xml:space="preserve">) the equal power of the vote in the sense that according to the Code, the seats should be distributed equally between the electoral zones; </w:t>
      </w:r>
      <w:r w:rsidR="00741B92" w:rsidRPr="00012C17">
        <w:rPr>
          <w:rFonts w:cs="Tahoma"/>
          <w:bCs/>
          <w:color w:val="000000"/>
          <w:sz w:val="24"/>
        </w:rPr>
        <w:t>(</w:t>
      </w:r>
      <w:r w:rsidRPr="00012C17">
        <w:rPr>
          <w:rFonts w:cs="Tahoma"/>
          <w:bCs/>
          <w:color w:val="000000"/>
          <w:sz w:val="24"/>
        </w:rPr>
        <w:t>iii) equal opportunities – namely equal opportunity must be guaranteed to all parties and candidates, meaning that the state authorities must preserve their neutrality in all respects, particularly in terms of electoral campaign, media coverage and political party and election campaigns</w:t>
      </w:r>
      <w:r w:rsidR="00741B92" w:rsidRPr="00012C17">
        <w:rPr>
          <w:rFonts w:cs="Tahoma"/>
          <w:bCs/>
          <w:color w:val="000000"/>
          <w:sz w:val="24"/>
        </w:rPr>
        <w:t xml:space="preserve"> funding</w:t>
      </w:r>
      <w:r w:rsidRPr="00012C17">
        <w:rPr>
          <w:rFonts w:cs="Tahoma"/>
          <w:bCs/>
          <w:color w:val="000000"/>
          <w:sz w:val="24"/>
        </w:rPr>
        <w:t xml:space="preserve">; </w:t>
      </w:r>
      <w:r w:rsidR="00741B92" w:rsidRPr="00012C17">
        <w:rPr>
          <w:rFonts w:cs="Tahoma"/>
          <w:bCs/>
          <w:color w:val="000000"/>
          <w:sz w:val="24"/>
        </w:rPr>
        <w:t>(iv</w:t>
      </w:r>
      <w:r w:rsidRPr="00012C17">
        <w:rPr>
          <w:rFonts w:cs="Tahoma"/>
          <w:bCs/>
          <w:color w:val="000000"/>
          <w:sz w:val="24"/>
        </w:rPr>
        <w:t>) equality and national minorities – the parties of national minority should be allowed and that, in principle, the special rules guaranteeing seats reserved for minorities are not contrary to the principle of equal vote; and (</w:t>
      </w:r>
      <w:r w:rsidR="00741B92" w:rsidRPr="00012C17">
        <w:rPr>
          <w:rFonts w:cs="Tahoma"/>
          <w:bCs/>
          <w:color w:val="000000"/>
          <w:sz w:val="24"/>
        </w:rPr>
        <w:t>v</w:t>
      </w:r>
      <w:r w:rsidRPr="00012C17">
        <w:rPr>
          <w:rFonts w:cs="Tahoma"/>
          <w:bCs/>
          <w:color w:val="000000"/>
          <w:sz w:val="24"/>
        </w:rPr>
        <w:t xml:space="preserve">) gender equality in </w:t>
      </w:r>
      <w:r w:rsidR="00741B92" w:rsidRPr="00012C17">
        <w:rPr>
          <w:rFonts w:cs="Tahoma"/>
          <w:bCs/>
          <w:color w:val="000000"/>
          <w:sz w:val="24"/>
        </w:rPr>
        <w:t>respect</w:t>
      </w:r>
      <w:r w:rsidRPr="00012C17">
        <w:rPr>
          <w:rFonts w:cs="Tahoma"/>
          <w:bCs/>
          <w:color w:val="000000"/>
          <w:sz w:val="24"/>
        </w:rPr>
        <w:t xml:space="preserve"> that </w:t>
      </w:r>
      <w:r w:rsidR="00741B92" w:rsidRPr="00012C17">
        <w:rPr>
          <w:rFonts w:cs="Tahoma"/>
          <w:bCs/>
          <w:color w:val="000000"/>
          <w:sz w:val="24"/>
        </w:rPr>
        <w:t xml:space="preserve">the </w:t>
      </w:r>
      <w:r w:rsidRPr="00012C17">
        <w:rPr>
          <w:rFonts w:cs="Tahoma"/>
          <w:bCs/>
          <w:color w:val="000000"/>
          <w:sz w:val="24"/>
        </w:rPr>
        <w:t>rules requiring a minimum percentage of candidates of each gender should not be considered to be in contravention of the principle of equal vote as long as they have a constitutional basis</w:t>
      </w:r>
      <w:r w:rsidR="00BE5B71" w:rsidRPr="00012C17">
        <w:rPr>
          <w:rFonts w:cs="Tahoma"/>
          <w:bCs/>
          <w:color w:val="000000"/>
          <w:sz w:val="24"/>
        </w:rPr>
        <w:t>.</w:t>
      </w:r>
      <w:r w:rsidRPr="00012C17">
        <w:rPr>
          <w:rFonts w:cs="Tahoma"/>
          <w:bCs/>
          <w:color w:val="000000"/>
          <w:sz w:val="24"/>
        </w:rPr>
        <w:t xml:space="preserve"> (</w:t>
      </w:r>
      <w:r w:rsidR="00BF077B" w:rsidRPr="00012C17">
        <w:rPr>
          <w:rFonts w:cs="Tahoma"/>
          <w:bCs/>
          <w:color w:val="000000"/>
          <w:sz w:val="24"/>
        </w:rPr>
        <w:t>S</w:t>
      </w:r>
      <w:r w:rsidRPr="00012C17">
        <w:rPr>
          <w:rFonts w:cs="Tahoma"/>
          <w:bCs/>
          <w:color w:val="000000"/>
          <w:sz w:val="24"/>
        </w:rPr>
        <w:t xml:space="preserve">ee </w:t>
      </w:r>
      <w:r w:rsidR="00741B92" w:rsidRPr="00012C17">
        <w:rPr>
          <w:rFonts w:cs="Tahoma"/>
          <w:bCs/>
          <w:color w:val="000000"/>
          <w:sz w:val="24"/>
        </w:rPr>
        <w:t>section 2</w:t>
      </w:r>
      <w:r w:rsidRPr="00012C17">
        <w:rPr>
          <w:rFonts w:cs="Tahoma"/>
          <w:bCs/>
          <w:color w:val="000000"/>
          <w:sz w:val="24"/>
        </w:rPr>
        <w:t xml:space="preserve"> of the Code of Good Practice and </w:t>
      </w:r>
      <w:r w:rsidR="00741B92" w:rsidRPr="00012C17">
        <w:rPr>
          <w:rFonts w:cs="Tahoma"/>
          <w:bCs/>
          <w:color w:val="000000"/>
          <w:sz w:val="24"/>
        </w:rPr>
        <w:t>section 2</w:t>
      </w:r>
      <w:r w:rsidRPr="00012C17">
        <w:rPr>
          <w:rFonts w:cs="Tahoma"/>
          <w:bCs/>
          <w:color w:val="000000"/>
          <w:sz w:val="24"/>
        </w:rPr>
        <w:t xml:space="preserve"> of the Explanatory Report). </w:t>
      </w:r>
    </w:p>
    <w:p w:rsidR="00741B92" w:rsidRPr="00012C17" w:rsidRDefault="00741B92" w:rsidP="001B11C5">
      <w:pPr>
        <w:spacing w:line="240" w:lineRule="auto"/>
        <w:ind w:left="540" w:hanging="540"/>
        <w:rPr>
          <w:rFonts w:cs="Tahoma"/>
          <w:bCs/>
          <w:color w:val="000000"/>
          <w:sz w:val="24"/>
        </w:rPr>
      </w:pPr>
    </w:p>
    <w:p w:rsidR="00A07553" w:rsidRPr="00012C17" w:rsidRDefault="00A07553" w:rsidP="001B11C5">
      <w:pPr>
        <w:numPr>
          <w:ilvl w:val="0"/>
          <w:numId w:val="1"/>
        </w:numPr>
        <w:spacing w:line="240" w:lineRule="auto"/>
        <w:ind w:left="630" w:hanging="630"/>
        <w:rPr>
          <w:bCs/>
          <w:iCs/>
          <w:color w:val="000000"/>
          <w:sz w:val="24"/>
        </w:rPr>
      </w:pPr>
      <w:r w:rsidRPr="00012C17">
        <w:rPr>
          <w:rFonts w:cs="Arial"/>
          <w:color w:val="000000"/>
          <w:sz w:val="24"/>
        </w:rPr>
        <w:t>The Court notes that the Applicants also refer to</w:t>
      </w:r>
      <w:r w:rsidR="00BE5B71" w:rsidRPr="00012C17">
        <w:rPr>
          <w:rFonts w:cs="Arial"/>
          <w:color w:val="000000"/>
          <w:sz w:val="24"/>
        </w:rPr>
        <w:t>:</w:t>
      </w:r>
      <w:r w:rsidRPr="00012C17">
        <w:rPr>
          <w:rFonts w:cs="Arial"/>
          <w:color w:val="000000"/>
          <w:sz w:val="24"/>
        </w:rPr>
        <w:t xml:space="preserve"> </w:t>
      </w:r>
      <w:r w:rsidR="00741B92" w:rsidRPr="00012C17">
        <w:rPr>
          <w:rFonts w:cs="Arial"/>
          <w:color w:val="000000"/>
          <w:sz w:val="24"/>
        </w:rPr>
        <w:t>(i</w:t>
      </w:r>
      <w:r w:rsidRPr="00012C17">
        <w:rPr>
          <w:rFonts w:cs="Arial"/>
          <w:color w:val="000000"/>
          <w:sz w:val="24"/>
        </w:rPr>
        <w:t>) s</w:t>
      </w:r>
      <w:r w:rsidR="00741B92" w:rsidRPr="00012C17">
        <w:rPr>
          <w:rFonts w:cs="Arial"/>
          <w:color w:val="000000"/>
          <w:sz w:val="24"/>
        </w:rPr>
        <w:t>trict and formal equality; and (ii</w:t>
      </w:r>
      <w:r w:rsidRPr="00012C17">
        <w:rPr>
          <w:rFonts w:cs="Arial"/>
          <w:color w:val="000000"/>
          <w:sz w:val="24"/>
        </w:rPr>
        <w:t xml:space="preserve">) equality of opportunities. In this regard, the Court notes that the Code of Good Practice and the relevant Explanatory Report deal with strict and proportional equality in the </w:t>
      </w:r>
      <w:r w:rsidRPr="00012C17">
        <w:rPr>
          <w:rFonts w:cs="Tahoma"/>
          <w:bCs/>
          <w:color w:val="000000"/>
          <w:sz w:val="24"/>
        </w:rPr>
        <w:t>framework</w:t>
      </w:r>
      <w:r w:rsidRPr="00012C17">
        <w:rPr>
          <w:rFonts w:cs="Arial"/>
          <w:color w:val="000000"/>
          <w:sz w:val="24"/>
        </w:rPr>
        <w:t xml:space="preserve"> of equality of opportunities</w:t>
      </w:r>
      <w:r w:rsidR="00BE5B71" w:rsidRPr="00012C17">
        <w:rPr>
          <w:rFonts w:cs="Arial"/>
          <w:color w:val="000000"/>
          <w:sz w:val="24"/>
        </w:rPr>
        <w:t>.</w:t>
      </w:r>
      <w:r w:rsidR="00012C17">
        <w:rPr>
          <w:rFonts w:cs="Arial"/>
          <w:color w:val="000000"/>
          <w:sz w:val="24"/>
        </w:rPr>
        <w:t xml:space="preserve"> </w:t>
      </w:r>
      <w:r w:rsidRPr="00012C17">
        <w:rPr>
          <w:rFonts w:cs="Arial"/>
          <w:color w:val="000000"/>
          <w:sz w:val="24"/>
        </w:rPr>
        <w:t>(</w:t>
      </w:r>
      <w:r w:rsidR="00BF077B" w:rsidRPr="00012C17">
        <w:rPr>
          <w:rFonts w:cs="Arial"/>
          <w:color w:val="000000"/>
          <w:sz w:val="24"/>
        </w:rPr>
        <w:t>S</w:t>
      </w:r>
      <w:r w:rsidRPr="00012C17">
        <w:rPr>
          <w:rFonts w:cs="Arial"/>
          <w:color w:val="000000"/>
          <w:sz w:val="24"/>
        </w:rPr>
        <w:t>ee section 2.3 of the Explanatory Report). According to them, and as elaborated above, the equality of opportunities according to the practice of the member states of the Venice Commission is built in the sense of the neutrality and impartiality of state authorities and the application of the same rules for everyone in the election process</w:t>
      </w:r>
      <w:r w:rsidR="00741B92" w:rsidRPr="00012C17">
        <w:rPr>
          <w:rFonts w:cs="Arial"/>
          <w:color w:val="000000"/>
          <w:sz w:val="24"/>
        </w:rPr>
        <w:t>es</w:t>
      </w:r>
      <w:r w:rsidRPr="00012C17">
        <w:rPr>
          <w:rFonts w:cs="Arial"/>
          <w:color w:val="000000"/>
          <w:sz w:val="24"/>
        </w:rPr>
        <w:t>. According to the Code</w:t>
      </w:r>
      <w:r w:rsidR="00BF077B" w:rsidRPr="00012C17">
        <w:rPr>
          <w:rFonts w:cs="Arial"/>
          <w:color w:val="000000"/>
          <w:sz w:val="24"/>
        </w:rPr>
        <w:t>,</w:t>
      </w:r>
      <w:r w:rsidRPr="00012C17">
        <w:rPr>
          <w:rFonts w:cs="Arial"/>
          <w:color w:val="000000"/>
          <w:sz w:val="24"/>
        </w:rPr>
        <w:t xml:space="preserve"> in this respect, there are two interpretations of equality: formal and proportional. The first one means that the political parties should be treated equally regardless of their power in parliament or between voters and that this also applies to the use of public mechanisms supporting </w:t>
      </w:r>
      <w:r w:rsidR="00741B92" w:rsidRPr="00012C17">
        <w:rPr>
          <w:rFonts w:cs="Arial"/>
          <w:color w:val="000000"/>
          <w:sz w:val="24"/>
        </w:rPr>
        <w:t xml:space="preserve">the </w:t>
      </w:r>
      <w:r w:rsidRPr="00012C17">
        <w:rPr>
          <w:rFonts w:cs="Arial"/>
          <w:color w:val="000000"/>
          <w:sz w:val="24"/>
        </w:rPr>
        <w:t xml:space="preserve">election campaigns; while the second, implies that the political </w:t>
      </w:r>
      <w:r w:rsidRPr="00012C17">
        <w:rPr>
          <w:rFonts w:cs="Arial"/>
          <w:color w:val="000000"/>
          <w:sz w:val="24"/>
        </w:rPr>
        <w:lastRenderedPageBreak/>
        <w:t>parties should be treated in propo</w:t>
      </w:r>
      <w:r w:rsidR="00BE5B71" w:rsidRPr="00012C17">
        <w:rPr>
          <w:rFonts w:cs="Arial"/>
          <w:color w:val="000000"/>
          <w:sz w:val="24"/>
        </w:rPr>
        <w:t>rtion to the number of votes. (S</w:t>
      </w:r>
      <w:r w:rsidRPr="00012C17">
        <w:rPr>
          <w:rFonts w:cs="Arial"/>
          <w:color w:val="000000"/>
          <w:sz w:val="24"/>
        </w:rPr>
        <w:t xml:space="preserve">ee </w:t>
      </w:r>
      <w:r w:rsidR="00741B92" w:rsidRPr="00012C17">
        <w:rPr>
          <w:rFonts w:cs="Arial"/>
          <w:color w:val="000000"/>
          <w:sz w:val="24"/>
        </w:rPr>
        <w:t xml:space="preserve">item 2.3 (b) </w:t>
      </w:r>
      <w:r w:rsidRPr="00012C17">
        <w:rPr>
          <w:rFonts w:cs="Arial"/>
          <w:color w:val="000000"/>
          <w:sz w:val="24"/>
        </w:rPr>
        <w:t xml:space="preserve">of the Code </w:t>
      </w:r>
      <w:r w:rsidR="00741B92" w:rsidRPr="00012C17">
        <w:rPr>
          <w:rFonts w:cs="Arial"/>
          <w:color w:val="000000"/>
          <w:sz w:val="24"/>
        </w:rPr>
        <w:t>of Good Practice</w:t>
      </w:r>
      <w:r w:rsidRPr="00012C17">
        <w:rPr>
          <w:bCs/>
          <w:iCs/>
          <w:color w:val="000000"/>
          <w:sz w:val="24"/>
        </w:rPr>
        <w:t>).</w:t>
      </w:r>
    </w:p>
    <w:p w:rsidR="00741B92" w:rsidRPr="00012C17" w:rsidRDefault="00741B92" w:rsidP="001B11C5">
      <w:pPr>
        <w:spacing w:line="240" w:lineRule="auto"/>
        <w:ind w:left="540" w:hanging="540"/>
        <w:rPr>
          <w:bCs/>
          <w:iCs/>
          <w:color w:val="000000"/>
          <w:sz w:val="24"/>
        </w:rPr>
      </w:pPr>
    </w:p>
    <w:p w:rsidR="00741B92" w:rsidRPr="00012C17" w:rsidRDefault="00741B92" w:rsidP="001B11C5">
      <w:pPr>
        <w:numPr>
          <w:ilvl w:val="0"/>
          <w:numId w:val="1"/>
        </w:numPr>
        <w:spacing w:line="240" w:lineRule="auto"/>
        <w:ind w:left="630" w:hanging="630"/>
        <w:rPr>
          <w:bCs/>
          <w:iCs/>
          <w:color w:val="000000"/>
          <w:sz w:val="24"/>
        </w:rPr>
      </w:pPr>
      <w:r w:rsidRPr="00012C17">
        <w:rPr>
          <w:bCs/>
          <w:iCs/>
          <w:color w:val="000000"/>
          <w:sz w:val="24"/>
        </w:rPr>
        <w:t>In this regard, the Court recalls that the Applicants reason the violation of principle of “</w:t>
      </w:r>
      <w:r w:rsidRPr="00012C17">
        <w:rPr>
          <w:bCs/>
          <w:i/>
          <w:color w:val="000000"/>
          <w:sz w:val="24"/>
        </w:rPr>
        <w:t>equal vote</w:t>
      </w:r>
      <w:r w:rsidRPr="00012C17">
        <w:rPr>
          <w:bCs/>
          <w:iCs/>
          <w:color w:val="000000"/>
          <w:sz w:val="24"/>
        </w:rPr>
        <w:t>” with the fact that the Supreme Court, ECAP and CEC have failed to guarantee an electoral process where “</w:t>
      </w:r>
      <w:r w:rsidRPr="00012C17">
        <w:rPr>
          <w:bCs/>
          <w:i/>
          <w:color w:val="000000"/>
          <w:sz w:val="24"/>
        </w:rPr>
        <w:t>the weight of the vote</w:t>
      </w:r>
      <w:r w:rsidRPr="00012C17">
        <w:rPr>
          <w:bCs/>
          <w:iCs/>
          <w:color w:val="000000"/>
          <w:sz w:val="24"/>
        </w:rPr>
        <w:t xml:space="preserve">” is equal, because according to the allegation, the Supreme Court in its </w:t>
      </w:r>
      <w:r w:rsidR="00BF077B" w:rsidRPr="00012C17">
        <w:rPr>
          <w:bCs/>
          <w:iCs/>
          <w:color w:val="000000"/>
          <w:sz w:val="24"/>
        </w:rPr>
        <w:t>s</w:t>
      </w:r>
      <w:r w:rsidRPr="00012C17">
        <w:rPr>
          <w:bCs/>
          <w:iCs/>
          <w:color w:val="000000"/>
          <w:sz w:val="24"/>
        </w:rPr>
        <w:t>econd Decision [A</w:t>
      </w:r>
      <w:r w:rsidR="006634E8" w:rsidRPr="00012C17">
        <w:rPr>
          <w:bCs/>
          <w:iCs/>
          <w:color w:val="000000"/>
          <w:sz w:val="24"/>
        </w:rPr>
        <w:t>.</w:t>
      </w:r>
      <w:r w:rsidRPr="00012C17">
        <w:rPr>
          <w:bCs/>
          <w:iCs/>
          <w:color w:val="000000"/>
          <w:sz w:val="24"/>
        </w:rPr>
        <w:t>A</w:t>
      </w:r>
      <w:r w:rsidR="006634E8" w:rsidRPr="00012C17">
        <w:rPr>
          <w:bCs/>
          <w:iCs/>
          <w:color w:val="000000"/>
          <w:sz w:val="24"/>
        </w:rPr>
        <w:t>.</w:t>
      </w:r>
      <w:r w:rsidR="00BE5B71" w:rsidRPr="00012C17">
        <w:rPr>
          <w:bCs/>
          <w:iCs/>
          <w:color w:val="000000"/>
          <w:sz w:val="24"/>
        </w:rPr>
        <w:t xml:space="preserve"> U.ZH. No. 62/2017] found</w:t>
      </w:r>
      <w:r w:rsidRPr="00012C17">
        <w:rPr>
          <w:bCs/>
          <w:iCs/>
          <w:color w:val="000000"/>
          <w:sz w:val="24"/>
        </w:rPr>
        <w:t xml:space="preserve"> that “</w:t>
      </w:r>
      <w:r w:rsidRPr="00012C17">
        <w:rPr>
          <w:bCs/>
          <w:i/>
          <w:color w:val="000000"/>
          <w:sz w:val="24"/>
        </w:rPr>
        <w:t>the election process has been damaged</w:t>
      </w:r>
      <w:r w:rsidRPr="00012C17">
        <w:rPr>
          <w:bCs/>
          <w:iCs/>
          <w:color w:val="000000"/>
          <w:sz w:val="24"/>
        </w:rPr>
        <w:t>” but did not consider it necessary to recount the boxes from all polling stations. According to the Applicants, their request for recount of boxes at all polling stations was rejected in an unconstitutional way.</w:t>
      </w:r>
      <w:r w:rsidR="00BE5B71" w:rsidRPr="00012C17">
        <w:rPr>
          <w:bCs/>
          <w:iCs/>
          <w:color w:val="000000"/>
          <w:sz w:val="24"/>
        </w:rPr>
        <w:t xml:space="preserve"> (S</w:t>
      </w:r>
      <w:r w:rsidR="003C07A6" w:rsidRPr="00012C17">
        <w:rPr>
          <w:bCs/>
          <w:iCs/>
          <w:color w:val="000000"/>
          <w:sz w:val="24"/>
        </w:rPr>
        <w:t xml:space="preserve">ee in this context, the Applicants’ specific allegation in paragraph 61 </w:t>
      </w:r>
      <w:r w:rsidR="00BE5B71" w:rsidRPr="00012C17">
        <w:rPr>
          <w:bCs/>
          <w:iCs/>
          <w:color w:val="000000"/>
          <w:sz w:val="24"/>
        </w:rPr>
        <w:t xml:space="preserve">and 66 </w:t>
      </w:r>
      <w:r w:rsidR="003C07A6" w:rsidRPr="00012C17">
        <w:rPr>
          <w:bCs/>
          <w:iCs/>
          <w:color w:val="000000"/>
          <w:sz w:val="24"/>
        </w:rPr>
        <w:t>of this Judgment).</w:t>
      </w:r>
    </w:p>
    <w:p w:rsidR="00741B92" w:rsidRPr="00012C17" w:rsidRDefault="00741B92" w:rsidP="001B11C5">
      <w:pPr>
        <w:spacing w:line="240" w:lineRule="auto"/>
        <w:ind w:left="540" w:hanging="540"/>
        <w:rPr>
          <w:bCs/>
          <w:iCs/>
          <w:color w:val="000000"/>
          <w:sz w:val="24"/>
        </w:rPr>
      </w:pPr>
    </w:p>
    <w:p w:rsidR="00741B92" w:rsidRPr="00012C17" w:rsidRDefault="00741B92" w:rsidP="001B11C5">
      <w:pPr>
        <w:numPr>
          <w:ilvl w:val="0"/>
          <w:numId w:val="1"/>
        </w:numPr>
        <w:spacing w:line="240" w:lineRule="auto"/>
        <w:ind w:left="630" w:hanging="630"/>
        <w:rPr>
          <w:bCs/>
          <w:iCs/>
          <w:color w:val="000000"/>
          <w:sz w:val="24"/>
        </w:rPr>
      </w:pPr>
      <w:r w:rsidRPr="00012C17">
        <w:rPr>
          <w:bCs/>
          <w:iCs/>
          <w:color w:val="000000"/>
          <w:sz w:val="24"/>
        </w:rPr>
        <w:t xml:space="preserve">The Court notes that these allegations have been raised in terms of alleged violations of the right to judicial protection of rights guaranteed by Article 54 of the Constitution and are addressed in detail in paragraphs </w:t>
      </w:r>
      <w:r w:rsidR="003C07A6" w:rsidRPr="00012C17">
        <w:rPr>
          <w:bCs/>
          <w:iCs/>
          <w:color w:val="000000"/>
          <w:sz w:val="24"/>
        </w:rPr>
        <w:t>167-176</w:t>
      </w:r>
      <w:r w:rsidRPr="00012C17">
        <w:rPr>
          <w:bCs/>
          <w:iCs/>
          <w:color w:val="000000"/>
          <w:sz w:val="24"/>
        </w:rPr>
        <w:t xml:space="preserve"> of this Judgment.</w:t>
      </w:r>
    </w:p>
    <w:p w:rsidR="00741B92" w:rsidRPr="00012C17" w:rsidRDefault="00741B92" w:rsidP="001B11C5">
      <w:pPr>
        <w:spacing w:line="240" w:lineRule="auto"/>
        <w:ind w:left="540" w:hanging="540"/>
        <w:rPr>
          <w:bCs/>
          <w:iCs/>
          <w:color w:val="000000"/>
          <w:sz w:val="24"/>
        </w:rPr>
      </w:pPr>
    </w:p>
    <w:p w:rsidR="00741B92" w:rsidRPr="00012C17" w:rsidRDefault="00741B92" w:rsidP="001B11C5">
      <w:pPr>
        <w:numPr>
          <w:ilvl w:val="0"/>
          <w:numId w:val="1"/>
        </w:numPr>
        <w:spacing w:line="240" w:lineRule="auto"/>
        <w:ind w:left="630" w:hanging="630"/>
        <w:rPr>
          <w:bCs/>
          <w:iCs/>
          <w:color w:val="000000"/>
          <w:sz w:val="24"/>
        </w:rPr>
      </w:pPr>
      <w:r w:rsidRPr="00012C17">
        <w:rPr>
          <w:bCs/>
          <w:iCs/>
          <w:color w:val="000000"/>
          <w:sz w:val="24"/>
        </w:rPr>
        <w:t xml:space="preserve">The Court notes that no other allegation or circumstance associated with it, of the Applicants, falls within the scope of the guarantees defined by the Venice Commission principle in the context of the </w:t>
      </w:r>
      <w:r w:rsidRPr="00012C17">
        <w:rPr>
          <w:bCs/>
          <w:i/>
          <w:iCs/>
          <w:color w:val="000000"/>
          <w:sz w:val="24"/>
        </w:rPr>
        <w:t>“equal</w:t>
      </w:r>
      <w:r w:rsidRPr="00012C17">
        <w:rPr>
          <w:bCs/>
          <w:i/>
          <w:color w:val="000000"/>
          <w:sz w:val="24"/>
        </w:rPr>
        <w:t xml:space="preserve"> vote</w:t>
      </w:r>
      <w:r w:rsidRPr="00012C17">
        <w:rPr>
          <w:bCs/>
          <w:iCs/>
          <w:color w:val="000000"/>
          <w:sz w:val="24"/>
        </w:rPr>
        <w:t>”, including the “</w:t>
      </w:r>
      <w:r w:rsidRPr="00012C17">
        <w:rPr>
          <w:bCs/>
          <w:i/>
          <w:color w:val="000000"/>
          <w:sz w:val="24"/>
        </w:rPr>
        <w:t>equality of opportunities”</w:t>
      </w:r>
      <w:r w:rsidRPr="00012C17">
        <w:rPr>
          <w:bCs/>
          <w:iCs/>
          <w:color w:val="000000"/>
          <w:sz w:val="24"/>
        </w:rPr>
        <w:t>. Whilst the Applicants refer to the latter, the Court recalls that equality of opportunities under the practice of the Venice Commission member states is built in the sense of the neutrality and impartiality of the state authorities and the application of the same rules for all in the electoral process. The Applicants' allegations do not fall into this category.</w:t>
      </w:r>
    </w:p>
    <w:p w:rsidR="00741B92" w:rsidRPr="00012C17" w:rsidRDefault="00741B92" w:rsidP="001B11C5">
      <w:pPr>
        <w:spacing w:line="240" w:lineRule="auto"/>
        <w:ind w:left="540" w:hanging="540"/>
        <w:rPr>
          <w:bCs/>
          <w:iCs/>
          <w:color w:val="000000"/>
          <w:sz w:val="24"/>
        </w:rPr>
      </w:pPr>
    </w:p>
    <w:p w:rsidR="00741B92" w:rsidRPr="00012C17" w:rsidRDefault="00741B92" w:rsidP="001B11C5">
      <w:pPr>
        <w:numPr>
          <w:ilvl w:val="0"/>
          <w:numId w:val="1"/>
        </w:numPr>
        <w:spacing w:line="240" w:lineRule="auto"/>
        <w:ind w:left="630" w:hanging="630"/>
        <w:rPr>
          <w:rFonts w:cs="Arial"/>
          <w:color w:val="000000"/>
          <w:sz w:val="24"/>
        </w:rPr>
      </w:pPr>
      <w:r w:rsidRPr="00012C17">
        <w:rPr>
          <w:bCs/>
          <w:iCs/>
          <w:color w:val="000000"/>
          <w:sz w:val="24"/>
        </w:rPr>
        <w:t xml:space="preserve">In addition, the Court notes that the challenged decision of the Supreme Court, within the meaning of the ECHR </w:t>
      </w:r>
      <w:r w:rsidR="00012C17" w:rsidRPr="00012C17">
        <w:rPr>
          <w:bCs/>
          <w:iCs/>
          <w:color w:val="000000"/>
          <w:sz w:val="24"/>
        </w:rPr>
        <w:t>case-law</w:t>
      </w:r>
      <w:r w:rsidRPr="00012C17">
        <w:rPr>
          <w:bCs/>
          <w:iCs/>
          <w:color w:val="000000"/>
          <w:sz w:val="24"/>
        </w:rPr>
        <w:t xml:space="preserve">, does not reflect arbitrariness, lack of proportionality, and as is widely </w:t>
      </w:r>
      <w:r w:rsidR="00A20A5C" w:rsidRPr="00012C17">
        <w:rPr>
          <w:bCs/>
          <w:iCs/>
          <w:color w:val="000000"/>
          <w:sz w:val="24"/>
        </w:rPr>
        <w:t>dealt with</w:t>
      </w:r>
      <w:r w:rsidRPr="00012C17">
        <w:rPr>
          <w:bCs/>
          <w:iCs/>
          <w:color w:val="000000"/>
          <w:sz w:val="24"/>
        </w:rPr>
        <w:t xml:space="preserve">in the context of the </w:t>
      </w:r>
      <w:r w:rsidR="00A20A5C" w:rsidRPr="00012C17">
        <w:rPr>
          <w:bCs/>
          <w:iCs/>
          <w:color w:val="000000"/>
          <w:sz w:val="24"/>
        </w:rPr>
        <w:t xml:space="preserve">Applicants' </w:t>
      </w:r>
      <w:r w:rsidRPr="00012C17">
        <w:rPr>
          <w:bCs/>
          <w:iCs/>
          <w:color w:val="000000"/>
          <w:sz w:val="24"/>
        </w:rPr>
        <w:t>allegations related to Article 54</w:t>
      </w:r>
      <w:r w:rsidR="00ED5477" w:rsidRPr="00012C17">
        <w:rPr>
          <w:bCs/>
          <w:iCs/>
          <w:color w:val="000000"/>
          <w:sz w:val="24"/>
        </w:rPr>
        <w:t xml:space="preserve"> of the Constitution</w:t>
      </w:r>
      <w:r w:rsidRPr="00012C17">
        <w:rPr>
          <w:bCs/>
          <w:iCs/>
          <w:color w:val="000000"/>
          <w:sz w:val="24"/>
        </w:rPr>
        <w:t xml:space="preserve">, has also not been </w:t>
      </w:r>
      <w:r w:rsidR="00A20A5C" w:rsidRPr="00012C17">
        <w:rPr>
          <w:bCs/>
          <w:iCs/>
          <w:color w:val="000000"/>
          <w:sz w:val="24"/>
        </w:rPr>
        <w:t>rendered in violation</w:t>
      </w:r>
      <w:r w:rsidRPr="00012C17">
        <w:rPr>
          <w:bCs/>
          <w:iCs/>
          <w:color w:val="000000"/>
          <w:sz w:val="24"/>
        </w:rPr>
        <w:t xml:space="preserve"> </w:t>
      </w:r>
      <w:r w:rsidR="00A20A5C" w:rsidRPr="00012C17">
        <w:rPr>
          <w:bCs/>
          <w:iCs/>
          <w:color w:val="000000"/>
          <w:sz w:val="24"/>
        </w:rPr>
        <w:t>of</w:t>
      </w:r>
      <w:r w:rsidRPr="00012C17">
        <w:rPr>
          <w:bCs/>
          <w:iCs/>
          <w:color w:val="000000"/>
          <w:sz w:val="24"/>
        </w:rPr>
        <w:t xml:space="preserve"> free expression of the will of the voters.</w:t>
      </w:r>
    </w:p>
    <w:p w:rsidR="00A07553" w:rsidRPr="00012C17" w:rsidRDefault="00A07553" w:rsidP="001B11C5">
      <w:pPr>
        <w:tabs>
          <w:tab w:val="left" w:pos="720"/>
        </w:tabs>
        <w:spacing w:line="240" w:lineRule="auto"/>
        <w:rPr>
          <w:rFonts w:cs="Tahoma"/>
          <w:bCs/>
          <w:color w:val="000000"/>
          <w:sz w:val="24"/>
        </w:rPr>
      </w:pPr>
    </w:p>
    <w:p w:rsidR="00A07553" w:rsidRPr="00012C17" w:rsidRDefault="00A07553" w:rsidP="00265D47">
      <w:pPr>
        <w:numPr>
          <w:ilvl w:val="0"/>
          <w:numId w:val="35"/>
        </w:numPr>
        <w:tabs>
          <w:tab w:val="left" w:pos="720"/>
        </w:tabs>
        <w:spacing w:line="240" w:lineRule="auto"/>
        <w:ind w:hanging="450"/>
        <w:rPr>
          <w:rFonts w:cs="Tahoma"/>
          <w:bCs/>
          <w:i/>
          <w:color w:val="000000"/>
          <w:sz w:val="24"/>
        </w:rPr>
      </w:pPr>
      <w:r w:rsidRPr="00012C17">
        <w:rPr>
          <w:rFonts w:cs="Tahoma"/>
          <w:bCs/>
          <w:i/>
          <w:color w:val="000000"/>
          <w:sz w:val="24"/>
        </w:rPr>
        <w:t>As to</w:t>
      </w:r>
      <w:r w:rsidR="00ED5477" w:rsidRPr="00012C17">
        <w:rPr>
          <w:rFonts w:cs="Tahoma"/>
          <w:bCs/>
          <w:i/>
          <w:color w:val="000000"/>
          <w:sz w:val="24"/>
        </w:rPr>
        <w:t xml:space="preserve"> principle of</w:t>
      </w:r>
      <w:r w:rsidR="001B11C5" w:rsidRPr="00012C17">
        <w:rPr>
          <w:rFonts w:cs="Tahoma"/>
          <w:bCs/>
          <w:i/>
          <w:color w:val="000000"/>
          <w:sz w:val="24"/>
        </w:rPr>
        <w:t xml:space="preserve"> </w:t>
      </w:r>
      <w:r w:rsidRPr="00012C17">
        <w:rPr>
          <w:rFonts w:cs="Tahoma"/>
          <w:bCs/>
          <w:i/>
          <w:color w:val="000000"/>
          <w:sz w:val="24"/>
        </w:rPr>
        <w:t xml:space="preserve">“free </w:t>
      </w:r>
      <w:r w:rsidR="00E004B6" w:rsidRPr="00012C17">
        <w:rPr>
          <w:rFonts w:cs="Tahoma"/>
          <w:bCs/>
          <w:i/>
          <w:color w:val="000000"/>
          <w:sz w:val="24"/>
        </w:rPr>
        <w:t>vote</w:t>
      </w:r>
      <w:r w:rsidRPr="00012C17">
        <w:rPr>
          <w:rFonts w:cs="Tahoma"/>
          <w:bCs/>
          <w:i/>
          <w:color w:val="000000"/>
          <w:sz w:val="24"/>
        </w:rPr>
        <w:t>”</w:t>
      </w:r>
    </w:p>
    <w:p w:rsidR="00A07553" w:rsidRPr="00012C17" w:rsidRDefault="00A07553" w:rsidP="001B11C5">
      <w:pPr>
        <w:tabs>
          <w:tab w:val="left" w:pos="720"/>
        </w:tabs>
        <w:spacing w:line="240" w:lineRule="auto"/>
        <w:rPr>
          <w:rFonts w:cs="Tahoma"/>
          <w:bCs/>
          <w:color w:val="000000"/>
          <w:sz w:val="24"/>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The principle of “free </w:t>
      </w:r>
      <w:r w:rsidR="0025533F" w:rsidRPr="00012C17">
        <w:rPr>
          <w:rFonts w:cs="Tahoma"/>
          <w:bCs/>
          <w:color w:val="000000"/>
          <w:sz w:val="24"/>
        </w:rPr>
        <w:t>vote</w:t>
      </w:r>
      <w:r w:rsidRPr="00012C17">
        <w:rPr>
          <w:rFonts w:cs="Tahoma"/>
          <w:bCs/>
          <w:color w:val="000000"/>
          <w:sz w:val="24"/>
        </w:rPr>
        <w:t>” according to the</w:t>
      </w:r>
      <w:r w:rsidR="00A20A5C" w:rsidRPr="00012C17">
        <w:rPr>
          <w:rFonts w:cs="Tahoma"/>
          <w:bCs/>
          <w:color w:val="000000"/>
          <w:sz w:val="24"/>
        </w:rPr>
        <w:t xml:space="preserve"> Code of Good Practice implies</w:t>
      </w:r>
      <w:r w:rsidR="00E5458C" w:rsidRPr="00012C17">
        <w:rPr>
          <w:rFonts w:cs="Tahoma"/>
          <w:bCs/>
          <w:color w:val="000000"/>
          <w:sz w:val="24"/>
        </w:rPr>
        <w:t>:</w:t>
      </w:r>
      <w:r w:rsidR="00A20A5C" w:rsidRPr="00012C17">
        <w:rPr>
          <w:rFonts w:cs="Tahoma"/>
          <w:bCs/>
          <w:color w:val="000000"/>
          <w:sz w:val="24"/>
        </w:rPr>
        <w:t xml:space="preserve"> (i</w:t>
      </w:r>
      <w:r w:rsidRPr="00012C17">
        <w:rPr>
          <w:rFonts w:cs="Tahoma"/>
          <w:bCs/>
          <w:color w:val="000000"/>
          <w:sz w:val="24"/>
        </w:rPr>
        <w:t xml:space="preserve">) the </w:t>
      </w:r>
      <w:r w:rsidRPr="00012C17">
        <w:rPr>
          <w:bCs/>
          <w:iCs/>
          <w:color w:val="000000"/>
          <w:sz w:val="24"/>
        </w:rPr>
        <w:t>freedom</w:t>
      </w:r>
      <w:r w:rsidRPr="00012C17">
        <w:rPr>
          <w:rFonts w:cs="Tahoma"/>
          <w:bCs/>
          <w:color w:val="000000"/>
          <w:sz w:val="24"/>
        </w:rPr>
        <w:t xml:space="preserve"> of the voter to form an opinion </w:t>
      </w:r>
      <w:r w:rsidR="00A20A5C" w:rsidRPr="00012C17">
        <w:rPr>
          <w:rFonts w:cs="Tahoma"/>
          <w:bCs/>
          <w:color w:val="000000"/>
          <w:sz w:val="24"/>
        </w:rPr>
        <w:t>(see for</w:t>
      </w:r>
      <w:r w:rsidR="00E5458C" w:rsidRPr="00012C17">
        <w:rPr>
          <w:rFonts w:cs="Tahoma"/>
          <w:bCs/>
          <w:color w:val="000000"/>
          <w:sz w:val="24"/>
        </w:rPr>
        <w:t xml:space="preserve"> more, section 2.3 of the Code </w:t>
      </w:r>
      <w:r w:rsidR="00A20A5C" w:rsidRPr="00012C17">
        <w:rPr>
          <w:rFonts w:cs="Tahoma"/>
          <w:bCs/>
          <w:color w:val="000000"/>
          <w:sz w:val="24"/>
        </w:rPr>
        <w:t xml:space="preserve">of Good Practice </w:t>
      </w:r>
      <w:r w:rsidR="00A20A5C" w:rsidRPr="00012C17">
        <w:rPr>
          <w:bCs/>
          <w:iCs/>
          <w:color w:val="000000"/>
          <w:sz w:val="24"/>
        </w:rPr>
        <w:t>and</w:t>
      </w:r>
      <w:r w:rsidR="00A20A5C" w:rsidRPr="00012C17">
        <w:rPr>
          <w:rFonts w:cs="Tahoma"/>
          <w:bCs/>
          <w:color w:val="000000"/>
          <w:sz w:val="24"/>
        </w:rPr>
        <w:t xml:space="preserve"> section 2.3 of the Explanatory Report)</w:t>
      </w:r>
      <w:r w:rsidR="00E5458C" w:rsidRPr="00012C17">
        <w:rPr>
          <w:rFonts w:cs="Tahoma"/>
          <w:bCs/>
          <w:color w:val="000000"/>
          <w:sz w:val="24"/>
        </w:rPr>
        <w:t>;</w:t>
      </w:r>
      <w:r w:rsidR="00A20A5C" w:rsidRPr="00012C17">
        <w:rPr>
          <w:rFonts w:cs="Tahoma"/>
          <w:bCs/>
          <w:color w:val="000000"/>
          <w:sz w:val="24"/>
        </w:rPr>
        <w:t xml:space="preserve"> </w:t>
      </w:r>
      <w:r w:rsidRPr="00012C17">
        <w:rPr>
          <w:rFonts w:cs="Tahoma"/>
          <w:bCs/>
          <w:color w:val="000000"/>
          <w:sz w:val="24"/>
        </w:rPr>
        <w:t xml:space="preserve">and </w:t>
      </w:r>
      <w:r w:rsidR="00A20A5C" w:rsidRPr="00012C17">
        <w:rPr>
          <w:rFonts w:cs="Tahoma"/>
          <w:bCs/>
          <w:color w:val="000000"/>
          <w:sz w:val="24"/>
        </w:rPr>
        <w:t>(ii</w:t>
      </w:r>
      <w:r w:rsidRPr="00012C17">
        <w:rPr>
          <w:rFonts w:cs="Tahoma"/>
          <w:bCs/>
          <w:color w:val="000000"/>
          <w:sz w:val="24"/>
        </w:rPr>
        <w:t xml:space="preserve">) the freedom of the voter to express opinion and respective opportunity to fight the </w:t>
      </w:r>
      <w:r w:rsidR="006A4D44" w:rsidRPr="00012C17">
        <w:rPr>
          <w:rFonts w:cs="Tahoma"/>
          <w:bCs/>
          <w:color w:val="000000"/>
          <w:sz w:val="24"/>
        </w:rPr>
        <w:t>e</w:t>
      </w:r>
      <w:r w:rsidRPr="00012C17">
        <w:rPr>
          <w:rFonts w:cs="Tahoma"/>
          <w:bCs/>
          <w:color w:val="000000"/>
          <w:sz w:val="24"/>
        </w:rPr>
        <w:t>lection fraud. (</w:t>
      </w:r>
      <w:r w:rsidR="00D158C7" w:rsidRPr="00012C17">
        <w:rPr>
          <w:rFonts w:cs="Tahoma"/>
          <w:bCs/>
          <w:color w:val="000000"/>
          <w:sz w:val="24"/>
        </w:rPr>
        <w:t>S</w:t>
      </w:r>
      <w:r w:rsidRPr="00012C17">
        <w:rPr>
          <w:rFonts w:cs="Tahoma"/>
          <w:bCs/>
          <w:color w:val="000000"/>
          <w:sz w:val="24"/>
        </w:rPr>
        <w:t>ee sections 3.1 and 3.2 of the Code of Good Practice).</w:t>
      </w:r>
      <w:r w:rsidR="00A20A5C" w:rsidRPr="00012C17">
        <w:rPr>
          <w:rFonts w:cs="Tahoma"/>
          <w:bCs/>
          <w:color w:val="000000"/>
          <w:sz w:val="24"/>
        </w:rPr>
        <w:t xml:space="preserve"> </w:t>
      </w:r>
      <w:r w:rsidR="00ED5477" w:rsidRPr="00012C17">
        <w:rPr>
          <w:rFonts w:cs="Tahoma"/>
          <w:bCs/>
          <w:color w:val="000000"/>
          <w:sz w:val="24"/>
        </w:rPr>
        <w:t>In the context of the specific allegation,</w:t>
      </w:r>
      <w:r w:rsidR="001B11C5" w:rsidRPr="00012C17">
        <w:rPr>
          <w:rFonts w:cs="Tahoma"/>
          <w:bCs/>
          <w:color w:val="000000"/>
          <w:sz w:val="24"/>
        </w:rPr>
        <w:t xml:space="preserve"> </w:t>
      </w:r>
      <w:r w:rsidR="00ED5477" w:rsidRPr="00012C17">
        <w:rPr>
          <w:rFonts w:cs="Tahoma"/>
          <w:bCs/>
          <w:color w:val="000000"/>
          <w:sz w:val="24"/>
        </w:rPr>
        <w:t xml:space="preserve">only </w:t>
      </w:r>
      <w:r w:rsidR="00E5458C" w:rsidRPr="00012C17">
        <w:rPr>
          <w:rFonts w:cs="Tahoma"/>
          <w:bCs/>
          <w:color w:val="000000"/>
          <w:sz w:val="24"/>
        </w:rPr>
        <w:t xml:space="preserve">the </w:t>
      </w:r>
      <w:r w:rsidR="00ED5477" w:rsidRPr="00012C17">
        <w:rPr>
          <w:rFonts w:cs="Tahoma"/>
          <w:bCs/>
          <w:color w:val="000000"/>
          <w:sz w:val="24"/>
        </w:rPr>
        <w:t>second is relevant</w:t>
      </w:r>
      <w:r w:rsidR="00A20A5C" w:rsidRPr="00012C17">
        <w:rPr>
          <w:rFonts w:cs="Tahoma"/>
          <w:bCs/>
          <w:color w:val="000000"/>
          <w:sz w:val="24"/>
        </w:rPr>
        <w:t xml:space="preserve">. </w:t>
      </w:r>
    </w:p>
    <w:p w:rsidR="00A07553" w:rsidRPr="00012C17" w:rsidRDefault="00A07553" w:rsidP="001B11C5">
      <w:pPr>
        <w:tabs>
          <w:tab w:val="left" w:pos="720"/>
        </w:tabs>
        <w:spacing w:line="240" w:lineRule="auto"/>
        <w:rPr>
          <w:rFonts w:cs="Tahoma"/>
          <w:bCs/>
          <w:color w:val="000000"/>
          <w:sz w:val="24"/>
        </w:rPr>
      </w:pPr>
    </w:p>
    <w:p w:rsidR="00A07553" w:rsidRPr="00012C17" w:rsidRDefault="00A20A5C"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In this context, the Code of Good Practice in principle stipulates that the </w:t>
      </w:r>
      <w:r w:rsidRPr="00012C17">
        <w:rPr>
          <w:bCs/>
          <w:iCs/>
          <w:color w:val="000000"/>
          <w:sz w:val="24"/>
        </w:rPr>
        <w:t>freedom</w:t>
      </w:r>
      <w:r w:rsidRPr="00012C17">
        <w:rPr>
          <w:rFonts w:cs="Tahoma"/>
          <w:bCs/>
          <w:color w:val="000000"/>
          <w:sz w:val="24"/>
        </w:rPr>
        <w:t xml:space="preserve"> of voters to express their will primarily requires accurate observation of the voting </w:t>
      </w:r>
      <w:r w:rsidRPr="00012C17">
        <w:rPr>
          <w:bCs/>
          <w:iCs/>
          <w:color w:val="000000"/>
          <w:sz w:val="24"/>
        </w:rPr>
        <w:t>procedures</w:t>
      </w:r>
      <w:r w:rsidRPr="00012C17">
        <w:rPr>
          <w:rFonts w:cs="Tahoma"/>
          <w:bCs/>
          <w:color w:val="000000"/>
          <w:sz w:val="24"/>
        </w:rPr>
        <w:t>. Moreover, according to the Code of Good Practice, voters (in the</w:t>
      </w:r>
      <w:r w:rsidR="00E5458C" w:rsidRPr="00012C17">
        <w:rPr>
          <w:rFonts w:cs="Tahoma"/>
          <w:bCs/>
          <w:color w:val="000000"/>
          <w:sz w:val="24"/>
        </w:rPr>
        <w:t xml:space="preserve">ir capacity as a voter and in their </w:t>
      </w:r>
      <w:r w:rsidRPr="00012C17">
        <w:rPr>
          <w:rFonts w:cs="Tahoma"/>
          <w:bCs/>
          <w:color w:val="000000"/>
          <w:sz w:val="24"/>
        </w:rPr>
        <w:t xml:space="preserve">capacity </w:t>
      </w:r>
      <w:r w:rsidR="00E5458C" w:rsidRPr="00012C17">
        <w:rPr>
          <w:rFonts w:cs="Tahoma"/>
          <w:bCs/>
          <w:color w:val="000000"/>
          <w:sz w:val="24"/>
        </w:rPr>
        <w:t>as a</w:t>
      </w:r>
      <w:r w:rsidRPr="00012C17">
        <w:rPr>
          <w:rFonts w:cs="Tahoma"/>
          <w:bCs/>
          <w:color w:val="000000"/>
          <w:sz w:val="24"/>
        </w:rPr>
        <w:t xml:space="preserve"> candidate) are entitled to an accurate assessment of the voting results and the state is obliged to sanction any election fraud. The Code of Good Practice and the Explanatory Report set out a number of rules embodied in this principle, and the Court will refer only to those relevant to the circumstances of the present case, namely (i) “</w:t>
      </w:r>
      <w:r w:rsidRPr="00012C17">
        <w:rPr>
          <w:rFonts w:cs="Tahoma"/>
          <w:bCs/>
          <w:i/>
          <w:iCs/>
          <w:color w:val="000000"/>
          <w:sz w:val="24"/>
        </w:rPr>
        <w:t>voting procedure</w:t>
      </w:r>
      <w:r w:rsidR="00E5458C" w:rsidRPr="00012C17">
        <w:rPr>
          <w:rFonts w:cs="Tahoma"/>
          <w:bCs/>
          <w:color w:val="000000"/>
          <w:sz w:val="24"/>
        </w:rPr>
        <w:t xml:space="preserve">”. </w:t>
      </w:r>
      <w:r w:rsidR="00D158C7" w:rsidRPr="00012C17">
        <w:rPr>
          <w:rFonts w:cs="Tahoma"/>
          <w:bCs/>
          <w:color w:val="000000"/>
          <w:sz w:val="24"/>
        </w:rPr>
        <w:lastRenderedPageBreak/>
        <w:t xml:space="preserve">(See Code of Good Practice 3.2 (xi-xv) </w:t>
      </w:r>
      <w:r w:rsidRPr="00012C17">
        <w:rPr>
          <w:rFonts w:cs="Tahoma"/>
          <w:bCs/>
          <w:color w:val="000000"/>
          <w:sz w:val="24"/>
        </w:rPr>
        <w:t>(see the Code of Good Practice</w:t>
      </w:r>
      <w:r w:rsidR="00D158C7" w:rsidRPr="00012C17">
        <w:rPr>
          <w:rFonts w:cs="Tahoma"/>
          <w:bCs/>
          <w:color w:val="000000"/>
          <w:sz w:val="24"/>
        </w:rPr>
        <w:t>, item 3.2</w:t>
      </w:r>
      <w:r w:rsidR="001B11C5" w:rsidRPr="00012C17">
        <w:rPr>
          <w:rFonts w:cs="Tahoma"/>
          <w:bCs/>
          <w:color w:val="000000"/>
          <w:sz w:val="24"/>
        </w:rPr>
        <w:t xml:space="preserve"> </w:t>
      </w:r>
      <w:r w:rsidR="00D158C7" w:rsidRPr="00012C17">
        <w:rPr>
          <w:rFonts w:cs="Tahoma"/>
          <w:bCs/>
          <w:color w:val="000000"/>
          <w:sz w:val="24"/>
        </w:rPr>
        <w:t xml:space="preserve">(i-xi)) </w:t>
      </w:r>
      <w:r w:rsidRPr="00012C17">
        <w:rPr>
          <w:rFonts w:cs="Tahoma"/>
          <w:bCs/>
          <w:color w:val="000000"/>
          <w:sz w:val="24"/>
        </w:rPr>
        <w:t>and (ii) “</w:t>
      </w:r>
      <w:r w:rsidRPr="00012C17">
        <w:rPr>
          <w:rFonts w:cs="Tahoma"/>
          <w:bCs/>
          <w:i/>
          <w:iCs/>
          <w:color w:val="000000"/>
          <w:sz w:val="24"/>
        </w:rPr>
        <w:t>counting</w:t>
      </w:r>
      <w:r w:rsidR="00012C17">
        <w:rPr>
          <w:rFonts w:cs="Tahoma"/>
          <w:bCs/>
          <w:color w:val="000000"/>
          <w:sz w:val="24"/>
        </w:rPr>
        <w:t>”. (S</w:t>
      </w:r>
      <w:r w:rsidRPr="00012C17">
        <w:rPr>
          <w:rFonts w:cs="Tahoma"/>
          <w:bCs/>
          <w:color w:val="000000"/>
          <w:sz w:val="24"/>
        </w:rPr>
        <w:t>ee Code of Good Practice 3.2 (xi</w:t>
      </w:r>
      <w:r w:rsidR="00D158C7" w:rsidRPr="00012C17">
        <w:rPr>
          <w:rFonts w:cs="Tahoma"/>
          <w:bCs/>
          <w:color w:val="000000"/>
          <w:sz w:val="24"/>
        </w:rPr>
        <w:t>i</w:t>
      </w:r>
      <w:r w:rsidRPr="00012C17">
        <w:rPr>
          <w:rFonts w:cs="Tahoma"/>
          <w:bCs/>
          <w:color w:val="000000"/>
          <w:sz w:val="24"/>
        </w:rPr>
        <w:t>-xv)).</w:t>
      </w:r>
    </w:p>
    <w:p w:rsidR="00A20A5C" w:rsidRPr="00012C17" w:rsidRDefault="00A20A5C" w:rsidP="001B11C5">
      <w:pPr>
        <w:tabs>
          <w:tab w:val="left" w:pos="720"/>
        </w:tabs>
        <w:spacing w:line="240" w:lineRule="auto"/>
        <w:ind w:left="540" w:hanging="540"/>
        <w:rPr>
          <w:rFonts w:cs="Tahoma"/>
          <w:bCs/>
          <w:color w:val="000000"/>
          <w:sz w:val="24"/>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bCs/>
          <w:iCs/>
          <w:color w:val="000000"/>
          <w:sz w:val="24"/>
        </w:rPr>
        <w:t>Regarding</w:t>
      </w:r>
      <w:r w:rsidRPr="00012C17">
        <w:rPr>
          <w:rFonts w:cs="Tahoma"/>
          <w:bCs/>
          <w:color w:val="000000"/>
          <w:sz w:val="24"/>
        </w:rPr>
        <w:t xml:space="preserve"> the ”</w:t>
      </w:r>
      <w:r w:rsidRPr="00012C17">
        <w:rPr>
          <w:rFonts w:cs="Tahoma"/>
          <w:bCs/>
          <w:i/>
          <w:iCs/>
          <w:color w:val="000000"/>
          <w:sz w:val="24"/>
        </w:rPr>
        <w:t>voting procedure</w:t>
      </w:r>
      <w:r w:rsidRPr="00012C17">
        <w:rPr>
          <w:rFonts w:cs="Tahoma"/>
          <w:bCs/>
          <w:color w:val="000000"/>
          <w:sz w:val="24"/>
        </w:rPr>
        <w:t xml:space="preserve">", the Court notes that the Explanatory Report states, </w:t>
      </w:r>
      <w:r w:rsidRPr="00012C17">
        <w:rPr>
          <w:rFonts w:cs="Tahoma"/>
          <w:bCs/>
          <w:i/>
          <w:iCs/>
          <w:color w:val="000000"/>
          <w:sz w:val="24"/>
        </w:rPr>
        <w:t>inter alia</w:t>
      </w:r>
      <w:r w:rsidRPr="00012C17">
        <w:rPr>
          <w:rFonts w:cs="Tahoma"/>
          <w:bCs/>
          <w:color w:val="000000"/>
          <w:sz w:val="24"/>
        </w:rPr>
        <w:t>, that “</w:t>
      </w:r>
      <w:r w:rsidRPr="00012C17">
        <w:rPr>
          <w:rFonts w:cs="Tahoma"/>
          <w:bCs/>
          <w:i/>
          <w:iCs/>
          <w:color w:val="000000"/>
          <w:sz w:val="24"/>
        </w:rPr>
        <w:t>the voting procedure has a crucial role in the overall electoral process because electoral fraud is most likely to occur during the voting process</w:t>
      </w:r>
      <w:r w:rsidRPr="00012C17">
        <w:rPr>
          <w:rFonts w:cs="Tahoma"/>
          <w:bCs/>
          <w:color w:val="000000"/>
          <w:sz w:val="24"/>
        </w:rPr>
        <w:t>”. (section 3.2.2, paragraph 32 of the Explanatory Report). As far as “</w:t>
      </w:r>
      <w:r w:rsidRPr="00012C17">
        <w:rPr>
          <w:rFonts w:cs="Tahoma"/>
          <w:bCs/>
          <w:i/>
          <w:iCs/>
          <w:color w:val="000000"/>
          <w:sz w:val="24"/>
        </w:rPr>
        <w:t>counting</w:t>
      </w:r>
      <w:r w:rsidRPr="00012C17">
        <w:rPr>
          <w:rFonts w:cs="Tahoma"/>
          <w:bCs/>
          <w:color w:val="000000"/>
          <w:sz w:val="24"/>
        </w:rPr>
        <w:t xml:space="preserve">” is concerned, </w:t>
      </w:r>
      <w:r w:rsidRPr="00012C17">
        <w:rPr>
          <w:rFonts w:cs="Tahoma"/>
          <w:bCs/>
          <w:i/>
          <w:iCs/>
          <w:color w:val="000000"/>
          <w:sz w:val="24"/>
        </w:rPr>
        <w:t>inter alia</w:t>
      </w:r>
      <w:r w:rsidRPr="00012C17">
        <w:rPr>
          <w:rFonts w:cs="Tahoma"/>
          <w:bCs/>
          <w:color w:val="000000"/>
          <w:sz w:val="24"/>
        </w:rPr>
        <w:t>, and as far as relevant to the circumstances of the present case, it is advisable to “</w:t>
      </w:r>
      <w:r w:rsidR="00D158C7" w:rsidRPr="00012C17">
        <w:rPr>
          <w:i/>
          <w:iCs/>
          <w:color w:val="000000"/>
          <w:sz w:val="24"/>
        </w:rPr>
        <w:t>avoid treating too many ballot papers as invalid or spoiled. In case of doubt, an attempt should be made to ascertain the voter’s intention</w:t>
      </w:r>
      <w:r w:rsidRPr="00012C17">
        <w:rPr>
          <w:rFonts w:cs="Tahoma"/>
          <w:bCs/>
          <w:color w:val="000000"/>
          <w:sz w:val="24"/>
        </w:rPr>
        <w:t xml:space="preserve">”. (See item 3.2.2.4 paragraph 49 of the Explanatory Report). </w:t>
      </w:r>
    </w:p>
    <w:p w:rsidR="001C737B" w:rsidRPr="00012C17" w:rsidRDefault="001C737B" w:rsidP="001B11C5">
      <w:pPr>
        <w:tabs>
          <w:tab w:val="left" w:pos="720"/>
        </w:tabs>
        <w:spacing w:line="240" w:lineRule="auto"/>
        <w:ind w:left="540" w:hanging="540"/>
        <w:rPr>
          <w:rFonts w:cs="Tahoma"/>
          <w:bCs/>
          <w:color w:val="000000"/>
          <w:sz w:val="24"/>
        </w:rPr>
      </w:pPr>
    </w:p>
    <w:p w:rsidR="001C737B" w:rsidRPr="00012C17" w:rsidRDefault="001C737B"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In this </w:t>
      </w:r>
      <w:r w:rsidRPr="00012C17">
        <w:rPr>
          <w:bCs/>
          <w:iCs/>
          <w:color w:val="000000"/>
          <w:sz w:val="24"/>
        </w:rPr>
        <w:t>context</w:t>
      </w:r>
      <w:r w:rsidRPr="00012C17">
        <w:rPr>
          <w:rFonts w:cs="Tahoma"/>
          <w:bCs/>
          <w:color w:val="000000"/>
          <w:sz w:val="24"/>
        </w:rPr>
        <w:t>, the Court recalls that the Applicants reason violation of the principle of “</w:t>
      </w:r>
      <w:r w:rsidRPr="00012C17">
        <w:rPr>
          <w:rFonts w:cs="Tahoma"/>
          <w:bCs/>
          <w:i/>
          <w:iCs/>
          <w:color w:val="000000"/>
          <w:sz w:val="24"/>
        </w:rPr>
        <w:t>free vote</w:t>
      </w:r>
      <w:r w:rsidRPr="00012C17">
        <w:rPr>
          <w:rFonts w:cs="Tahoma"/>
          <w:bCs/>
          <w:color w:val="000000"/>
          <w:sz w:val="24"/>
        </w:rPr>
        <w:t>” through the evidence provided to the regular courts on “</w:t>
      </w:r>
      <w:r w:rsidRPr="00012C17">
        <w:rPr>
          <w:rFonts w:cs="Tahoma"/>
          <w:bCs/>
          <w:i/>
          <w:iCs/>
          <w:color w:val="000000"/>
          <w:sz w:val="24"/>
        </w:rPr>
        <w:t>the influence of Pristina citizens by sending SMS on behalf of NGOs</w:t>
      </w:r>
      <w:r w:rsidRPr="00012C17">
        <w:rPr>
          <w:rFonts w:cs="Tahoma"/>
          <w:bCs/>
          <w:color w:val="000000"/>
          <w:sz w:val="24"/>
        </w:rPr>
        <w:t xml:space="preserve">” offering </w:t>
      </w:r>
      <w:r w:rsidRPr="00012C17">
        <w:rPr>
          <w:rFonts w:cs="Tahoma"/>
          <w:bCs/>
          <w:i/>
          <w:iCs/>
          <w:color w:val="000000"/>
          <w:sz w:val="24"/>
        </w:rPr>
        <w:t>coupons for free transport and influence through activists</w:t>
      </w:r>
      <w:r w:rsidRPr="00012C17">
        <w:rPr>
          <w:rFonts w:cs="Tahoma"/>
          <w:bCs/>
          <w:color w:val="000000"/>
          <w:sz w:val="24"/>
        </w:rPr>
        <w:t>”, which, according to the allegation, result in a violation of the “</w:t>
      </w:r>
      <w:r w:rsidRPr="00012C17">
        <w:rPr>
          <w:rFonts w:cs="Tahoma"/>
          <w:bCs/>
          <w:i/>
          <w:iCs/>
          <w:color w:val="000000"/>
          <w:sz w:val="24"/>
        </w:rPr>
        <w:t>principle of free vote/freedom of vote</w:t>
      </w:r>
      <w:r w:rsidR="00E5458C" w:rsidRPr="00012C17">
        <w:rPr>
          <w:rFonts w:cs="Tahoma"/>
          <w:bCs/>
          <w:color w:val="000000"/>
          <w:sz w:val="24"/>
        </w:rPr>
        <w:t>”</w:t>
      </w:r>
      <w:r w:rsidRPr="00012C17">
        <w:rPr>
          <w:rFonts w:cs="Tahoma"/>
          <w:bCs/>
          <w:color w:val="000000"/>
          <w:sz w:val="24"/>
        </w:rPr>
        <w:t xml:space="preserve">. According to the Applicants, the Supreme Court in its </w:t>
      </w:r>
      <w:r w:rsidR="00D158C7" w:rsidRPr="00012C17">
        <w:rPr>
          <w:rFonts w:cs="Tahoma"/>
          <w:bCs/>
          <w:color w:val="000000"/>
          <w:sz w:val="24"/>
        </w:rPr>
        <w:t>s</w:t>
      </w:r>
      <w:r w:rsidRPr="00012C17">
        <w:rPr>
          <w:rFonts w:cs="Tahoma"/>
          <w:bCs/>
          <w:color w:val="000000"/>
          <w:sz w:val="24"/>
        </w:rPr>
        <w:t>econd Decision</w:t>
      </w:r>
      <w:r w:rsidR="00265D47" w:rsidRPr="00012C17">
        <w:rPr>
          <w:rFonts w:cs="Tahoma"/>
          <w:bCs/>
          <w:color w:val="000000"/>
          <w:sz w:val="24"/>
        </w:rPr>
        <w:t>, respectively Judgment</w:t>
      </w:r>
      <w:r w:rsidRPr="00012C17">
        <w:rPr>
          <w:rFonts w:cs="Tahoma"/>
          <w:bCs/>
          <w:color w:val="000000"/>
          <w:sz w:val="24"/>
        </w:rPr>
        <w:t xml:space="preserve"> [A</w:t>
      </w:r>
      <w:r w:rsidR="006634E8" w:rsidRPr="00012C17">
        <w:rPr>
          <w:rFonts w:cs="Tahoma"/>
          <w:bCs/>
          <w:color w:val="000000"/>
          <w:sz w:val="24"/>
        </w:rPr>
        <w:t>.</w:t>
      </w:r>
      <w:r w:rsidRPr="00012C17">
        <w:rPr>
          <w:rFonts w:cs="Tahoma"/>
          <w:bCs/>
          <w:color w:val="000000"/>
          <w:sz w:val="24"/>
        </w:rPr>
        <w:t xml:space="preserve">A.U.ZH. No. 62/2017] considered these </w:t>
      </w:r>
      <w:r w:rsidR="00D158C7" w:rsidRPr="00012C17">
        <w:rPr>
          <w:rFonts w:cs="Tahoma"/>
          <w:bCs/>
          <w:color w:val="000000"/>
          <w:sz w:val="24"/>
        </w:rPr>
        <w:t>allegations</w:t>
      </w:r>
      <w:r w:rsidRPr="00012C17">
        <w:rPr>
          <w:rFonts w:cs="Tahoma"/>
          <w:bCs/>
          <w:color w:val="000000"/>
          <w:sz w:val="24"/>
        </w:rPr>
        <w:t xml:space="preserve"> as new, avoiding the rea</w:t>
      </w:r>
      <w:r w:rsidR="00E5458C" w:rsidRPr="00012C17">
        <w:rPr>
          <w:rFonts w:cs="Tahoma"/>
          <w:bCs/>
          <w:color w:val="000000"/>
          <w:sz w:val="24"/>
        </w:rPr>
        <w:t xml:space="preserve">soning about them and not as </w:t>
      </w:r>
      <w:r w:rsidRPr="00012C17">
        <w:rPr>
          <w:rFonts w:cs="Tahoma"/>
          <w:bCs/>
          <w:color w:val="000000"/>
          <w:sz w:val="24"/>
        </w:rPr>
        <w:t>evidence that they had to administer.</w:t>
      </w:r>
      <w:r w:rsidR="00D158C7" w:rsidRPr="00012C17">
        <w:rPr>
          <w:rFonts w:cs="Tahoma"/>
          <w:bCs/>
          <w:color w:val="000000"/>
          <w:sz w:val="24"/>
        </w:rPr>
        <w:t xml:space="preserve"> </w:t>
      </w:r>
      <w:r w:rsidR="00D158C7" w:rsidRPr="00012C17">
        <w:rPr>
          <w:bCs/>
          <w:iCs/>
          <w:color w:val="000000"/>
          <w:sz w:val="24"/>
        </w:rPr>
        <w:t>(</w:t>
      </w:r>
      <w:r w:rsidR="00265D47" w:rsidRPr="00012C17">
        <w:rPr>
          <w:bCs/>
          <w:iCs/>
          <w:color w:val="000000"/>
          <w:sz w:val="24"/>
        </w:rPr>
        <w:t>S</w:t>
      </w:r>
      <w:r w:rsidR="00D158C7" w:rsidRPr="00012C17">
        <w:rPr>
          <w:bCs/>
          <w:iCs/>
          <w:color w:val="000000"/>
          <w:sz w:val="24"/>
        </w:rPr>
        <w:t>ee in this context, the Applicants’ specific allegation in paragraph 63 and 64 of this Judgment).</w:t>
      </w:r>
    </w:p>
    <w:p w:rsidR="00A07553" w:rsidRPr="00012C17" w:rsidRDefault="00A07553" w:rsidP="001B11C5">
      <w:pPr>
        <w:spacing w:line="240" w:lineRule="auto"/>
        <w:rPr>
          <w:rFonts w:eastAsia="Calibri"/>
          <w:color w:val="000000"/>
          <w:sz w:val="24"/>
        </w:rPr>
      </w:pPr>
    </w:p>
    <w:p w:rsidR="001C737B" w:rsidRPr="00012C17" w:rsidRDefault="001C737B" w:rsidP="001B11C5">
      <w:pPr>
        <w:numPr>
          <w:ilvl w:val="0"/>
          <w:numId w:val="1"/>
        </w:numPr>
        <w:spacing w:line="240" w:lineRule="auto"/>
        <w:ind w:left="630" w:hanging="630"/>
        <w:rPr>
          <w:rFonts w:eastAsia="Calibri"/>
          <w:color w:val="000000"/>
          <w:sz w:val="24"/>
        </w:rPr>
      </w:pPr>
      <w:r w:rsidRPr="00012C17">
        <w:rPr>
          <w:rFonts w:eastAsia="Calibri"/>
          <w:color w:val="000000"/>
          <w:sz w:val="24"/>
        </w:rPr>
        <w:t>The Court notes that these allegations of the Applicant relate to “</w:t>
      </w:r>
      <w:r w:rsidRPr="00012C17">
        <w:rPr>
          <w:rFonts w:eastAsia="Calibri"/>
          <w:i/>
          <w:iCs/>
          <w:color w:val="000000"/>
          <w:sz w:val="24"/>
        </w:rPr>
        <w:t>procedural guarantees</w:t>
      </w:r>
      <w:r w:rsidRPr="00012C17">
        <w:rPr>
          <w:rFonts w:eastAsia="Calibri"/>
          <w:color w:val="000000"/>
          <w:sz w:val="24"/>
        </w:rPr>
        <w:t>” for the implementation of the “</w:t>
      </w:r>
      <w:r w:rsidRPr="00012C17">
        <w:rPr>
          <w:rFonts w:eastAsia="Calibri"/>
          <w:i/>
          <w:iCs/>
          <w:color w:val="000000"/>
          <w:sz w:val="24"/>
        </w:rPr>
        <w:t>free vote</w:t>
      </w:r>
      <w:r w:rsidRPr="00012C17">
        <w:rPr>
          <w:rFonts w:eastAsia="Calibri"/>
          <w:color w:val="000000"/>
          <w:sz w:val="24"/>
        </w:rPr>
        <w:t xml:space="preserve">” principle on election day, namely with irregularities on the election day and allegations related to invalid and blank ballots which have already been addressed in the context of allegations of violation of the right to judicial protection guaranteed by Article 54 of the Constitution, specifically in paragraphs </w:t>
      </w:r>
      <w:r w:rsidR="00D158C7" w:rsidRPr="00012C17">
        <w:rPr>
          <w:rFonts w:eastAsia="Calibri"/>
          <w:color w:val="000000"/>
          <w:sz w:val="24"/>
        </w:rPr>
        <w:t>154-166</w:t>
      </w:r>
      <w:r w:rsidRPr="00012C17">
        <w:rPr>
          <w:rFonts w:eastAsia="Calibri"/>
          <w:color w:val="000000"/>
          <w:sz w:val="24"/>
        </w:rPr>
        <w:t xml:space="preserve"> of this Judgment.</w:t>
      </w:r>
    </w:p>
    <w:p w:rsidR="001C737B" w:rsidRPr="00012C17" w:rsidRDefault="001C737B" w:rsidP="001B11C5">
      <w:pPr>
        <w:spacing w:line="240" w:lineRule="auto"/>
        <w:ind w:left="540" w:hanging="540"/>
        <w:rPr>
          <w:rFonts w:eastAsia="Calibri"/>
          <w:color w:val="000000"/>
          <w:sz w:val="24"/>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color w:val="000000"/>
          <w:sz w:val="24"/>
        </w:rPr>
        <w:t xml:space="preserve">The Court also recalls that in elaborating the principles related to </w:t>
      </w:r>
      <w:r w:rsidRPr="00012C17">
        <w:rPr>
          <w:rFonts w:cs="Tahoma"/>
          <w:bCs/>
          <w:color w:val="000000"/>
          <w:sz w:val="24"/>
        </w:rPr>
        <w:t>the “</w:t>
      </w:r>
      <w:r w:rsidRPr="00012C17">
        <w:rPr>
          <w:rFonts w:cs="Tahoma"/>
          <w:bCs/>
          <w:i/>
          <w:iCs/>
          <w:color w:val="000000"/>
          <w:sz w:val="24"/>
        </w:rPr>
        <w:t>free vote</w:t>
      </w:r>
      <w:r w:rsidRPr="00012C17">
        <w:rPr>
          <w:rFonts w:cs="Tahoma"/>
          <w:bCs/>
          <w:color w:val="000000"/>
          <w:sz w:val="24"/>
        </w:rPr>
        <w:t xml:space="preserve">”, </w:t>
      </w:r>
      <w:r w:rsidRPr="00012C17">
        <w:rPr>
          <w:color w:val="000000"/>
          <w:sz w:val="24"/>
        </w:rPr>
        <w:t>the Code of Good Practice and the Explanatory Report specifically stipulate that it is advisable to “</w:t>
      </w:r>
      <w:r w:rsidR="00D158C7" w:rsidRPr="00012C17">
        <w:rPr>
          <w:i/>
          <w:iCs/>
          <w:color w:val="000000"/>
          <w:sz w:val="24"/>
        </w:rPr>
        <w:t xml:space="preserve">avoid treating too many ballot papers as invalid or spoiled. In case of doubt, an attempt should be made to </w:t>
      </w:r>
      <w:r w:rsidR="00E5458C" w:rsidRPr="00012C17">
        <w:rPr>
          <w:i/>
          <w:iCs/>
          <w:color w:val="000000"/>
          <w:sz w:val="24"/>
        </w:rPr>
        <w:t>ascertain the voter’s intention</w:t>
      </w:r>
      <w:r w:rsidR="00E5458C" w:rsidRPr="00012C17">
        <w:rPr>
          <w:rFonts w:cs="Tahoma"/>
          <w:bCs/>
          <w:color w:val="000000"/>
          <w:sz w:val="24"/>
        </w:rPr>
        <w:t>”</w:t>
      </w:r>
      <w:r w:rsidRPr="00012C17">
        <w:rPr>
          <w:color w:val="000000"/>
          <w:sz w:val="24"/>
        </w:rPr>
        <w:t xml:space="preserve">. The Court has also specifically addressed this issue in paragraphs </w:t>
      </w:r>
      <w:r w:rsidR="00D158C7" w:rsidRPr="00012C17">
        <w:rPr>
          <w:rFonts w:cs="Tahoma"/>
          <w:bCs/>
          <w:color w:val="000000"/>
          <w:sz w:val="24"/>
        </w:rPr>
        <w:t>172-175</w:t>
      </w:r>
      <w:r w:rsidR="0060366E" w:rsidRPr="00012C17">
        <w:rPr>
          <w:rFonts w:cs="Tahoma"/>
          <w:bCs/>
          <w:color w:val="000000"/>
          <w:sz w:val="24"/>
        </w:rPr>
        <w:t xml:space="preserve"> </w:t>
      </w:r>
      <w:r w:rsidRPr="00012C17">
        <w:rPr>
          <w:color w:val="000000"/>
          <w:sz w:val="24"/>
        </w:rPr>
        <w:t>of this Judgment</w:t>
      </w:r>
      <w:r w:rsidRPr="00012C17">
        <w:rPr>
          <w:rFonts w:cs="Tahoma"/>
          <w:bCs/>
          <w:color w:val="000000"/>
          <w:sz w:val="24"/>
        </w:rPr>
        <w:t xml:space="preserve">. </w:t>
      </w:r>
    </w:p>
    <w:p w:rsidR="0060366E" w:rsidRPr="00012C17" w:rsidRDefault="0060366E" w:rsidP="001B11C5">
      <w:pPr>
        <w:spacing w:line="240" w:lineRule="auto"/>
        <w:ind w:left="540" w:hanging="540"/>
        <w:rPr>
          <w:rFonts w:cs="Tahoma"/>
          <w:bCs/>
          <w:color w:val="000000"/>
          <w:sz w:val="24"/>
        </w:rPr>
      </w:pPr>
    </w:p>
    <w:p w:rsidR="0060366E" w:rsidRPr="00012C17" w:rsidRDefault="0060366E"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The Court further notes that no other allegation or circumstance associated with it, of the </w:t>
      </w:r>
      <w:r w:rsidRPr="00012C17">
        <w:rPr>
          <w:bCs/>
          <w:iCs/>
          <w:color w:val="000000"/>
          <w:sz w:val="24"/>
        </w:rPr>
        <w:t>Applicants</w:t>
      </w:r>
      <w:r w:rsidRPr="00012C17">
        <w:rPr>
          <w:rFonts w:cs="Tahoma"/>
          <w:bCs/>
          <w:color w:val="000000"/>
          <w:sz w:val="24"/>
        </w:rPr>
        <w:t>, falls within the scope of the guarantees defined by the two basic principles of the Venice Commission in the context of the “</w:t>
      </w:r>
      <w:r w:rsidRPr="00012C17">
        <w:rPr>
          <w:rFonts w:cs="Tahoma"/>
          <w:bCs/>
          <w:i/>
          <w:iCs/>
          <w:color w:val="000000"/>
          <w:sz w:val="24"/>
        </w:rPr>
        <w:t>free vote</w:t>
      </w:r>
      <w:r w:rsidRPr="00012C17">
        <w:rPr>
          <w:rFonts w:cs="Tahoma"/>
          <w:bCs/>
          <w:color w:val="000000"/>
          <w:sz w:val="24"/>
        </w:rPr>
        <w:t xml:space="preserve">”, namely freedom of voters to form an opinion or even the freedom of voters to express an opinion and to fight electoral </w:t>
      </w:r>
      <w:r w:rsidR="00D158C7" w:rsidRPr="00012C17">
        <w:rPr>
          <w:rFonts w:cs="Tahoma"/>
          <w:bCs/>
          <w:color w:val="000000"/>
          <w:sz w:val="24"/>
        </w:rPr>
        <w:t>fraud</w:t>
      </w:r>
      <w:r w:rsidRPr="00012C17">
        <w:rPr>
          <w:rFonts w:cs="Tahoma"/>
          <w:bCs/>
          <w:color w:val="000000"/>
          <w:sz w:val="24"/>
        </w:rPr>
        <w:t>.</w:t>
      </w:r>
    </w:p>
    <w:p w:rsidR="0060366E" w:rsidRPr="00012C17" w:rsidRDefault="0060366E" w:rsidP="001B11C5">
      <w:pPr>
        <w:spacing w:line="240" w:lineRule="auto"/>
        <w:ind w:left="540" w:hanging="540"/>
        <w:rPr>
          <w:rFonts w:cs="Tahoma"/>
          <w:bCs/>
          <w:color w:val="000000"/>
          <w:sz w:val="24"/>
        </w:rPr>
      </w:pPr>
    </w:p>
    <w:p w:rsidR="0060366E" w:rsidRPr="00012C17" w:rsidRDefault="0060366E" w:rsidP="001B11C5">
      <w:pPr>
        <w:numPr>
          <w:ilvl w:val="0"/>
          <w:numId w:val="1"/>
        </w:numPr>
        <w:spacing w:line="240" w:lineRule="auto"/>
        <w:ind w:left="630" w:hanging="630"/>
        <w:rPr>
          <w:rFonts w:cs="Tahoma"/>
          <w:bCs/>
          <w:color w:val="000000"/>
          <w:sz w:val="24"/>
        </w:rPr>
      </w:pPr>
      <w:r w:rsidRPr="00012C17">
        <w:rPr>
          <w:rFonts w:cs="Tahoma"/>
          <w:bCs/>
          <w:color w:val="000000"/>
          <w:sz w:val="24"/>
        </w:rPr>
        <w:t xml:space="preserve">Moreover, the Court notes that the challenged decision of the Supreme </w:t>
      </w:r>
      <w:r w:rsidR="00E5458C" w:rsidRPr="00012C17">
        <w:rPr>
          <w:rFonts w:cs="Tahoma"/>
          <w:bCs/>
          <w:color w:val="000000"/>
          <w:sz w:val="24"/>
        </w:rPr>
        <w:t>Court, in the light of the case-</w:t>
      </w:r>
      <w:r w:rsidRPr="00012C17">
        <w:rPr>
          <w:bCs/>
          <w:iCs/>
          <w:color w:val="000000"/>
          <w:sz w:val="24"/>
        </w:rPr>
        <w:t>law</w:t>
      </w:r>
      <w:r w:rsidRPr="00012C17">
        <w:rPr>
          <w:rFonts w:cs="Tahoma"/>
          <w:bCs/>
          <w:color w:val="000000"/>
          <w:sz w:val="24"/>
        </w:rPr>
        <w:t xml:space="preserve"> of the ECtHR, does not reflect arbitrariness, lack of proportionality, and as is widely dealt with in the context of the assessment of the Applicants' allegations relating to Article 54</w:t>
      </w:r>
      <w:r w:rsidR="00ED5477" w:rsidRPr="00012C17">
        <w:rPr>
          <w:rFonts w:cs="Tahoma"/>
          <w:bCs/>
          <w:color w:val="000000"/>
          <w:sz w:val="24"/>
        </w:rPr>
        <w:t xml:space="preserve"> of the Constitution</w:t>
      </w:r>
      <w:r w:rsidRPr="00012C17">
        <w:rPr>
          <w:rFonts w:cs="Tahoma"/>
          <w:bCs/>
          <w:color w:val="000000"/>
          <w:sz w:val="24"/>
        </w:rPr>
        <w:t xml:space="preserve">, </w:t>
      </w:r>
      <w:r w:rsidR="0031438F" w:rsidRPr="00012C17">
        <w:rPr>
          <w:rFonts w:cs="Tahoma"/>
          <w:bCs/>
          <w:color w:val="000000"/>
          <w:sz w:val="24"/>
        </w:rPr>
        <w:t xml:space="preserve">and </w:t>
      </w:r>
      <w:r w:rsidRPr="00012C17">
        <w:rPr>
          <w:rFonts w:cs="Tahoma"/>
          <w:bCs/>
          <w:color w:val="000000"/>
          <w:sz w:val="24"/>
        </w:rPr>
        <w:t>has also not been rendered in violation of free expression of the will of the voters.</w:t>
      </w:r>
    </w:p>
    <w:p w:rsidR="00A07553" w:rsidRPr="00012C17" w:rsidRDefault="00A07553" w:rsidP="001B11C5">
      <w:pPr>
        <w:tabs>
          <w:tab w:val="left" w:pos="720"/>
        </w:tabs>
        <w:spacing w:line="240" w:lineRule="auto"/>
        <w:rPr>
          <w:color w:val="000000"/>
          <w:sz w:val="24"/>
        </w:rPr>
      </w:pPr>
    </w:p>
    <w:p w:rsidR="00A07553" w:rsidRPr="00012C17" w:rsidRDefault="00A07553" w:rsidP="00265D47">
      <w:pPr>
        <w:numPr>
          <w:ilvl w:val="0"/>
          <w:numId w:val="35"/>
        </w:numPr>
        <w:autoSpaceDE w:val="0"/>
        <w:autoSpaceDN w:val="0"/>
        <w:adjustRightInd w:val="0"/>
        <w:spacing w:line="240" w:lineRule="auto"/>
        <w:ind w:left="1170" w:hanging="540"/>
        <w:rPr>
          <w:rFonts w:cs="Arial"/>
          <w:i/>
          <w:color w:val="000000"/>
          <w:sz w:val="24"/>
        </w:rPr>
      </w:pPr>
      <w:r w:rsidRPr="00012C17">
        <w:rPr>
          <w:rFonts w:cs="Arial"/>
          <w:i/>
          <w:color w:val="000000"/>
          <w:sz w:val="24"/>
        </w:rPr>
        <w:t xml:space="preserve">As to </w:t>
      </w:r>
      <w:r w:rsidR="008B6775" w:rsidRPr="00012C17">
        <w:rPr>
          <w:rFonts w:cs="Arial"/>
          <w:i/>
          <w:color w:val="000000"/>
          <w:sz w:val="24"/>
        </w:rPr>
        <w:t xml:space="preserve">“principle of </w:t>
      </w:r>
      <w:r w:rsidRPr="00012C17">
        <w:rPr>
          <w:rFonts w:cs="Arial"/>
          <w:i/>
          <w:color w:val="000000"/>
          <w:sz w:val="24"/>
        </w:rPr>
        <w:t>transparency</w:t>
      </w:r>
      <w:r w:rsidR="008B6775" w:rsidRPr="00012C17">
        <w:rPr>
          <w:rFonts w:cs="Arial"/>
          <w:i/>
          <w:color w:val="000000"/>
          <w:sz w:val="24"/>
        </w:rPr>
        <w:t>”</w:t>
      </w:r>
    </w:p>
    <w:p w:rsidR="00A07553" w:rsidRPr="00012C17" w:rsidRDefault="00A07553" w:rsidP="001B11C5">
      <w:pPr>
        <w:autoSpaceDE w:val="0"/>
        <w:autoSpaceDN w:val="0"/>
        <w:adjustRightInd w:val="0"/>
        <w:spacing w:line="240" w:lineRule="auto"/>
        <w:rPr>
          <w:rFonts w:cs="Arial"/>
          <w:color w:val="000000"/>
          <w:sz w:val="24"/>
        </w:rPr>
      </w:pPr>
    </w:p>
    <w:p w:rsidR="00A07553" w:rsidRPr="00012C17" w:rsidRDefault="00A07553" w:rsidP="001B11C5">
      <w:pPr>
        <w:numPr>
          <w:ilvl w:val="0"/>
          <w:numId w:val="1"/>
        </w:numPr>
        <w:spacing w:line="240" w:lineRule="auto"/>
        <w:ind w:left="630" w:hanging="630"/>
        <w:rPr>
          <w:bCs/>
          <w:iCs/>
          <w:color w:val="000000"/>
          <w:sz w:val="24"/>
        </w:rPr>
      </w:pPr>
      <w:r w:rsidRPr="00012C17">
        <w:rPr>
          <w:rFonts w:cs="Arial"/>
          <w:color w:val="000000"/>
          <w:sz w:val="24"/>
        </w:rPr>
        <w:t xml:space="preserve">The Court recalls that the Applicants </w:t>
      </w:r>
      <w:r w:rsidR="008B6775" w:rsidRPr="00012C17">
        <w:rPr>
          <w:rFonts w:cs="Arial"/>
          <w:color w:val="000000"/>
          <w:sz w:val="24"/>
        </w:rPr>
        <w:t xml:space="preserve">also </w:t>
      </w:r>
      <w:r w:rsidRPr="00012C17">
        <w:rPr>
          <w:rFonts w:cs="Arial"/>
          <w:color w:val="000000"/>
          <w:sz w:val="24"/>
        </w:rPr>
        <w:t xml:space="preserve">allege </w:t>
      </w:r>
      <w:r w:rsidR="008B6775" w:rsidRPr="00012C17">
        <w:rPr>
          <w:rFonts w:cs="Arial"/>
          <w:color w:val="000000"/>
          <w:sz w:val="24"/>
        </w:rPr>
        <w:t xml:space="preserve">violation of the principle of transparency. In </w:t>
      </w:r>
      <w:r w:rsidR="008B6775" w:rsidRPr="00012C17">
        <w:rPr>
          <w:bCs/>
          <w:iCs/>
          <w:color w:val="000000"/>
          <w:sz w:val="24"/>
        </w:rPr>
        <w:t>this</w:t>
      </w:r>
      <w:r w:rsidR="008B6775" w:rsidRPr="00012C17">
        <w:rPr>
          <w:rFonts w:cs="Arial"/>
          <w:color w:val="000000"/>
          <w:sz w:val="24"/>
        </w:rPr>
        <w:t xml:space="preserve"> respect,</w:t>
      </w:r>
      <w:r w:rsidR="006E52F9" w:rsidRPr="00012C17">
        <w:rPr>
          <w:rFonts w:cs="Arial"/>
          <w:color w:val="000000"/>
          <w:sz w:val="24"/>
        </w:rPr>
        <w:t xml:space="preserve"> </w:t>
      </w:r>
      <w:r w:rsidR="008B6775" w:rsidRPr="00012C17">
        <w:rPr>
          <w:rFonts w:cs="Arial"/>
          <w:color w:val="000000"/>
          <w:sz w:val="24"/>
        </w:rPr>
        <w:t xml:space="preserve">the Court notes that, in the context of the Code of Good Practice, </w:t>
      </w:r>
      <w:r w:rsidR="00932068" w:rsidRPr="00012C17">
        <w:rPr>
          <w:rFonts w:cs="Arial"/>
          <w:color w:val="000000"/>
          <w:sz w:val="24"/>
        </w:rPr>
        <w:t xml:space="preserve">the </w:t>
      </w:r>
      <w:r w:rsidR="008B6775" w:rsidRPr="00012C17">
        <w:rPr>
          <w:rFonts w:cs="Arial"/>
          <w:color w:val="000000"/>
          <w:sz w:val="24"/>
        </w:rPr>
        <w:t xml:space="preserve">transparency is mainly used in the sense of financing election campaigns. However, the Code of Good Practice </w:t>
      </w:r>
      <w:r w:rsidR="00932068" w:rsidRPr="00012C17">
        <w:rPr>
          <w:rFonts w:cs="Arial"/>
          <w:color w:val="000000"/>
          <w:sz w:val="24"/>
        </w:rPr>
        <w:t>considers</w:t>
      </w:r>
      <w:r w:rsidR="008B6775" w:rsidRPr="00012C17">
        <w:rPr>
          <w:rFonts w:cs="Arial"/>
          <w:color w:val="000000"/>
          <w:sz w:val="24"/>
        </w:rPr>
        <w:t xml:space="preserve"> transparency important in at least three other aspects.</w:t>
      </w:r>
      <w:r w:rsidRPr="00012C17">
        <w:rPr>
          <w:bCs/>
          <w:iCs/>
          <w:color w:val="000000"/>
          <w:sz w:val="24"/>
        </w:rPr>
        <w:t xml:space="preserve"> </w:t>
      </w:r>
    </w:p>
    <w:p w:rsidR="00932068" w:rsidRPr="00012C17" w:rsidRDefault="00932068" w:rsidP="001B11C5">
      <w:pPr>
        <w:autoSpaceDE w:val="0"/>
        <w:autoSpaceDN w:val="0"/>
        <w:adjustRightInd w:val="0"/>
        <w:spacing w:line="240" w:lineRule="auto"/>
        <w:ind w:left="540" w:hanging="540"/>
        <w:rPr>
          <w:bCs/>
          <w:iCs/>
          <w:color w:val="000000"/>
          <w:sz w:val="24"/>
        </w:rPr>
      </w:pPr>
    </w:p>
    <w:p w:rsidR="00932068" w:rsidRPr="00012C17" w:rsidRDefault="00E5458C" w:rsidP="001B11C5">
      <w:pPr>
        <w:numPr>
          <w:ilvl w:val="0"/>
          <w:numId w:val="1"/>
        </w:numPr>
        <w:spacing w:line="240" w:lineRule="auto"/>
        <w:ind w:left="630" w:hanging="630"/>
        <w:rPr>
          <w:bCs/>
          <w:iCs/>
          <w:color w:val="000000"/>
          <w:sz w:val="24"/>
        </w:rPr>
      </w:pPr>
      <w:r w:rsidRPr="00012C17">
        <w:rPr>
          <w:bCs/>
          <w:iCs/>
          <w:color w:val="000000"/>
          <w:sz w:val="24"/>
        </w:rPr>
        <w:t>Firstly,</w:t>
      </w:r>
      <w:r w:rsidR="00050756" w:rsidRPr="00012C17">
        <w:rPr>
          <w:bCs/>
          <w:iCs/>
          <w:color w:val="000000"/>
          <w:sz w:val="24"/>
        </w:rPr>
        <w:t xml:space="preserve"> </w:t>
      </w:r>
      <w:r w:rsidR="009D0E57" w:rsidRPr="00012C17">
        <w:rPr>
          <w:bCs/>
          <w:iCs/>
          <w:color w:val="000000"/>
          <w:sz w:val="24"/>
        </w:rPr>
        <w:t xml:space="preserve">transparency is </w:t>
      </w:r>
      <w:r w:rsidR="009D0E57" w:rsidRPr="00012C17">
        <w:rPr>
          <w:rFonts w:cs="Arial"/>
          <w:color w:val="000000"/>
          <w:sz w:val="24"/>
        </w:rPr>
        <w:t>considered</w:t>
      </w:r>
      <w:r w:rsidR="009D0E57" w:rsidRPr="00012C17">
        <w:rPr>
          <w:bCs/>
          <w:iCs/>
          <w:color w:val="000000"/>
          <w:sz w:val="24"/>
        </w:rPr>
        <w:t xml:space="preserve"> important in terms of ballot countin</w:t>
      </w:r>
      <w:r w:rsidRPr="00012C17">
        <w:rPr>
          <w:bCs/>
          <w:iCs/>
          <w:color w:val="000000"/>
          <w:sz w:val="24"/>
        </w:rPr>
        <w:t xml:space="preserve">g - a process that should be in and of </w:t>
      </w:r>
      <w:r w:rsidR="009D0E57" w:rsidRPr="00012C17">
        <w:rPr>
          <w:bCs/>
          <w:iCs/>
          <w:color w:val="000000"/>
          <w:sz w:val="24"/>
        </w:rPr>
        <w:t>itself transparent. To ensure such transparency, the observers (local and international), the candidates</w:t>
      </w:r>
      <w:r w:rsidR="00050756" w:rsidRPr="00012C17">
        <w:rPr>
          <w:bCs/>
          <w:iCs/>
          <w:color w:val="000000"/>
          <w:sz w:val="24"/>
        </w:rPr>
        <w:t>’</w:t>
      </w:r>
      <w:r w:rsidR="009D0E57" w:rsidRPr="00012C17">
        <w:rPr>
          <w:bCs/>
          <w:iCs/>
          <w:color w:val="000000"/>
          <w:sz w:val="24"/>
        </w:rPr>
        <w:t xml:space="preserve"> representatives and the media should be allowed to be present during the </w:t>
      </w:r>
      <w:r w:rsidR="00050756" w:rsidRPr="00012C17">
        <w:rPr>
          <w:bCs/>
          <w:iCs/>
          <w:color w:val="000000"/>
          <w:sz w:val="24"/>
        </w:rPr>
        <w:t>vote</w:t>
      </w:r>
      <w:r w:rsidR="009D0E57" w:rsidRPr="00012C17">
        <w:rPr>
          <w:bCs/>
          <w:iCs/>
          <w:color w:val="000000"/>
          <w:sz w:val="24"/>
        </w:rPr>
        <w:t xml:space="preserve"> counting. Secondly, transparency is also important in terms of procedural protection so that the organization of elections should be done by an impartial body. Only transparency, impartiality and independence from politically motivated manipulation will ensure proper administration of the electoral process from the pre-election period to the end of the process of </w:t>
      </w:r>
      <w:r w:rsidR="00050756" w:rsidRPr="00012C17">
        <w:rPr>
          <w:bCs/>
          <w:iCs/>
          <w:color w:val="000000"/>
          <w:sz w:val="24"/>
        </w:rPr>
        <w:t>the election result</w:t>
      </w:r>
      <w:r w:rsidR="009D0E57" w:rsidRPr="00012C17">
        <w:rPr>
          <w:bCs/>
          <w:iCs/>
          <w:color w:val="000000"/>
          <w:sz w:val="24"/>
        </w:rPr>
        <w:t xml:space="preserve">. Thirdly, in order to be in </w:t>
      </w:r>
      <w:r w:rsidR="00050756" w:rsidRPr="00012C17">
        <w:rPr>
          <w:bCs/>
          <w:iCs/>
          <w:color w:val="000000"/>
          <w:sz w:val="24"/>
        </w:rPr>
        <w:t>compliance</w:t>
      </w:r>
      <w:r w:rsidR="009D0E57" w:rsidRPr="00012C17">
        <w:rPr>
          <w:bCs/>
          <w:iCs/>
          <w:color w:val="000000"/>
          <w:sz w:val="24"/>
        </w:rPr>
        <w:t xml:space="preserve"> with </w:t>
      </w:r>
      <w:r w:rsidR="00050756" w:rsidRPr="00012C17">
        <w:rPr>
          <w:bCs/>
          <w:iCs/>
          <w:color w:val="000000"/>
          <w:sz w:val="24"/>
        </w:rPr>
        <w:t xml:space="preserve">the </w:t>
      </w:r>
      <w:r w:rsidR="009D0E57" w:rsidRPr="00012C17">
        <w:rPr>
          <w:bCs/>
          <w:iCs/>
          <w:color w:val="000000"/>
          <w:sz w:val="24"/>
        </w:rPr>
        <w:t xml:space="preserve">international standards, an </w:t>
      </w:r>
      <w:r w:rsidR="00050756" w:rsidRPr="00012C17">
        <w:rPr>
          <w:bCs/>
          <w:iCs/>
          <w:color w:val="000000"/>
          <w:sz w:val="24"/>
        </w:rPr>
        <w:t>election</w:t>
      </w:r>
      <w:r w:rsidR="009D0E57" w:rsidRPr="00012C17">
        <w:rPr>
          <w:bCs/>
          <w:iCs/>
          <w:color w:val="000000"/>
          <w:sz w:val="24"/>
        </w:rPr>
        <w:t xml:space="preserve"> process should clearly provide voters, candidates and political entities with the right to transparent complaints procedures. (See </w:t>
      </w:r>
      <w:r w:rsidR="00050756" w:rsidRPr="00012C17">
        <w:rPr>
          <w:bCs/>
          <w:iCs/>
          <w:color w:val="000000"/>
          <w:sz w:val="24"/>
        </w:rPr>
        <w:t>Code of Good Practice</w:t>
      </w:r>
      <w:r w:rsidR="009D0E57" w:rsidRPr="00012C17">
        <w:rPr>
          <w:bCs/>
          <w:iCs/>
          <w:color w:val="000000"/>
          <w:sz w:val="24"/>
        </w:rPr>
        <w:t xml:space="preserve"> 3.2 (xiii) page 9, </w:t>
      </w:r>
      <w:r w:rsidR="00050756" w:rsidRPr="00012C17">
        <w:rPr>
          <w:bCs/>
          <w:iCs/>
          <w:color w:val="000000"/>
          <w:sz w:val="24"/>
        </w:rPr>
        <w:t>item</w:t>
      </w:r>
      <w:r w:rsidR="009D0E57" w:rsidRPr="00012C17">
        <w:rPr>
          <w:bCs/>
          <w:iCs/>
          <w:color w:val="000000"/>
          <w:sz w:val="24"/>
        </w:rPr>
        <w:t xml:space="preserve"> 3.1 paragraph 68, and </w:t>
      </w:r>
      <w:r w:rsidR="0031438F" w:rsidRPr="00012C17">
        <w:rPr>
          <w:bCs/>
          <w:iCs/>
          <w:color w:val="000000"/>
          <w:sz w:val="24"/>
        </w:rPr>
        <w:t xml:space="preserve">Report on </w:t>
      </w:r>
      <w:r w:rsidR="009D0E57" w:rsidRPr="00012C17">
        <w:rPr>
          <w:bCs/>
          <w:iCs/>
          <w:color w:val="000000"/>
          <w:sz w:val="24"/>
        </w:rPr>
        <w:t xml:space="preserve">Election Dispute Resolution, </w:t>
      </w:r>
      <w:r w:rsidR="00050756" w:rsidRPr="00012C17">
        <w:rPr>
          <w:bCs/>
          <w:iCs/>
          <w:color w:val="000000"/>
          <w:sz w:val="24"/>
        </w:rPr>
        <w:t>item</w:t>
      </w:r>
      <w:r w:rsidR="009D0E57" w:rsidRPr="00012C17">
        <w:rPr>
          <w:bCs/>
          <w:iCs/>
          <w:color w:val="000000"/>
          <w:sz w:val="24"/>
        </w:rPr>
        <w:t xml:space="preserve"> 6, paragraph 100). The latter are elaborated in more detail in the </w:t>
      </w:r>
      <w:r w:rsidR="0031438F" w:rsidRPr="00012C17">
        <w:rPr>
          <w:bCs/>
          <w:iCs/>
          <w:color w:val="000000"/>
          <w:sz w:val="24"/>
        </w:rPr>
        <w:t xml:space="preserve">Report on </w:t>
      </w:r>
      <w:r w:rsidR="009D0E57" w:rsidRPr="00012C17">
        <w:rPr>
          <w:bCs/>
          <w:iCs/>
          <w:color w:val="000000"/>
          <w:sz w:val="24"/>
        </w:rPr>
        <w:t xml:space="preserve">Dispute Resolution. In this respect, the Venice Commission recommends that proceedings before a judicial body that reviews </w:t>
      </w:r>
      <w:r w:rsidR="00050756" w:rsidRPr="00012C17">
        <w:rPr>
          <w:bCs/>
          <w:iCs/>
          <w:color w:val="000000"/>
          <w:sz w:val="24"/>
        </w:rPr>
        <w:t>complaints</w:t>
      </w:r>
      <w:r w:rsidR="009D0E57" w:rsidRPr="00012C17">
        <w:rPr>
          <w:bCs/>
          <w:iCs/>
          <w:color w:val="000000"/>
          <w:sz w:val="24"/>
        </w:rPr>
        <w:t xml:space="preserve"> and appeals regarding </w:t>
      </w:r>
      <w:r w:rsidR="00050756" w:rsidRPr="00012C17">
        <w:rPr>
          <w:bCs/>
          <w:iCs/>
          <w:color w:val="000000"/>
          <w:sz w:val="24"/>
        </w:rPr>
        <w:t>the election</w:t>
      </w:r>
      <w:r w:rsidR="009D0E57" w:rsidRPr="00012C17">
        <w:rPr>
          <w:bCs/>
          <w:iCs/>
          <w:color w:val="000000"/>
          <w:sz w:val="24"/>
        </w:rPr>
        <w:t xml:space="preserve"> rights should be public and the parties should have the right to present their case directly or through a legal representative. The minimum guarantees that must exist, according to the Venice Commission, </w:t>
      </w:r>
      <w:r w:rsidR="00050756" w:rsidRPr="00012C17">
        <w:rPr>
          <w:bCs/>
          <w:iCs/>
          <w:color w:val="000000"/>
          <w:sz w:val="24"/>
        </w:rPr>
        <w:t xml:space="preserve">is accordingly included the right to </w:t>
      </w:r>
      <w:r w:rsidR="009D0E57" w:rsidRPr="00012C17">
        <w:rPr>
          <w:bCs/>
          <w:iCs/>
          <w:color w:val="000000"/>
          <w:sz w:val="24"/>
        </w:rPr>
        <w:t xml:space="preserve">fair, impartial and public hearing of a complaint or appeal. The </w:t>
      </w:r>
      <w:r w:rsidR="00050756" w:rsidRPr="00012C17">
        <w:rPr>
          <w:bCs/>
          <w:iCs/>
          <w:color w:val="000000"/>
          <w:sz w:val="24"/>
        </w:rPr>
        <w:t>complaints</w:t>
      </w:r>
      <w:r w:rsidR="009D0E57" w:rsidRPr="00012C17">
        <w:rPr>
          <w:bCs/>
          <w:iCs/>
          <w:color w:val="000000"/>
          <w:sz w:val="24"/>
        </w:rPr>
        <w:t xml:space="preserve"> and appeals system should be transparent and as such should include the publication of complaints, appeals, responses and decisions. (See </w:t>
      </w:r>
      <w:r w:rsidR="0031438F" w:rsidRPr="00012C17">
        <w:rPr>
          <w:bCs/>
          <w:iCs/>
          <w:color w:val="000000"/>
          <w:sz w:val="24"/>
        </w:rPr>
        <w:t xml:space="preserve">Report on </w:t>
      </w:r>
      <w:r w:rsidR="009D0E57" w:rsidRPr="00012C17">
        <w:rPr>
          <w:bCs/>
          <w:iCs/>
          <w:color w:val="000000"/>
          <w:sz w:val="24"/>
        </w:rPr>
        <w:t xml:space="preserve">Dispute </w:t>
      </w:r>
      <w:r w:rsidR="00ED5477" w:rsidRPr="00012C17">
        <w:rPr>
          <w:bCs/>
          <w:iCs/>
          <w:color w:val="000000"/>
          <w:sz w:val="24"/>
        </w:rPr>
        <w:t>Resolution</w:t>
      </w:r>
      <w:r w:rsidR="009D0E57" w:rsidRPr="00012C17">
        <w:rPr>
          <w:bCs/>
          <w:iCs/>
          <w:color w:val="000000"/>
          <w:sz w:val="24"/>
        </w:rPr>
        <w:t xml:space="preserve">, </w:t>
      </w:r>
      <w:r w:rsidR="00050756" w:rsidRPr="00012C17">
        <w:rPr>
          <w:bCs/>
          <w:iCs/>
          <w:color w:val="000000"/>
          <w:sz w:val="24"/>
        </w:rPr>
        <w:t>item</w:t>
      </w:r>
      <w:r w:rsidR="009D0E57" w:rsidRPr="00012C17">
        <w:rPr>
          <w:bCs/>
          <w:iCs/>
          <w:color w:val="000000"/>
          <w:sz w:val="24"/>
        </w:rPr>
        <w:t xml:space="preserve"> 6, paragraph 100).</w:t>
      </w:r>
    </w:p>
    <w:p w:rsidR="00050756" w:rsidRPr="00012C17" w:rsidRDefault="00050756" w:rsidP="001B11C5">
      <w:pPr>
        <w:autoSpaceDE w:val="0"/>
        <w:autoSpaceDN w:val="0"/>
        <w:adjustRightInd w:val="0"/>
        <w:spacing w:line="240" w:lineRule="auto"/>
        <w:ind w:left="540" w:hanging="540"/>
        <w:rPr>
          <w:bCs/>
          <w:iCs/>
          <w:color w:val="000000"/>
          <w:sz w:val="24"/>
        </w:rPr>
      </w:pPr>
    </w:p>
    <w:p w:rsidR="00050756" w:rsidRPr="00012C17" w:rsidRDefault="00050756" w:rsidP="001B11C5">
      <w:pPr>
        <w:numPr>
          <w:ilvl w:val="0"/>
          <w:numId w:val="1"/>
        </w:numPr>
        <w:spacing w:line="240" w:lineRule="auto"/>
        <w:ind w:left="630" w:hanging="630"/>
        <w:rPr>
          <w:bCs/>
          <w:iCs/>
          <w:color w:val="000000"/>
          <w:sz w:val="24"/>
        </w:rPr>
      </w:pPr>
      <w:r w:rsidRPr="00012C17">
        <w:rPr>
          <w:bCs/>
          <w:iCs/>
          <w:color w:val="000000"/>
          <w:sz w:val="24"/>
        </w:rPr>
        <w:t xml:space="preserve">The Court recalls that the </w:t>
      </w:r>
      <w:r w:rsidRPr="00012C17">
        <w:rPr>
          <w:rFonts w:cs="Arial"/>
          <w:color w:val="000000"/>
          <w:sz w:val="24"/>
        </w:rPr>
        <w:t>Applicants</w:t>
      </w:r>
      <w:r w:rsidRPr="00012C17">
        <w:rPr>
          <w:bCs/>
          <w:iCs/>
          <w:color w:val="000000"/>
          <w:sz w:val="24"/>
        </w:rPr>
        <w:t xml:space="preserve"> allege that the Code of Good Practice obliges </w:t>
      </w:r>
      <w:r w:rsidR="007F1E23" w:rsidRPr="00012C17">
        <w:rPr>
          <w:bCs/>
          <w:iCs/>
          <w:color w:val="000000"/>
          <w:sz w:val="24"/>
        </w:rPr>
        <w:t xml:space="preserve">the </w:t>
      </w:r>
      <w:r w:rsidRPr="00012C17">
        <w:rPr>
          <w:bCs/>
          <w:iCs/>
          <w:color w:val="000000"/>
          <w:sz w:val="24"/>
        </w:rPr>
        <w:t xml:space="preserve">state institutions to guarantee transparency of proceedings and the right to recount votes in </w:t>
      </w:r>
      <w:r w:rsidR="007F1E23" w:rsidRPr="00012C17">
        <w:rPr>
          <w:bCs/>
          <w:iCs/>
          <w:color w:val="000000"/>
          <w:sz w:val="24"/>
        </w:rPr>
        <w:t xml:space="preserve">the </w:t>
      </w:r>
      <w:r w:rsidRPr="00012C17">
        <w:rPr>
          <w:bCs/>
          <w:iCs/>
          <w:color w:val="000000"/>
          <w:sz w:val="24"/>
        </w:rPr>
        <w:t>cases</w:t>
      </w:r>
      <w:r w:rsidR="007F1E23" w:rsidRPr="00012C17">
        <w:rPr>
          <w:bCs/>
          <w:iCs/>
          <w:color w:val="000000"/>
          <w:sz w:val="24"/>
        </w:rPr>
        <w:t xml:space="preserve"> of appeals</w:t>
      </w:r>
      <w:r w:rsidRPr="00012C17">
        <w:rPr>
          <w:bCs/>
          <w:iCs/>
          <w:color w:val="000000"/>
          <w:sz w:val="24"/>
        </w:rPr>
        <w:t xml:space="preserve">. This </w:t>
      </w:r>
      <w:r w:rsidR="0031438F" w:rsidRPr="00012C17">
        <w:rPr>
          <w:bCs/>
          <w:iCs/>
          <w:color w:val="000000"/>
          <w:sz w:val="24"/>
        </w:rPr>
        <w:t>conclusion</w:t>
      </w:r>
      <w:r w:rsidRPr="00012C17">
        <w:rPr>
          <w:bCs/>
          <w:iCs/>
          <w:color w:val="000000"/>
          <w:sz w:val="24"/>
        </w:rPr>
        <w:t xml:space="preserve"> stands. The Court has elaborated throughout this Judgment the fundamental principles regarding the right to appeal in </w:t>
      </w:r>
      <w:r w:rsidR="007F1E23" w:rsidRPr="00012C17">
        <w:rPr>
          <w:bCs/>
          <w:iCs/>
          <w:color w:val="000000"/>
          <w:sz w:val="24"/>
        </w:rPr>
        <w:t>the election</w:t>
      </w:r>
      <w:r w:rsidRPr="00012C17">
        <w:rPr>
          <w:bCs/>
          <w:iCs/>
          <w:color w:val="000000"/>
          <w:sz w:val="24"/>
        </w:rPr>
        <w:t xml:space="preserve"> disputes as an essential part of </w:t>
      </w:r>
      <w:r w:rsidR="007F1E23" w:rsidRPr="00012C17">
        <w:rPr>
          <w:bCs/>
          <w:iCs/>
          <w:color w:val="000000"/>
          <w:sz w:val="24"/>
        </w:rPr>
        <w:t>“</w:t>
      </w:r>
      <w:r w:rsidRPr="00012C17">
        <w:rPr>
          <w:bCs/>
          <w:i/>
          <w:color w:val="000000"/>
          <w:sz w:val="24"/>
        </w:rPr>
        <w:t>effective complaints systems</w:t>
      </w:r>
      <w:r w:rsidR="007F1E23" w:rsidRPr="00012C17">
        <w:rPr>
          <w:bCs/>
          <w:iCs/>
          <w:color w:val="000000"/>
          <w:sz w:val="24"/>
        </w:rPr>
        <w:t>”</w:t>
      </w:r>
      <w:r w:rsidRPr="00012C17">
        <w:rPr>
          <w:bCs/>
          <w:iCs/>
          <w:color w:val="000000"/>
          <w:sz w:val="24"/>
        </w:rPr>
        <w:t xml:space="preserve"> and </w:t>
      </w:r>
      <w:r w:rsidR="007F1E23" w:rsidRPr="00012C17">
        <w:rPr>
          <w:bCs/>
          <w:iCs/>
          <w:color w:val="000000"/>
          <w:sz w:val="24"/>
        </w:rPr>
        <w:t>“</w:t>
      </w:r>
      <w:r w:rsidRPr="00012C17">
        <w:rPr>
          <w:bCs/>
          <w:i/>
          <w:color w:val="000000"/>
          <w:sz w:val="24"/>
        </w:rPr>
        <w:t xml:space="preserve">procedural </w:t>
      </w:r>
      <w:r w:rsidR="0031438F" w:rsidRPr="00012C17">
        <w:rPr>
          <w:bCs/>
          <w:i/>
          <w:color w:val="000000"/>
          <w:sz w:val="24"/>
        </w:rPr>
        <w:t>guarantees</w:t>
      </w:r>
      <w:r w:rsidR="007F1E23" w:rsidRPr="00012C17">
        <w:rPr>
          <w:bCs/>
          <w:iCs/>
          <w:color w:val="000000"/>
          <w:sz w:val="24"/>
        </w:rPr>
        <w:t>”</w:t>
      </w:r>
      <w:r w:rsidRPr="00012C17">
        <w:rPr>
          <w:bCs/>
          <w:iCs/>
          <w:color w:val="000000"/>
          <w:sz w:val="24"/>
        </w:rPr>
        <w:t xml:space="preserve">, the latter </w:t>
      </w:r>
      <w:r w:rsidR="007F1E23" w:rsidRPr="00012C17">
        <w:rPr>
          <w:bCs/>
          <w:iCs/>
          <w:color w:val="000000"/>
          <w:sz w:val="24"/>
        </w:rPr>
        <w:t xml:space="preserve">a </w:t>
      </w:r>
      <w:r w:rsidRPr="00012C17">
        <w:rPr>
          <w:bCs/>
          <w:iCs/>
          <w:color w:val="000000"/>
          <w:sz w:val="24"/>
        </w:rPr>
        <w:t>fundamental condition for the implementation of the five principles pertaining to the quality of vote in democratic elections. As noted, the ri</w:t>
      </w:r>
      <w:r w:rsidR="0031438F" w:rsidRPr="00012C17">
        <w:rPr>
          <w:bCs/>
          <w:iCs/>
          <w:color w:val="000000"/>
          <w:sz w:val="24"/>
        </w:rPr>
        <w:t>g</w:t>
      </w:r>
      <w:r w:rsidRPr="00012C17">
        <w:rPr>
          <w:bCs/>
          <w:iCs/>
          <w:color w:val="000000"/>
          <w:sz w:val="24"/>
        </w:rPr>
        <w:t xml:space="preserve">ht to appeal in </w:t>
      </w:r>
      <w:r w:rsidR="007F1E23" w:rsidRPr="00012C17">
        <w:rPr>
          <w:bCs/>
          <w:iCs/>
          <w:color w:val="000000"/>
          <w:sz w:val="24"/>
        </w:rPr>
        <w:t>the election</w:t>
      </w:r>
      <w:r w:rsidRPr="00012C17">
        <w:rPr>
          <w:bCs/>
          <w:iCs/>
          <w:color w:val="000000"/>
          <w:sz w:val="24"/>
        </w:rPr>
        <w:t xml:space="preserve"> disputes and also the </w:t>
      </w:r>
      <w:r w:rsidR="007F1E23" w:rsidRPr="00012C17">
        <w:rPr>
          <w:bCs/>
          <w:iCs/>
          <w:color w:val="000000"/>
          <w:sz w:val="24"/>
        </w:rPr>
        <w:t>“</w:t>
      </w:r>
      <w:r w:rsidRPr="00012C17">
        <w:rPr>
          <w:bCs/>
          <w:i/>
          <w:color w:val="000000"/>
          <w:sz w:val="24"/>
        </w:rPr>
        <w:t xml:space="preserve">right </w:t>
      </w:r>
      <w:r w:rsidR="007F1E23" w:rsidRPr="00012C17">
        <w:rPr>
          <w:bCs/>
          <w:i/>
          <w:color w:val="000000"/>
          <w:sz w:val="24"/>
        </w:rPr>
        <w:t>of verification of</w:t>
      </w:r>
      <w:r w:rsidRPr="00012C17">
        <w:rPr>
          <w:bCs/>
          <w:i/>
          <w:color w:val="000000"/>
          <w:sz w:val="24"/>
        </w:rPr>
        <w:t xml:space="preserve"> the election result</w:t>
      </w:r>
      <w:r w:rsidR="007F1E23" w:rsidRPr="00012C17">
        <w:rPr>
          <w:bCs/>
          <w:iCs/>
          <w:color w:val="000000"/>
          <w:sz w:val="24"/>
        </w:rPr>
        <w:t>”</w:t>
      </w:r>
      <w:r w:rsidRPr="00012C17">
        <w:rPr>
          <w:bCs/>
          <w:iCs/>
          <w:color w:val="000000"/>
          <w:sz w:val="24"/>
        </w:rPr>
        <w:t xml:space="preserve">, including the possibility of annulment of </w:t>
      </w:r>
      <w:r w:rsidR="007F1E23" w:rsidRPr="00012C17">
        <w:rPr>
          <w:bCs/>
          <w:iCs/>
          <w:color w:val="000000"/>
          <w:sz w:val="24"/>
        </w:rPr>
        <w:t xml:space="preserve">the </w:t>
      </w:r>
      <w:r w:rsidRPr="00012C17">
        <w:rPr>
          <w:bCs/>
          <w:iCs/>
          <w:color w:val="000000"/>
          <w:sz w:val="24"/>
        </w:rPr>
        <w:t xml:space="preserve">election results, are guaranteed by the Constitution of the Republic of Kosovo and the applicable </w:t>
      </w:r>
      <w:r w:rsidR="007F1E23" w:rsidRPr="00012C17">
        <w:rPr>
          <w:bCs/>
          <w:iCs/>
          <w:color w:val="000000"/>
          <w:sz w:val="24"/>
        </w:rPr>
        <w:t>election law</w:t>
      </w:r>
      <w:r w:rsidRPr="00012C17">
        <w:rPr>
          <w:bCs/>
          <w:iCs/>
          <w:color w:val="000000"/>
          <w:sz w:val="24"/>
        </w:rPr>
        <w:t>, in the manner prescribed by law, and which, as elaborated, is also in line with the practice of the member states of the Venice Commission.</w:t>
      </w:r>
    </w:p>
    <w:p w:rsidR="001D7440" w:rsidRPr="00012C17" w:rsidRDefault="001D7440" w:rsidP="001B11C5">
      <w:pPr>
        <w:autoSpaceDE w:val="0"/>
        <w:autoSpaceDN w:val="0"/>
        <w:adjustRightInd w:val="0"/>
        <w:spacing w:line="240" w:lineRule="auto"/>
        <w:ind w:left="540" w:hanging="540"/>
        <w:rPr>
          <w:bCs/>
          <w:iCs/>
          <w:color w:val="000000"/>
          <w:sz w:val="24"/>
        </w:rPr>
      </w:pPr>
    </w:p>
    <w:p w:rsidR="001D7440" w:rsidRPr="00012C17" w:rsidRDefault="001D7440" w:rsidP="001B11C5">
      <w:pPr>
        <w:numPr>
          <w:ilvl w:val="0"/>
          <w:numId w:val="1"/>
        </w:numPr>
        <w:spacing w:line="240" w:lineRule="auto"/>
        <w:ind w:left="630" w:hanging="630"/>
        <w:rPr>
          <w:bCs/>
          <w:iCs/>
          <w:color w:val="000000"/>
          <w:sz w:val="24"/>
        </w:rPr>
      </w:pPr>
      <w:r w:rsidRPr="00012C17">
        <w:rPr>
          <w:rFonts w:cs="Arial"/>
          <w:color w:val="000000"/>
          <w:sz w:val="24"/>
        </w:rPr>
        <w:t>The Court specifically notes that as to the allegations of violation of the principle of transparency, the Applicants raise the following question: (i) violation of the right to “</w:t>
      </w:r>
      <w:r w:rsidRPr="00012C17">
        <w:rPr>
          <w:rFonts w:cs="Arial"/>
          <w:i/>
          <w:iCs/>
          <w:color w:val="000000"/>
          <w:sz w:val="24"/>
        </w:rPr>
        <w:t>recount and repeat the voting”</w:t>
      </w:r>
      <w:r w:rsidRPr="00012C17">
        <w:rPr>
          <w:rFonts w:cs="Arial"/>
          <w:color w:val="000000"/>
          <w:sz w:val="24"/>
        </w:rPr>
        <w:t>, which according to them is provided by Articles 101 and 106 of the LGE; (ii) the violation of the right to “</w:t>
      </w:r>
      <w:r w:rsidRPr="00012C17">
        <w:rPr>
          <w:rFonts w:cs="Arial"/>
          <w:i/>
          <w:iCs/>
          <w:color w:val="000000"/>
          <w:sz w:val="24"/>
        </w:rPr>
        <w:t>confirmation and verification of the election result</w:t>
      </w:r>
      <w:r w:rsidR="0031438F" w:rsidRPr="00012C17">
        <w:rPr>
          <w:rFonts w:cs="Arial"/>
          <w:i/>
          <w:iCs/>
          <w:color w:val="000000"/>
          <w:sz w:val="24"/>
        </w:rPr>
        <w:t>s</w:t>
      </w:r>
      <w:r w:rsidRPr="00012C17">
        <w:rPr>
          <w:rFonts w:cs="Arial"/>
          <w:color w:val="000000"/>
          <w:sz w:val="24"/>
        </w:rPr>
        <w:t>”</w:t>
      </w:r>
      <w:r w:rsidR="0020707E" w:rsidRPr="00012C17">
        <w:rPr>
          <w:rFonts w:cs="Arial"/>
          <w:color w:val="000000"/>
          <w:sz w:val="24"/>
        </w:rPr>
        <w:t>,</w:t>
      </w:r>
      <w:r w:rsidRPr="00012C17">
        <w:rPr>
          <w:rFonts w:cs="Arial"/>
          <w:color w:val="000000"/>
          <w:sz w:val="24"/>
        </w:rPr>
        <w:t xml:space="preserve"> because according to the allegation “</w:t>
      </w:r>
      <w:r w:rsidRPr="00012C17">
        <w:rPr>
          <w:rFonts w:cs="Arial"/>
          <w:i/>
          <w:iCs/>
          <w:color w:val="000000"/>
          <w:sz w:val="24"/>
        </w:rPr>
        <w:t xml:space="preserve">in </w:t>
      </w:r>
      <w:r w:rsidRPr="00012C17">
        <w:rPr>
          <w:rFonts w:cs="Arial"/>
          <w:i/>
          <w:iCs/>
          <w:color w:val="000000"/>
          <w:sz w:val="24"/>
        </w:rPr>
        <w:lastRenderedPageBreak/>
        <w:t>case of narrow election result</w:t>
      </w:r>
      <w:r w:rsidRPr="00012C17">
        <w:rPr>
          <w:rFonts w:cs="Arial"/>
          <w:color w:val="000000"/>
          <w:sz w:val="24"/>
        </w:rPr>
        <w:t>”, the recount is a fundamental right which is initiated through the CEC or at the request of the party”; (iii) the fact that although the ECAP and the Supreme Court “</w:t>
      </w:r>
      <w:r w:rsidRPr="00012C17">
        <w:rPr>
          <w:rFonts w:cs="Arial"/>
          <w:i/>
          <w:iCs/>
          <w:color w:val="000000"/>
          <w:sz w:val="24"/>
        </w:rPr>
        <w:t>find that there have been irregularities”</w:t>
      </w:r>
      <w:r w:rsidRPr="00012C17">
        <w:rPr>
          <w:rFonts w:cs="Arial"/>
          <w:color w:val="000000"/>
          <w:sz w:val="24"/>
        </w:rPr>
        <w:t>, the</w:t>
      </w:r>
      <w:r w:rsidR="0020707E" w:rsidRPr="00012C17">
        <w:rPr>
          <w:rFonts w:cs="Arial"/>
          <w:color w:val="000000"/>
          <w:sz w:val="24"/>
        </w:rPr>
        <w:t>y</w:t>
      </w:r>
      <w:r w:rsidRPr="00012C17">
        <w:rPr>
          <w:rFonts w:cs="Arial"/>
          <w:color w:val="000000"/>
          <w:sz w:val="24"/>
        </w:rPr>
        <w:t xml:space="preserve"> “</w:t>
      </w:r>
      <w:r w:rsidRPr="00012C17">
        <w:rPr>
          <w:rFonts w:cs="Arial"/>
          <w:i/>
          <w:iCs/>
          <w:color w:val="000000"/>
          <w:sz w:val="24"/>
        </w:rPr>
        <w:t>consider the latter balanced between the two candidates in the competition</w:t>
      </w:r>
      <w:r w:rsidRPr="00012C17">
        <w:rPr>
          <w:rFonts w:cs="Arial"/>
          <w:color w:val="000000"/>
          <w:sz w:val="24"/>
        </w:rPr>
        <w:t>", resulting according to the allegation, in the arbitrary decisions of the</w:t>
      </w:r>
      <w:r w:rsidR="001B11C5" w:rsidRPr="00012C17">
        <w:rPr>
          <w:rFonts w:cs="Arial"/>
          <w:color w:val="000000"/>
          <w:sz w:val="24"/>
        </w:rPr>
        <w:t xml:space="preserve"> </w:t>
      </w:r>
      <w:r w:rsidRPr="00012C17">
        <w:rPr>
          <w:rFonts w:cs="Arial"/>
          <w:color w:val="000000"/>
          <w:sz w:val="24"/>
        </w:rPr>
        <w:t xml:space="preserve">ECAP and the Supreme Court; and that </w:t>
      </w:r>
      <w:r w:rsidR="0031438F" w:rsidRPr="00012C17">
        <w:rPr>
          <w:rFonts w:cs="Arial"/>
          <w:color w:val="000000"/>
          <w:sz w:val="24"/>
        </w:rPr>
        <w:t>(iv)</w:t>
      </w:r>
      <w:r w:rsidRPr="00012C17">
        <w:rPr>
          <w:rFonts w:cs="Arial"/>
          <w:color w:val="000000"/>
          <w:sz w:val="24"/>
        </w:rPr>
        <w:t>the ECAP and the Supreme Court did not address the Applicants’ evidence as “</w:t>
      </w:r>
      <w:r w:rsidRPr="00012C17">
        <w:rPr>
          <w:rFonts w:cs="Arial"/>
          <w:i/>
          <w:iCs/>
          <w:color w:val="000000"/>
          <w:sz w:val="24"/>
        </w:rPr>
        <w:t>new and specific evidence</w:t>
      </w:r>
      <w:r w:rsidRPr="00012C17">
        <w:rPr>
          <w:rFonts w:cs="Arial"/>
          <w:color w:val="000000"/>
          <w:sz w:val="24"/>
        </w:rPr>
        <w:t>” and did not address their allegatio</w:t>
      </w:r>
      <w:r w:rsidR="0020707E" w:rsidRPr="00012C17">
        <w:rPr>
          <w:rFonts w:cs="Arial"/>
          <w:color w:val="000000"/>
          <w:sz w:val="24"/>
        </w:rPr>
        <w:t>ns of constitutional violation</w:t>
      </w:r>
      <w:r w:rsidR="00057912" w:rsidRPr="00012C17">
        <w:rPr>
          <w:rFonts w:cs="Arial"/>
          <w:color w:val="000000"/>
          <w:sz w:val="24"/>
        </w:rPr>
        <w:t>. (S</w:t>
      </w:r>
      <w:r w:rsidRPr="00012C17">
        <w:rPr>
          <w:rFonts w:cs="Arial"/>
          <w:color w:val="000000"/>
          <w:sz w:val="24"/>
        </w:rPr>
        <w:t xml:space="preserve">ee specifically these allegations in paragraphs </w:t>
      </w:r>
      <w:r w:rsidR="0031438F" w:rsidRPr="00012C17">
        <w:rPr>
          <w:rFonts w:cs="Arial"/>
          <w:color w:val="000000"/>
          <w:sz w:val="24"/>
        </w:rPr>
        <w:t>67-73</w:t>
      </w:r>
      <w:r w:rsidRPr="00012C17">
        <w:rPr>
          <w:rFonts w:cs="Arial"/>
          <w:color w:val="000000"/>
          <w:sz w:val="24"/>
        </w:rPr>
        <w:t xml:space="preserve"> of this Judgment</w:t>
      </w:r>
      <w:r w:rsidRPr="00012C17">
        <w:rPr>
          <w:bCs/>
          <w:iCs/>
          <w:color w:val="000000"/>
          <w:sz w:val="24"/>
        </w:rPr>
        <w:t xml:space="preserve">). </w:t>
      </w:r>
    </w:p>
    <w:p w:rsidR="0020707E" w:rsidRPr="00012C17" w:rsidRDefault="0020707E" w:rsidP="001B11C5">
      <w:pPr>
        <w:tabs>
          <w:tab w:val="left" w:pos="540"/>
        </w:tabs>
        <w:autoSpaceDE w:val="0"/>
        <w:autoSpaceDN w:val="0"/>
        <w:adjustRightInd w:val="0"/>
        <w:spacing w:line="240" w:lineRule="auto"/>
        <w:ind w:left="540" w:hanging="540"/>
        <w:rPr>
          <w:bCs/>
          <w:iCs/>
          <w:color w:val="000000"/>
          <w:sz w:val="24"/>
        </w:rPr>
      </w:pPr>
    </w:p>
    <w:p w:rsidR="001D7440" w:rsidRPr="00012C17" w:rsidRDefault="001D7440" w:rsidP="001B11C5">
      <w:pPr>
        <w:numPr>
          <w:ilvl w:val="0"/>
          <w:numId w:val="1"/>
        </w:numPr>
        <w:spacing w:line="240" w:lineRule="auto"/>
        <w:ind w:left="630" w:hanging="630"/>
        <w:rPr>
          <w:rFonts w:cs="Arial"/>
          <w:bCs/>
          <w:iCs/>
          <w:color w:val="000000"/>
          <w:sz w:val="24"/>
        </w:rPr>
      </w:pPr>
      <w:r w:rsidRPr="00012C17">
        <w:rPr>
          <w:rFonts w:cs="Tahoma"/>
          <w:bCs/>
          <w:color w:val="000000"/>
          <w:sz w:val="24"/>
        </w:rPr>
        <w:t xml:space="preserve">The Court notes that </w:t>
      </w:r>
      <w:r w:rsidRPr="00012C17">
        <w:rPr>
          <w:rFonts w:cs="Arial"/>
          <w:color w:val="000000"/>
          <w:sz w:val="24"/>
        </w:rPr>
        <w:t>all</w:t>
      </w:r>
      <w:r w:rsidRPr="00012C17">
        <w:rPr>
          <w:rFonts w:cs="Tahoma"/>
          <w:bCs/>
          <w:color w:val="000000"/>
          <w:sz w:val="24"/>
        </w:rPr>
        <w:t xml:space="preserve"> these allegations</w:t>
      </w:r>
      <w:r w:rsidR="0020707E" w:rsidRPr="00012C17">
        <w:rPr>
          <w:rFonts w:cs="Tahoma"/>
          <w:bCs/>
          <w:color w:val="000000"/>
          <w:sz w:val="24"/>
        </w:rPr>
        <w:t xml:space="preserve"> </w:t>
      </w:r>
      <w:r w:rsidRPr="00012C17">
        <w:rPr>
          <w:rFonts w:cs="Tahoma"/>
          <w:bCs/>
          <w:color w:val="000000"/>
          <w:sz w:val="24"/>
        </w:rPr>
        <w:t xml:space="preserve">have been </w:t>
      </w:r>
      <w:r w:rsidR="0020707E" w:rsidRPr="00012C17">
        <w:rPr>
          <w:rFonts w:cs="Tahoma"/>
          <w:bCs/>
          <w:color w:val="000000"/>
          <w:sz w:val="24"/>
        </w:rPr>
        <w:t>raised</w:t>
      </w:r>
      <w:r w:rsidRPr="00012C17">
        <w:rPr>
          <w:rFonts w:cs="Tahoma"/>
          <w:bCs/>
          <w:color w:val="000000"/>
          <w:sz w:val="24"/>
        </w:rPr>
        <w:t xml:space="preserve"> </w:t>
      </w:r>
      <w:r w:rsidR="0020707E" w:rsidRPr="00012C17">
        <w:rPr>
          <w:rFonts w:cs="Tahoma"/>
          <w:bCs/>
          <w:color w:val="000000"/>
          <w:sz w:val="24"/>
        </w:rPr>
        <w:t xml:space="preserve">even in the sense of alleged violations of the right to judicial protection of rights guaranteed by Article 54 of the Constitution and are addressed in detail in paragraphs </w:t>
      </w:r>
      <w:r w:rsidR="0031438F" w:rsidRPr="00012C17">
        <w:rPr>
          <w:rFonts w:cs="Tahoma"/>
          <w:bCs/>
          <w:color w:val="000000"/>
          <w:sz w:val="24"/>
        </w:rPr>
        <w:t>134-176</w:t>
      </w:r>
      <w:r w:rsidR="0020707E" w:rsidRPr="00012C17">
        <w:rPr>
          <w:rFonts w:cs="Tahoma"/>
          <w:bCs/>
          <w:color w:val="000000"/>
          <w:sz w:val="24"/>
        </w:rPr>
        <w:t xml:space="preserve"> of this Judgment</w:t>
      </w:r>
      <w:r w:rsidRPr="00012C17">
        <w:rPr>
          <w:rFonts w:cs="Tahoma"/>
          <w:bCs/>
          <w:color w:val="000000"/>
          <w:sz w:val="24"/>
        </w:rPr>
        <w:t>.</w:t>
      </w:r>
      <w:r w:rsidR="006E52F9" w:rsidRPr="00012C17">
        <w:rPr>
          <w:rFonts w:cs="Tahoma"/>
          <w:bCs/>
          <w:color w:val="000000"/>
          <w:sz w:val="24"/>
        </w:rPr>
        <w:t xml:space="preserve"> </w:t>
      </w:r>
    </w:p>
    <w:p w:rsidR="006A4D44" w:rsidRPr="00012C17" w:rsidRDefault="006A4D44" w:rsidP="001B11C5">
      <w:pPr>
        <w:spacing w:line="240" w:lineRule="auto"/>
        <w:ind w:left="630"/>
        <w:rPr>
          <w:color w:val="000000"/>
          <w:sz w:val="24"/>
        </w:rPr>
      </w:pPr>
    </w:p>
    <w:p w:rsidR="001D7440" w:rsidRPr="00012C17" w:rsidRDefault="001D7440" w:rsidP="001B11C5">
      <w:pPr>
        <w:numPr>
          <w:ilvl w:val="0"/>
          <w:numId w:val="1"/>
        </w:numPr>
        <w:spacing w:line="240" w:lineRule="auto"/>
        <w:ind w:left="630" w:hanging="630"/>
        <w:rPr>
          <w:color w:val="000000"/>
          <w:sz w:val="24"/>
        </w:rPr>
      </w:pPr>
      <w:r w:rsidRPr="00012C17">
        <w:rPr>
          <w:rFonts w:cs="Arial"/>
          <w:color w:val="000000"/>
          <w:sz w:val="24"/>
        </w:rPr>
        <w:t xml:space="preserve">However, the Court notes that the Applicants in this context raise three new </w:t>
      </w:r>
      <w:r w:rsidR="0031438F" w:rsidRPr="00012C17">
        <w:rPr>
          <w:rFonts w:cs="Arial"/>
          <w:color w:val="000000"/>
          <w:sz w:val="24"/>
        </w:rPr>
        <w:t>allegations</w:t>
      </w:r>
      <w:r w:rsidRPr="00012C17">
        <w:rPr>
          <w:rFonts w:cs="Arial"/>
          <w:color w:val="000000"/>
          <w:sz w:val="24"/>
        </w:rPr>
        <w:t xml:space="preserve"> which the Court will consider in the following: (i) the </w:t>
      </w:r>
      <w:r w:rsidR="0031438F" w:rsidRPr="00012C17">
        <w:rPr>
          <w:rFonts w:cs="Arial"/>
          <w:color w:val="000000"/>
          <w:sz w:val="24"/>
        </w:rPr>
        <w:t>allegation</w:t>
      </w:r>
      <w:r w:rsidR="001B11C5" w:rsidRPr="00012C17">
        <w:rPr>
          <w:rFonts w:cs="Arial"/>
          <w:color w:val="000000"/>
          <w:sz w:val="24"/>
        </w:rPr>
        <w:t xml:space="preserve"> </w:t>
      </w:r>
      <w:r w:rsidRPr="00012C17">
        <w:rPr>
          <w:rFonts w:cs="Arial"/>
          <w:color w:val="000000"/>
          <w:sz w:val="24"/>
        </w:rPr>
        <w:t xml:space="preserve">that the ECAP made the assessment of the ballots at the disputed polling stations without the presence of the parties; </w:t>
      </w:r>
      <w:r w:rsidR="0020707E" w:rsidRPr="00012C17">
        <w:rPr>
          <w:rFonts w:cs="Arial"/>
          <w:color w:val="000000"/>
          <w:sz w:val="24"/>
        </w:rPr>
        <w:t>(ii</w:t>
      </w:r>
      <w:r w:rsidRPr="00012C17">
        <w:rPr>
          <w:rFonts w:cs="Arial"/>
          <w:color w:val="000000"/>
          <w:sz w:val="24"/>
        </w:rPr>
        <w:t xml:space="preserve">) the </w:t>
      </w:r>
      <w:r w:rsidR="0031438F" w:rsidRPr="00012C17">
        <w:rPr>
          <w:rFonts w:cs="Arial"/>
          <w:color w:val="000000"/>
          <w:sz w:val="24"/>
        </w:rPr>
        <w:t>allegation</w:t>
      </w:r>
      <w:r w:rsidR="001B11C5" w:rsidRPr="00012C17">
        <w:rPr>
          <w:rFonts w:cs="Arial"/>
          <w:color w:val="000000"/>
          <w:sz w:val="24"/>
        </w:rPr>
        <w:t xml:space="preserve"> </w:t>
      </w:r>
      <w:r w:rsidRPr="00012C17">
        <w:rPr>
          <w:rFonts w:cs="Arial"/>
          <w:color w:val="000000"/>
          <w:sz w:val="24"/>
        </w:rPr>
        <w:t xml:space="preserve">that the Supreme Court by its </w:t>
      </w:r>
      <w:r w:rsidR="0031438F" w:rsidRPr="00012C17">
        <w:rPr>
          <w:rFonts w:cs="Arial"/>
          <w:color w:val="000000"/>
          <w:sz w:val="24"/>
        </w:rPr>
        <w:t>f</w:t>
      </w:r>
      <w:r w:rsidRPr="00012C17">
        <w:rPr>
          <w:rFonts w:cs="Arial"/>
          <w:color w:val="000000"/>
          <w:sz w:val="24"/>
        </w:rPr>
        <w:t>irst Decision [AA. No. 52/</w:t>
      </w:r>
      <w:r w:rsidR="006634E8" w:rsidRPr="00012C17">
        <w:rPr>
          <w:rFonts w:cs="Arial"/>
          <w:color w:val="000000"/>
          <w:sz w:val="24"/>
        </w:rPr>
        <w:t>20</w:t>
      </w:r>
      <w:r w:rsidRPr="00012C17">
        <w:rPr>
          <w:rFonts w:cs="Arial"/>
          <w:color w:val="000000"/>
          <w:sz w:val="24"/>
        </w:rPr>
        <w:t>17] has only repealed the Decision o</w:t>
      </w:r>
      <w:r w:rsidR="0031438F" w:rsidRPr="00012C17">
        <w:rPr>
          <w:rFonts w:cs="Arial"/>
          <w:color w:val="000000"/>
          <w:sz w:val="24"/>
        </w:rPr>
        <w:t>f the ECAP [ZL. A</w:t>
      </w:r>
      <w:r w:rsidR="00057912" w:rsidRPr="00012C17">
        <w:rPr>
          <w:rFonts w:cs="Arial"/>
          <w:color w:val="000000"/>
          <w:sz w:val="24"/>
        </w:rPr>
        <w:t xml:space="preserve">. </w:t>
      </w:r>
      <w:r w:rsidR="0031438F" w:rsidRPr="00012C17">
        <w:rPr>
          <w:rFonts w:cs="Arial"/>
          <w:color w:val="000000"/>
          <w:sz w:val="24"/>
        </w:rPr>
        <w:t>no. 1102/2017]</w:t>
      </w:r>
      <w:r w:rsidRPr="00012C17">
        <w:rPr>
          <w:rFonts w:cs="Arial"/>
          <w:color w:val="000000"/>
          <w:sz w:val="24"/>
        </w:rPr>
        <w:t xml:space="preserve"> </w:t>
      </w:r>
      <w:r w:rsidR="0031438F" w:rsidRPr="00012C17">
        <w:rPr>
          <w:rFonts w:cs="Arial"/>
          <w:color w:val="000000"/>
          <w:sz w:val="24"/>
        </w:rPr>
        <w:t xml:space="preserve">of 22 November 2017 </w:t>
      </w:r>
      <w:r w:rsidRPr="00012C17">
        <w:rPr>
          <w:rFonts w:cs="Arial"/>
          <w:color w:val="000000"/>
          <w:sz w:val="24"/>
        </w:rPr>
        <w:t xml:space="preserve">but not the CEC Decision [2343-2017] for the recount of all regular ballot papers in the polling stations established by </w:t>
      </w:r>
      <w:r w:rsidR="0031438F" w:rsidRPr="00012C17">
        <w:rPr>
          <w:rFonts w:cs="Arial"/>
          <w:color w:val="000000"/>
          <w:sz w:val="24"/>
        </w:rPr>
        <w:t xml:space="preserve">abovementioned </w:t>
      </w:r>
      <w:r w:rsidRPr="00012C17">
        <w:rPr>
          <w:rFonts w:cs="Arial"/>
          <w:color w:val="000000"/>
          <w:sz w:val="24"/>
        </w:rPr>
        <w:t xml:space="preserve">Decision; and (iii) </w:t>
      </w:r>
      <w:r w:rsidR="0031438F" w:rsidRPr="00012C17">
        <w:rPr>
          <w:rFonts w:cs="Arial"/>
          <w:color w:val="000000"/>
          <w:sz w:val="24"/>
        </w:rPr>
        <w:t>the allegation that</w:t>
      </w:r>
      <w:r w:rsidRPr="00012C17">
        <w:rPr>
          <w:rFonts w:cs="Arial"/>
          <w:color w:val="000000"/>
          <w:sz w:val="24"/>
        </w:rPr>
        <w:t xml:space="preserve"> the principle of transparency has been violated even in the case of “</w:t>
      </w:r>
      <w:r w:rsidRPr="00012C17">
        <w:rPr>
          <w:rFonts w:cs="Arial"/>
          <w:i/>
          <w:iCs/>
          <w:color w:val="000000"/>
          <w:sz w:val="24"/>
        </w:rPr>
        <w:t>destruction of election materia</w:t>
      </w:r>
      <w:r w:rsidR="00057912" w:rsidRPr="00012C17">
        <w:rPr>
          <w:rFonts w:cs="Arial"/>
          <w:i/>
          <w:iCs/>
          <w:color w:val="000000"/>
          <w:sz w:val="24"/>
        </w:rPr>
        <w:t>l”</w:t>
      </w:r>
      <w:r w:rsidRPr="00012C17">
        <w:rPr>
          <w:rFonts w:cs="Arial"/>
          <w:color w:val="000000"/>
          <w:sz w:val="24"/>
        </w:rPr>
        <w:t xml:space="preserve"> by the CEC, and in that case their right to recount</w:t>
      </w:r>
      <w:r w:rsidRPr="00012C17">
        <w:rPr>
          <w:color w:val="000000"/>
          <w:sz w:val="24"/>
        </w:rPr>
        <w:t>.</w:t>
      </w:r>
    </w:p>
    <w:p w:rsidR="00E74F02" w:rsidRPr="00012C17" w:rsidRDefault="00E74F02" w:rsidP="001B11C5">
      <w:pPr>
        <w:tabs>
          <w:tab w:val="left" w:pos="540"/>
        </w:tabs>
        <w:spacing w:line="240" w:lineRule="auto"/>
        <w:ind w:left="540" w:hanging="540"/>
        <w:rPr>
          <w:color w:val="000000"/>
          <w:sz w:val="24"/>
        </w:rPr>
      </w:pPr>
    </w:p>
    <w:p w:rsidR="001D7440" w:rsidRPr="00012C17" w:rsidRDefault="001D7440" w:rsidP="001B11C5">
      <w:pPr>
        <w:numPr>
          <w:ilvl w:val="0"/>
          <w:numId w:val="1"/>
        </w:numPr>
        <w:spacing w:line="240" w:lineRule="auto"/>
        <w:ind w:left="630" w:hanging="630"/>
        <w:rPr>
          <w:rFonts w:cs="Arial"/>
          <w:color w:val="000000"/>
          <w:sz w:val="24"/>
        </w:rPr>
      </w:pPr>
      <w:r w:rsidRPr="00012C17">
        <w:rPr>
          <w:bCs/>
          <w:iCs/>
          <w:color w:val="000000"/>
          <w:sz w:val="24"/>
        </w:rPr>
        <w:t>As to the first, the Court recalls that</w:t>
      </w:r>
      <w:r w:rsidR="00E74F02" w:rsidRPr="00012C17">
        <w:rPr>
          <w:bCs/>
          <w:iCs/>
          <w:color w:val="000000"/>
          <w:sz w:val="24"/>
        </w:rPr>
        <w:t xml:space="preserve"> the allegation has to do with the investigations conducted by ECAP as a result of</w:t>
      </w:r>
      <w:r w:rsidRPr="00012C17">
        <w:rPr>
          <w:bCs/>
          <w:iCs/>
          <w:color w:val="000000"/>
          <w:sz w:val="24"/>
        </w:rPr>
        <w:t xml:space="preserve"> the </w:t>
      </w:r>
      <w:r w:rsidR="00E74F02" w:rsidRPr="00012C17">
        <w:rPr>
          <w:bCs/>
          <w:iCs/>
          <w:color w:val="000000"/>
          <w:sz w:val="24"/>
        </w:rPr>
        <w:t xml:space="preserve">Applicants’ complain of </w:t>
      </w:r>
      <w:r w:rsidRPr="00012C17">
        <w:rPr>
          <w:bCs/>
          <w:iCs/>
          <w:color w:val="000000"/>
          <w:sz w:val="24"/>
        </w:rPr>
        <w:t>30 November 2017, the ECAP based on</w:t>
      </w:r>
      <w:r w:rsidR="00E74F02" w:rsidRPr="00012C17">
        <w:rPr>
          <w:bCs/>
          <w:iCs/>
          <w:color w:val="000000"/>
          <w:sz w:val="24"/>
        </w:rPr>
        <w:t>:</w:t>
      </w:r>
      <w:r w:rsidRPr="00012C17">
        <w:rPr>
          <w:bCs/>
          <w:iCs/>
          <w:color w:val="000000"/>
          <w:sz w:val="24"/>
        </w:rPr>
        <w:t xml:space="preserve"> (i) paragraph 4 of Article 117 of the LGE, according to which the ECAP may order the review of the voting material as part of investigations related to complaints; (ii) Artic</w:t>
      </w:r>
      <w:r w:rsidR="00057912" w:rsidRPr="00012C17">
        <w:rPr>
          <w:bCs/>
          <w:iCs/>
          <w:color w:val="000000"/>
          <w:sz w:val="24"/>
        </w:rPr>
        <w:t>le 14 on Regulation No. 02/2015</w:t>
      </w:r>
      <w:r w:rsidR="0011358E" w:rsidRPr="00012C17">
        <w:rPr>
          <w:bCs/>
          <w:iCs/>
          <w:color w:val="000000"/>
          <w:sz w:val="24"/>
        </w:rPr>
        <w:t xml:space="preserve">; </w:t>
      </w:r>
      <w:r w:rsidRPr="00012C17">
        <w:rPr>
          <w:bCs/>
          <w:iCs/>
          <w:color w:val="000000"/>
          <w:sz w:val="24"/>
        </w:rPr>
        <w:t xml:space="preserve">and (iii) </w:t>
      </w:r>
      <w:r w:rsidR="00E74F02" w:rsidRPr="00012C17">
        <w:rPr>
          <w:bCs/>
          <w:iCs/>
          <w:color w:val="000000"/>
          <w:sz w:val="24"/>
        </w:rPr>
        <w:t>Regulation</w:t>
      </w:r>
      <w:r w:rsidRPr="00012C17">
        <w:rPr>
          <w:bCs/>
          <w:iCs/>
          <w:color w:val="000000"/>
          <w:sz w:val="24"/>
        </w:rPr>
        <w:t xml:space="preserve"> 04/2015 on investigation proceedings</w:t>
      </w:r>
      <w:r w:rsidR="00993298" w:rsidRPr="00012C17">
        <w:rPr>
          <w:bCs/>
          <w:iCs/>
          <w:color w:val="000000"/>
          <w:sz w:val="24"/>
        </w:rPr>
        <w:t xml:space="preserve"> of</w:t>
      </w:r>
      <w:r w:rsidR="00265D47" w:rsidRPr="00012C17">
        <w:rPr>
          <w:bCs/>
          <w:iCs/>
          <w:color w:val="000000"/>
          <w:sz w:val="24"/>
        </w:rPr>
        <w:t xml:space="preserve"> election</w:t>
      </w:r>
      <w:r w:rsidR="00993298" w:rsidRPr="00012C17">
        <w:rPr>
          <w:bCs/>
          <w:iCs/>
          <w:color w:val="000000"/>
          <w:sz w:val="24"/>
        </w:rPr>
        <w:t>s</w:t>
      </w:r>
      <w:r w:rsidR="00265D47" w:rsidRPr="00012C17">
        <w:rPr>
          <w:bCs/>
          <w:iCs/>
          <w:color w:val="000000"/>
          <w:sz w:val="24"/>
        </w:rPr>
        <w:t xml:space="preserve"> material</w:t>
      </w:r>
      <w:r w:rsidRPr="00012C17">
        <w:rPr>
          <w:bCs/>
          <w:iCs/>
          <w:color w:val="000000"/>
          <w:sz w:val="24"/>
        </w:rPr>
        <w:t>, with a view to verifying the Applicants' claims regarding the discrepancies of the final result,</w:t>
      </w:r>
      <w:r w:rsidR="006E52F9" w:rsidRPr="00012C17">
        <w:rPr>
          <w:bCs/>
          <w:iCs/>
          <w:color w:val="000000"/>
          <w:sz w:val="24"/>
        </w:rPr>
        <w:t xml:space="preserve"> </w:t>
      </w:r>
      <w:r w:rsidRPr="00012C17">
        <w:rPr>
          <w:bCs/>
          <w:iCs/>
          <w:color w:val="000000"/>
          <w:sz w:val="24"/>
        </w:rPr>
        <w:t xml:space="preserve">established the Investigative Team, according to the case file, consisting of 8 judges and 10 officers of the </w:t>
      </w:r>
      <w:r w:rsidR="00E74F02" w:rsidRPr="00012C17">
        <w:rPr>
          <w:bCs/>
          <w:iCs/>
          <w:color w:val="000000"/>
          <w:sz w:val="24"/>
        </w:rPr>
        <w:t>S</w:t>
      </w:r>
      <w:r w:rsidRPr="00012C17">
        <w:rPr>
          <w:bCs/>
          <w:iCs/>
          <w:color w:val="000000"/>
          <w:sz w:val="24"/>
        </w:rPr>
        <w:t xml:space="preserve">ecretariat. The Court notes that the election materials and the manner of investigation of each category of election material are correctly defined by the respective ECAP Regulations. These investigative teams after the completion of the investigations are obliged according to the respective </w:t>
      </w:r>
      <w:r w:rsidR="00E74F02" w:rsidRPr="00012C17">
        <w:rPr>
          <w:bCs/>
          <w:iCs/>
          <w:color w:val="000000"/>
          <w:sz w:val="24"/>
        </w:rPr>
        <w:t>rules</w:t>
      </w:r>
      <w:r w:rsidRPr="00012C17">
        <w:rPr>
          <w:bCs/>
          <w:iCs/>
          <w:color w:val="000000"/>
          <w:sz w:val="24"/>
        </w:rPr>
        <w:t xml:space="preserve"> to compile a minutes based on all electoral materials investigated. This material is then submitted to the ECAP for further consideration. </w:t>
      </w:r>
      <w:r w:rsidR="00E74F02" w:rsidRPr="00012C17">
        <w:rPr>
          <w:bCs/>
          <w:iCs/>
          <w:color w:val="000000"/>
          <w:sz w:val="24"/>
        </w:rPr>
        <w:t xml:space="preserve">The findings of the investigative teams on the basis of the aforementioned law may result in ECAP decision on the recount of ballots. </w:t>
      </w:r>
      <w:r w:rsidRPr="00012C17">
        <w:rPr>
          <w:bCs/>
          <w:iCs/>
          <w:color w:val="000000"/>
          <w:sz w:val="24"/>
        </w:rPr>
        <w:t>The Decision [ZL. A</w:t>
      </w:r>
      <w:r w:rsidR="00993298" w:rsidRPr="00012C17">
        <w:rPr>
          <w:bCs/>
          <w:iCs/>
          <w:color w:val="000000"/>
          <w:sz w:val="24"/>
        </w:rPr>
        <w:t xml:space="preserve">. </w:t>
      </w:r>
      <w:r w:rsidRPr="00012C17">
        <w:rPr>
          <w:bCs/>
          <w:iCs/>
          <w:color w:val="000000"/>
          <w:sz w:val="24"/>
        </w:rPr>
        <w:t xml:space="preserve">no. 1125/2017] of 1 December 2017 </w:t>
      </w:r>
      <w:r w:rsidR="00993298" w:rsidRPr="00012C17">
        <w:rPr>
          <w:bCs/>
          <w:iCs/>
          <w:color w:val="000000"/>
          <w:sz w:val="24"/>
        </w:rPr>
        <w:t xml:space="preserve">of ECAP </w:t>
      </w:r>
      <w:r w:rsidRPr="00012C17">
        <w:rPr>
          <w:bCs/>
          <w:iCs/>
          <w:color w:val="000000"/>
          <w:sz w:val="24"/>
        </w:rPr>
        <w:t>reflects this procedure and concludes that after reviewing the material of the investigative teams, according to the ECAP, the final result announced by the CEC was confirmed</w:t>
      </w:r>
      <w:r w:rsidRPr="00012C17">
        <w:rPr>
          <w:rFonts w:cs="Arial"/>
          <w:color w:val="000000"/>
          <w:sz w:val="24"/>
        </w:rPr>
        <w:t xml:space="preserve">. </w:t>
      </w:r>
      <w:r w:rsidR="00E74F02" w:rsidRPr="00012C17">
        <w:rPr>
          <w:rFonts w:cs="Arial"/>
          <w:color w:val="000000"/>
          <w:sz w:val="24"/>
        </w:rPr>
        <w:t>Consequently, the Court not</w:t>
      </w:r>
      <w:r w:rsidR="0031438F" w:rsidRPr="00012C17">
        <w:rPr>
          <w:rFonts w:cs="Arial"/>
          <w:color w:val="000000"/>
          <w:sz w:val="24"/>
        </w:rPr>
        <w:t>e</w:t>
      </w:r>
      <w:r w:rsidR="00E74F02" w:rsidRPr="00012C17">
        <w:rPr>
          <w:rFonts w:cs="Arial"/>
          <w:color w:val="000000"/>
          <w:sz w:val="24"/>
        </w:rPr>
        <w:t>s that the challenged procedure relates to the ECAP investigation procedure rather than to a recount or counting procedure, the principle of transparency guaranteed by Article 101 of the LGE.</w:t>
      </w:r>
    </w:p>
    <w:p w:rsidR="008F7C73" w:rsidRPr="00012C17" w:rsidRDefault="008F7C73" w:rsidP="001B11C5">
      <w:pPr>
        <w:tabs>
          <w:tab w:val="left" w:pos="540"/>
        </w:tabs>
        <w:spacing w:line="240" w:lineRule="auto"/>
        <w:ind w:left="540" w:hanging="540"/>
        <w:rPr>
          <w:rFonts w:cs="Arial"/>
          <w:color w:val="000000"/>
          <w:sz w:val="24"/>
        </w:rPr>
      </w:pPr>
    </w:p>
    <w:p w:rsidR="008F7C73" w:rsidRPr="00012C17" w:rsidRDefault="008F7C73" w:rsidP="001B11C5">
      <w:pPr>
        <w:numPr>
          <w:ilvl w:val="0"/>
          <w:numId w:val="1"/>
        </w:numPr>
        <w:spacing w:line="240" w:lineRule="auto"/>
        <w:ind w:left="630" w:hanging="630"/>
        <w:rPr>
          <w:rFonts w:cs="Arial"/>
          <w:color w:val="000000"/>
          <w:sz w:val="24"/>
        </w:rPr>
      </w:pPr>
      <w:r w:rsidRPr="00012C17">
        <w:rPr>
          <w:rFonts w:cs="Arial"/>
          <w:color w:val="000000"/>
          <w:sz w:val="24"/>
        </w:rPr>
        <w:lastRenderedPageBreak/>
        <w:t>Furthermore, the Applicant's allegations in this context do not fall within the scope of other constitutional</w:t>
      </w:r>
      <w:r w:rsidR="00504B93" w:rsidRPr="00012C17">
        <w:rPr>
          <w:rFonts w:cs="Arial"/>
          <w:color w:val="000000"/>
          <w:sz w:val="24"/>
        </w:rPr>
        <w:t xml:space="preserve"> guarantees</w:t>
      </w:r>
      <w:r w:rsidRPr="00012C17">
        <w:rPr>
          <w:rFonts w:cs="Arial"/>
          <w:color w:val="000000"/>
          <w:sz w:val="24"/>
        </w:rPr>
        <w:t xml:space="preserve">, legal or those established by the Venice Commission relating to an </w:t>
      </w:r>
      <w:r w:rsidR="00504B93" w:rsidRPr="00012C17">
        <w:rPr>
          <w:rFonts w:cs="Arial"/>
          <w:color w:val="000000"/>
          <w:sz w:val="24"/>
        </w:rPr>
        <w:t>“</w:t>
      </w:r>
      <w:r w:rsidRPr="00012C17">
        <w:rPr>
          <w:rFonts w:cs="Arial"/>
          <w:i/>
          <w:iCs/>
          <w:color w:val="000000"/>
          <w:sz w:val="24"/>
        </w:rPr>
        <w:t>effective complaint system</w:t>
      </w:r>
      <w:r w:rsidR="00504B93" w:rsidRPr="00012C17">
        <w:rPr>
          <w:rFonts w:cs="Arial"/>
          <w:color w:val="000000"/>
          <w:sz w:val="24"/>
        </w:rPr>
        <w:t>”</w:t>
      </w:r>
      <w:r w:rsidRPr="00012C17">
        <w:rPr>
          <w:rFonts w:cs="Arial"/>
          <w:color w:val="000000"/>
          <w:sz w:val="24"/>
        </w:rPr>
        <w:t xml:space="preserve">, including the right to a transparent </w:t>
      </w:r>
      <w:r w:rsidR="00504B93" w:rsidRPr="00012C17">
        <w:rPr>
          <w:rFonts w:cs="Arial"/>
          <w:color w:val="000000"/>
          <w:sz w:val="24"/>
        </w:rPr>
        <w:t>complaint</w:t>
      </w:r>
      <w:r w:rsidR="00927B10" w:rsidRPr="00012C17">
        <w:rPr>
          <w:rFonts w:cs="Arial"/>
          <w:color w:val="000000"/>
          <w:sz w:val="24"/>
        </w:rPr>
        <w:t xml:space="preserve"> procedure (s</w:t>
      </w:r>
      <w:r w:rsidRPr="00012C17">
        <w:rPr>
          <w:rFonts w:cs="Arial"/>
          <w:color w:val="000000"/>
          <w:sz w:val="24"/>
        </w:rPr>
        <w:t xml:space="preserve">ee </w:t>
      </w:r>
      <w:r w:rsidR="000C7C4D" w:rsidRPr="00012C17">
        <w:rPr>
          <w:rFonts w:cs="Arial"/>
          <w:color w:val="000000"/>
          <w:sz w:val="24"/>
        </w:rPr>
        <w:t xml:space="preserve">Report on </w:t>
      </w:r>
      <w:r w:rsidRPr="00012C17">
        <w:rPr>
          <w:rFonts w:cs="Arial"/>
          <w:color w:val="000000"/>
          <w:sz w:val="24"/>
        </w:rPr>
        <w:t xml:space="preserve">Dispute Resolution item 2, paragraph 111); or even the publication of complaints, appeals, responses and decisions. (See </w:t>
      </w:r>
      <w:r w:rsidR="000C7C4D" w:rsidRPr="00012C17">
        <w:rPr>
          <w:rFonts w:cs="Arial"/>
          <w:color w:val="000000"/>
          <w:sz w:val="24"/>
        </w:rPr>
        <w:t xml:space="preserve">Report on </w:t>
      </w:r>
      <w:r w:rsidRPr="00012C17">
        <w:rPr>
          <w:rFonts w:cs="Arial"/>
          <w:color w:val="000000"/>
          <w:sz w:val="24"/>
        </w:rPr>
        <w:t xml:space="preserve">Dispute Resolution, item 6, paragraph 100). Finally, the Court also notes that this </w:t>
      </w:r>
      <w:r w:rsidR="000C7C4D" w:rsidRPr="00012C17">
        <w:rPr>
          <w:rFonts w:cs="Arial"/>
          <w:color w:val="000000"/>
          <w:sz w:val="24"/>
        </w:rPr>
        <w:t>allegation</w:t>
      </w:r>
      <w:r w:rsidRPr="00012C17">
        <w:rPr>
          <w:rFonts w:cs="Arial"/>
          <w:color w:val="000000"/>
          <w:sz w:val="24"/>
        </w:rPr>
        <w:t xml:space="preserve"> was not filed by the Applicants </w:t>
      </w:r>
      <w:r w:rsidR="00504B93" w:rsidRPr="00012C17">
        <w:rPr>
          <w:rFonts w:cs="Arial"/>
          <w:color w:val="000000"/>
          <w:sz w:val="24"/>
        </w:rPr>
        <w:t>with</w:t>
      </w:r>
      <w:r w:rsidRPr="00012C17">
        <w:rPr>
          <w:rFonts w:cs="Arial"/>
          <w:color w:val="000000"/>
          <w:sz w:val="24"/>
        </w:rPr>
        <w:t xml:space="preserve"> the Supreme Court and the latter </w:t>
      </w:r>
      <w:r w:rsidR="00504B93" w:rsidRPr="00012C17">
        <w:rPr>
          <w:rFonts w:cs="Arial"/>
          <w:color w:val="000000"/>
          <w:sz w:val="24"/>
        </w:rPr>
        <w:t>was</w:t>
      </w:r>
      <w:r w:rsidRPr="00012C17">
        <w:rPr>
          <w:rFonts w:cs="Arial"/>
          <w:color w:val="000000"/>
          <w:sz w:val="24"/>
        </w:rPr>
        <w:t xml:space="preserve"> not given the opportunity to respond to that </w:t>
      </w:r>
      <w:r w:rsidR="000C7C4D" w:rsidRPr="00012C17">
        <w:rPr>
          <w:rFonts w:cs="Arial"/>
          <w:color w:val="000000"/>
          <w:sz w:val="24"/>
        </w:rPr>
        <w:t>allegation</w:t>
      </w:r>
      <w:r w:rsidRPr="00012C17">
        <w:rPr>
          <w:rFonts w:cs="Arial"/>
          <w:color w:val="000000"/>
          <w:sz w:val="24"/>
        </w:rPr>
        <w:t>.</w:t>
      </w:r>
    </w:p>
    <w:p w:rsidR="00504B93" w:rsidRPr="00012C17" w:rsidRDefault="00504B93" w:rsidP="001B11C5">
      <w:pPr>
        <w:tabs>
          <w:tab w:val="left" w:pos="540"/>
        </w:tabs>
        <w:spacing w:line="240" w:lineRule="auto"/>
        <w:ind w:left="540" w:hanging="540"/>
        <w:rPr>
          <w:rFonts w:cs="Arial"/>
          <w:color w:val="000000"/>
          <w:sz w:val="24"/>
        </w:rPr>
      </w:pPr>
    </w:p>
    <w:p w:rsidR="001D7440" w:rsidRPr="00012C17" w:rsidRDefault="001D7440" w:rsidP="001B11C5">
      <w:pPr>
        <w:numPr>
          <w:ilvl w:val="0"/>
          <w:numId w:val="1"/>
        </w:numPr>
        <w:spacing w:line="240" w:lineRule="auto"/>
        <w:ind w:left="630" w:hanging="630"/>
        <w:rPr>
          <w:rFonts w:cs="Helvetica"/>
          <w:color w:val="000000"/>
          <w:sz w:val="24"/>
        </w:rPr>
      </w:pPr>
      <w:r w:rsidRPr="00012C17">
        <w:rPr>
          <w:rFonts w:cs="Arial"/>
          <w:color w:val="000000"/>
          <w:sz w:val="24"/>
        </w:rPr>
        <w:t xml:space="preserve">Regarding the second, the Court recalls that the Supreme Court </w:t>
      </w:r>
      <w:r w:rsidR="00FE2A34" w:rsidRPr="00012C17">
        <w:rPr>
          <w:rFonts w:cs="Arial"/>
          <w:color w:val="000000"/>
          <w:sz w:val="24"/>
        </w:rPr>
        <w:t>rendered</w:t>
      </w:r>
      <w:r w:rsidRPr="00012C17">
        <w:rPr>
          <w:rFonts w:cs="Arial"/>
          <w:color w:val="000000"/>
          <w:sz w:val="24"/>
        </w:rPr>
        <w:t xml:space="preserve"> its </w:t>
      </w:r>
      <w:r w:rsidR="000C7C4D" w:rsidRPr="00012C17">
        <w:rPr>
          <w:rFonts w:cs="Arial"/>
          <w:color w:val="000000"/>
          <w:sz w:val="24"/>
        </w:rPr>
        <w:t>f</w:t>
      </w:r>
      <w:r w:rsidRPr="00012C17">
        <w:rPr>
          <w:rFonts w:cs="Arial"/>
          <w:color w:val="000000"/>
          <w:sz w:val="24"/>
        </w:rPr>
        <w:t xml:space="preserve">irst Decision [AA. No. 52/2017] by which it approved the appeal of </w:t>
      </w:r>
      <w:r w:rsidR="00F05E0A" w:rsidRPr="00012C17">
        <w:rPr>
          <w:rFonts w:cs="Arial"/>
          <w:color w:val="000000"/>
          <w:sz w:val="24"/>
        </w:rPr>
        <w:t>VETËVENDOSJE! Movement</w:t>
      </w:r>
      <w:r w:rsidRPr="00012C17">
        <w:rPr>
          <w:rFonts w:cs="Arial"/>
          <w:color w:val="000000"/>
          <w:sz w:val="24"/>
        </w:rPr>
        <w:t xml:space="preserve"> as grounded and modified Decision [ZL. A. No. 1102/2017] of 22 November 2017 of the ECAP, so that the appeal of the second applicant was rejected as ungrounded. The Court notes that the Supreme Court did not explicitly provide the </w:t>
      </w:r>
      <w:r w:rsidR="000C7C4D" w:rsidRPr="00012C17">
        <w:rPr>
          <w:rFonts w:cs="Arial"/>
          <w:color w:val="000000"/>
          <w:sz w:val="24"/>
        </w:rPr>
        <w:t>annulment</w:t>
      </w:r>
      <w:r w:rsidRPr="00012C17">
        <w:rPr>
          <w:rFonts w:cs="Arial"/>
          <w:color w:val="000000"/>
          <w:sz w:val="24"/>
        </w:rPr>
        <w:t xml:space="preserve"> of the CEC Decision. However, the Court </w:t>
      </w:r>
      <w:r w:rsidR="0011358E" w:rsidRPr="00012C17">
        <w:rPr>
          <w:rFonts w:cs="Arial"/>
          <w:color w:val="000000"/>
          <w:sz w:val="24"/>
        </w:rPr>
        <w:t xml:space="preserve">also </w:t>
      </w:r>
      <w:r w:rsidRPr="00012C17">
        <w:rPr>
          <w:rFonts w:cs="Arial"/>
          <w:color w:val="000000"/>
          <w:sz w:val="24"/>
        </w:rPr>
        <w:t xml:space="preserve">notes that pursuant to </w:t>
      </w:r>
      <w:r w:rsidR="00993298" w:rsidRPr="00012C17">
        <w:rPr>
          <w:rFonts w:cs="Arial"/>
          <w:color w:val="000000"/>
          <w:sz w:val="24"/>
        </w:rPr>
        <w:t xml:space="preserve">paragraph 3 of Article 12 of the Law on Amendment and Supplementation of LGE in conjunction with </w:t>
      </w:r>
      <w:r w:rsidRPr="00012C17">
        <w:rPr>
          <w:rFonts w:cs="Arial"/>
          <w:color w:val="000000"/>
          <w:sz w:val="24"/>
        </w:rPr>
        <w:t>paragraph 5 of Article 118</w:t>
      </w:r>
      <w:r w:rsidR="0011358E" w:rsidRPr="00012C17">
        <w:rPr>
          <w:rFonts w:cs="Arial"/>
          <w:color w:val="000000"/>
          <w:sz w:val="24"/>
        </w:rPr>
        <w:t xml:space="preserve"> of LGE</w:t>
      </w:r>
      <w:r w:rsidRPr="00012C17">
        <w:rPr>
          <w:rFonts w:cs="Arial"/>
          <w:color w:val="000000"/>
          <w:sz w:val="24"/>
        </w:rPr>
        <w:t>, the ECAP decision is mandatory to be implemented by the CEC, unless the allowed appeal is filed within the prescribed time limit and the Supreme Court determines otherwise</w:t>
      </w:r>
      <w:r w:rsidRPr="00012C17">
        <w:rPr>
          <w:rFonts w:cs="Helvetica"/>
          <w:color w:val="000000"/>
          <w:sz w:val="24"/>
        </w:rPr>
        <w:t>.</w:t>
      </w:r>
    </w:p>
    <w:p w:rsidR="00FE2A34" w:rsidRPr="00012C17" w:rsidRDefault="00FE2A34" w:rsidP="001B11C5">
      <w:pPr>
        <w:tabs>
          <w:tab w:val="left" w:pos="540"/>
        </w:tabs>
        <w:spacing w:line="240" w:lineRule="auto"/>
        <w:ind w:left="540" w:hanging="540"/>
        <w:rPr>
          <w:rFonts w:cs="Helvetica"/>
          <w:color w:val="000000"/>
          <w:sz w:val="24"/>
        </w:rPr>
      </w:pPr>
    </w:p>
    <w:p w:rsidR="001D7440" w:rsidRPr="00012C17" w:rsidRDefault="001D7440" w:rsidP="001B11C5">
      <w:pPr>
        <w:numPr>
          <w:ilvl w:val="0"/>
          <w:numId w:val="1"/>
        </w:numPr>
        <w:spacing w:line="240" w:lineRule="auto"/>
        <w:ind w:left="630" w:hanging="630"/>
        <w:rPr>
          <w:color w:val="000000"/>
          <w:sz w:val="24"/>
        </w:rPr>
      </w:pPr>
      <w:r w:rsidRPr="00012C17">
        <w:rPr>
          <w:rFonts w:cs="Tahoma"/>
          <w:bCs/>
          <w:color w:val="000000"/>
          <w:sz w:val="24"/>
        </w:rPr>
        <w:t>Thirdly and finally, with regard to the destruction of the election material and the respective violation of the principle of transparency, the Court notes</w:t>
      </w:r>
      <w:r w:rsidR="00927B10" w:rsidRPr="00012C17">
        <w:rPr>
          <w:rFonts w:cs="Tahoma"/>
          <w:bCs/>
          <w:color w:val="000000"/>
          <w:sz w:val="24"/>
        </w:rPr>
        <w:t xml:space="preserve"> that:</w:t>
      </w:r>
      <w:r w:rsidRPr="00012C17">
        <w:rPr>
          <w:rFonts w:cs="Tahoma"/>
          <w:bCs/>
          <w:color w:val="000000"/>
          <w:sz w:val="24"/>
        </w:rPr>
        <w:t xml:space="preserve"> (i) the Applicants do not challenge the </w:t>
      </w:r>
      <w:r w:rsidRPr="00012C17">
        <w:rPr>
          <w:rFonts w:cs="Arial"/>
          <w:color w:val="000000"/>
          <w:sz w:val="24"/>
        </w:rPr>
        <w:t>respective</w:t>
      </w:r>
      <w:r w:rsidRPr="00012C17">
        <w:rPr>
          <w:rFonts w:cs="Tahoma"/>
          <w:bCs/>
          <w:color w:val="000000"/>
          <w:sz w:val="24"/>
        </w:rPr>
        <w:t xml:space="preserve"> CEC Decision on destruction of the election material. Therefore, the issues raised by this allegation do not meet the admissibility criteria set forth in paragraph 7 of Article 113 of the Constitution and Articles 47 and 48 of the Law; (ii) the issue of the destruction of the election material is determined by paragraph 4 of Article 103 of the LGE, according to which “</w:t>
      </w:r>
      <w:r w:rsidRPr="00012C17">
        <w:rPr>
          <w:rFonts w:cs="Tahoma"/>
          <w:bCs/>
          <w:i/>
          <w:iCs/>
          <w:color w:val="000000"/>
          <w:sz w:val="24"/>
        </w:rPr>
        <w:t xml:space="preserve">the </w:t>
      </w:r>
      <w:r w:rsidRPr="00012C17">
        <w:rPr>
          <w:i/>
          <w:iCs/>
          <w:color w:val="000000"/>
          <w:sz w:val="24"/>
        </w:rPr>
        <w:t>CEC shall, by decision after the official certification of the results of the election, destroy specified election materials at an appropriate time within 60 days, except as directed by ECAC</w:t>
      </w:r>
      <w:r w:rsidRPr="00012C17">
        <w:rPr>
          <w:rFonts w:cs="Tahoma"/>
          <w:bCs/>
          <w:color w:val="000000"/>
          <w:sz w:val="24"/>
        </w:rPr>
        <w:t xml:space="preserve">”. The Court notes that the Applicants are not authorized parties to raise the issue of compliance of the laws with the Constitution before the Court; and (iii) from the case file it results that the Applicants have never requested the storage of election material in the CEC, ECAP or even in </w:t>
      </w:r>
      <w:r w:rsidR="00FE2A34" w:rsidRPr="00012C17">
        <w:rPr>
          <w:rFonts w:cs="Tahoma"/>
          <w:bCs/>
          <w:color w:val="000000"/>
          <w:sz w:val="24"/>
        </w:rPr>
        <w:t>Constitutional Court</w:t>
      </w:r>
      <w:r w:rsidRPr="00012C17">
        <w:rPr>
          <w:rFonts w:cs="Tahoma"/>
          <w:bCs/>
          <w:color w:val="000000"/>
          <w:sz w:val="24"/>
        </w:rPr>
        <w:t xml:space="preserve"> based on Article 27 on Interim Measures of the Law</w:t>
      </w:r>
      <w:r w:rsidRPr="00012C17">
        <w:rPr>
          <w:color w:val="000000"/>
          <w:sz w:val="24"/>
        </w:rPr>
        <w:t xml:space="preserve">. </w:t>
      </w:r>
    </w:p>
    <w:p w:rsidR="00FE2A34" w:rsidRPr="00012C17" w:rsidRDefault="00FE2A34" w:rsidP="001B11C5">
      <w:pPr>
        <w:tabs>
          <w:tab w:val="left" w:pos="540"/>
        </w:tabs>
        <w:spacing w:line="240" w:lineRule="auto"/>
        <w:ind w:left="540" w:hanging="540"/>
        <w:rPr>
          <w:color w:val="000000"/>
          <w:sz w:val="24"/>
        </w:rPr>
      </w:pPr>
    </w:p>
    <w:p w:rsidR="00A07553" w:rsidRPr="00012C17" w:rsidRDefault="00A07553" w:rsidP="001B11C5">
      <w:pPr>
        <w:numPr>
          <w:ilvl w:val="0"/>
          <w:numId w:val="1"/>
        </w:numPr>
        <w:spacing w:line="240" w:lineRule="auto"/>
        <w:ind w:left="630" w:hanging="630"/>
        <w:rPr>
          <w:rFonts w:cs="Arial"/>
          <w:bCs/>
          <w:iCs/>
          <w:color w:val="000000"/>
          <w:sz w:val="24"/>
        </w:rPr>
      </w:pPr>
      <w:r w:rsidRPr="00012C17">
        <w:rPr>
          <w:color w:val="000000"/>
          <w:sz w:val="24"/>
        </w:rPr>
        <w:t xml:space="preserve">Based on the foregoing and taking into account the allegations raised in the circumstances of the present case </w:t>
      </w:r>
      <w:r w:rsidRPr="00012C17">
        <w:rPr>
          <w:rFonts w:cs="Arial"/>
          <w:color w:val="000000"/>
          <w:sz w:val="24"/>
        </w:rPr>
        <w:t>and</w:t>
      </w:r>
      <w:r w:rsidRPr="00012C17">
        <w:rPr>
          <w:color w:val="000000"/>
          <w:sz w:val="24"/>
        </w:rPr>
        <w:t xml:space="preserve"> the facts presented, the Court</w:t>
      </w:r>
      <w:r w:rsidR="00925892" w:rsidRPr="00012C17">
        <w:rPr>
          <w:color w:val="000000"/>
          <w:sz w:val="24"/>
        </w:rPr>
        <w:t>,</w:t>
      </w:r>
      <w:r w:rsidRPr="00012C17">
        <w:rPr>
          <w:color w:val="000000"/>
          <w:sz w:val="24"/>
        </w:rPr>
        <w:t xml:space="preserve"> also based on the standards established in its </w:t>
      </w:r>
      <w:r w:rsidR="00012C17" w:rsidRPr="00012C17">
        <w:rPr>
          <w:color w:val="000000"/>
          <w:sz w:val="24"/>
        </w:rPr>
        <w:t>case-law</w:t>
      </w:r>
      <w:r w:rsidRPr="00012C17">
        <w:rPr>
          <w:color w:val="000000"/>
          <w:sz w:val="24"/>
        </w:rPr>
        <w:t xml:space="preserve"> and </w:t>
      </w:r>
      <w:r w:rsidR="00012C17" w:rsidRPr="00012C17">
        <w:rPr>
          <w:color w:val="000000"/>
          <w:sz w:val="24"/>
        </w:rPr>
        <w:t>case-law</w:t>
      </w:r>
      <w:r w:rsidRPr="00012C17">
        <w:rPr>
          <w:color w:val="000000"/>
          <w:sz w:val="24"/>
        </w:rPr>
        <w:t xml:space="preserve"> of the EC</w:t>
      </w:r>
      <w:r w:rsidR="00925892" w:rsidRPr="00012C17">
        <w:rPr>
          <w:color w:val="000000"/>
          <w:sz w:val="24"/>
        </w:rPr>
        <w:t>t</w:t>
      </w:r>
      <w:r w:rsidRPr="00012C17">
        <w:rPr>
          <w:color w:val="000000"/>
          <w:sz w:val="24"/>
        </w:rPr>
        <w:t>HR and the standards summarized by the Venice Commission, finds that</w:t>
      </w:r>
      <w:r w:rsidR="00A267F2" w:rsidRPr="00012C17">
        <w:rPr>
          <w:color w:val="000000"/>
          <w:sz w:val="24"/>
        </w:rPr>
        <w:t>:</w:t>
      </w:r>
      <w:r w:rsidRPr="00012C17">
        <w:rPr>
          <w:color w:val="000000"/>
          <w:sz w:val="24"/>
        </w:rPr>
        <w:t xml:space="preserve"> </w:t>
      </w:r>
      <w:r w:rsidR="00FE2A34" w:rsidRPr="00012C17">
        <w:rPr>
          <w:color w:val="000000"/>
          <w:sz w:val="24"/>
        </w:rPr>
        <w:t xml:space="preserve">(i) </w:t>
      </w:r>
      <w:r w:rsidRPr="00012C17">
        <w:rPr>
          <w:color w:val="000000"/>
          <w:sz w:val="24"/>
        </w:rPr>
        <w:t xml:space="preserve">the </w:t>
      </w:r>
      <w:r w:rsidR="000C7C4D" w:rsidRPr="00012C17">
        <w:rPr>
          <w:color w:val="000000"/>
          <w:sz w:val="24"/>
        </w:rPr>
        <w:t>f</w:t>
      </w:r>
      <w:r w:rsidRPr="00012C17">
        <w:rPr>
          <w:color w:val="000000"/>
          <w:sz w:val="24"/>
        </w:rPr>
        <w:t xml:space="preserve">irst Decision of the Supreme Court, namely the Decision [AA. No. 52/2017] of 25 November 2017 was not </w:t>
      </w:r>
      <w:r w:rsidR="00FE2A34" w:rsidRPr="00012C17">
        <w:rPr>
          <w:color w:val="000000"/>
          <w:sz w:val="24"/>
        </w:rPr>
        <w:t>rendered</w:t>
      </w:r>
      <w:r w:rsidRPr="00012C17">
        <w:rPr>
          <w:color w:val="000000"/>
          <w:sz w:val="24"/>
        </w:rPr>
        <w:t xml:space="preserve"> in violation and </w:t>
      </w:r>
      <w:r w:rsidR="00FE2A34" w:rsidRPr="00012C17">
        <w:rPr>
          <w:color w:val="000000"/>
          <w:sz w:val="24"/>
        </w:rPr>
        <w:t>is in compliance</w:t>
      </w:r>
      <w:r w:rsidRPr="00012C17">
        <w:rPr>
          <w:color w:val="000000"/>
          <w:sz w:val="24"/>
        </w:rPr>
        <w:t xml:space="preserve"> with the </w:t>
      </w:r>
      <w:r w:rsidR="00925892" w:rsidRPr="00012C17">
        <w:rPr>
          <w:color w:val="000000"/>
          <w:sz w:val="24"/>
        </w:rPr>
        <w:t xml:space="preserve">rights to </w:t>
      </w:r>
      <w:r w:rsidR="00FE2A34" w:rsidRPr="00012C17">
        <w:rPr>
          <w:color w:val="000000"/>
          <w:sz w:val="24"/>
        </w:rPr>
        <w:t>freedom of</w:t>
      </w:r>
      <w:r w:rsidRPr="00012C17">
        <w:rPr>
          <w:color w:val="000000"/>
          <w:sz w:val="24"/>
        </w:rPr>
        <w:t xml:space="preserve"> election and participation guaranteed by Article 45</w:t>
      </w:r>
      <w:r w:rsidR="0011358E" w:rsidRPr="00012C17">
        <w:rPr>
          <w:color w:val="000000"/>
          <w:sz w:val="24"/>
        </w:rPr>
        <w:t xml:space="preserve"> of the Constitution</w:t>
      </w:r>
      <w:r w:rsidRPr="00012C17">
        <w:rPr>
          <w:color w:val="000000"/>
          <w:sz w:val="24"/>
        </w:rPr>
        <w:t xml:space="preserve">, in conjunction with the right to free elections guaranteed by Article 3 of Protocol </w:t>
      </w:r>
      <w:r w:rsidR="00925892" w:rsidRPr="00012C17">
        <w:rPr>
          <w:color w:val="000000"/>
          <w:sz w:val="24"/>
        </w:rPr>
        <w:t xml:space="preserve">No. </w:t>
      </w:r>
      <w:r w:rsidRPr="00012C17">
        <w:rPr>
          <w:color w:val="000000"/>
          <w:sz w:val="24"/>
        </w:rPr>
        <w:t>1 to the ECHR, of the political entity L</w:t>
      </w:r>
      <w:r w:rsidR="00A267F2" w:rsidRPr="00012C17">
        <w:rPr>
          <w:color w:val="000000"/>
          <w:sz w:val="24"/>
        </w:rPr>
        <w:t>DK, namely the second Applicant;</w:t>
      </w:r>
      <w:r w:rsidRPr="00012C17">
        <w:rPr>
          <w:color w:val="000000"/>
          <w:sz w:val="24"/>
        </w:rPr>
        <w:t xml:space="preserve"> and that </w:t>
      </w:r>
      <w:r w:rsidR="00FE2A34" w:rsidRPr="00012C17">
        <w:rPr>
          <w:color w:val="000000"/>
          <w:sz w:val="24"/>
        </w:rPr>
        <w:t xml:space="preserve">(ii) </w:t>
      </w:r>
      <w:r w:rsidRPr="00012C17">
        <w:rPr>
          <w:color w:val="000000"/>
          <w:sz w:val="24"/>
        </w:rPr>
        <w:t xml:space="preserve">the </w:t>
      </w:r>
      <w:r w:rsidR="000C7C4D" w:rsidRPr="00012C17">
        <w:rPr>
          <w:color w:val="000000"/>
          <w:sz w:val="24"/>
        </w:rPr>
        <w:t>s</w:t>
      </w:r>
      <w:r w:rsidRPr="00012C17">
        <w:rPr>
          <w:color w:val="000000"/>
          <w:sz w:val="24"/>
        </w:rPr>
        <w:t>econd Decision of the Supreme Court, namely</w:t>
      </w:r>
      <w:r w:rsidR="00BF4613" w:rsidRPr="00012C17">
        <w:rPr>
          <w:color w:val="000000"/>
          <w:sz w:val="24"/>
        </w:rPr>
        <w:t xml:space="preserve"> Judgment</w:t>
      </w:r>
      <w:r w:rsidRPr="00012C17">
        <w:rPr>
          <w:color w:val="000000"/>
          <w:sz w:val="24"/>
        </w:rPr>
        <w:t xml:space="preserve"> [A</w:t>
      </w:r>
      <w:r w:rsidR="006634E8" w:rsidRPr="00012C17">
        <w:rPr>
          <w:color w:val="000000"/>
          <w:sz w:val="24"/>
        </w:rPr>
        <w:t>.</w:t>
      </w:r>
      <w:r w:rsidRPr="00012C17">
        <w:rPr>
          <w:color w:val="000000"/>
          <w:sz w:val="24"/>
        </w:rPr>
        <w:t>A.</w:t>
      </w:r>
      <w:r w:rsidR="006634E8" w:rsidRPr="00012C17">
        <w:rPr>
          <w:color w:val="000000"/>
          <w:sz w:val="24"/>
        </w:rPr>
        <w:t xml:space="preserve"> </w:t>
      </w:r>
      <w:r w:rsidRPr="00012C17">
        <w:rPr>
          <w:color w:val="000000"/>
          <w:sz w:val="24"/>
        </w:rPr>
        <w:t xml:space="preserve">U.ZH. No. 62/2017] of 7 December 2017 was not rendered in </w:t>
      </w:r>
      <w:r w:rsidR="00575E5D" w:rsidRPr="00012C17">
        <w:rPr>
          <w:color w:val="000000"/>
          <w:sz w:val="24"/>
        </w:rPr>
        <w:t>violation</w:t>
      </w:r>
      <w:r w:rsidRPr="00012C17">
        <w:rPr>
          <w:color w:val="000000"/>
          <w:sz w:val="24"/>
        </w:rPr>
        <w:t xml:space="preserve"> and is in compliance with the</w:t>
      </w:r>
      <w:r w:rsidR="00925892" w:rsidRPr="00012C17">
        <w:rPr>
          <w:color w:val="000000"/>
          <w:sz w:val="24"/>
        </w:rPr>
        <w:t xml:space="preserve"> rights to</w:t>
      </w:r>
      <w:r w:rsidR="006E52F9" w:rsidRPr="00012C17">
        <w:rPr>
          <w:color w:val="000000"/>
          <w:sz w:val="24"/>
        </w:rPr>
        <w:t xml:space="preserve"> </w:t>
      </w:r>
      <w:r w:rsidR="00575E5D" w:rsidRPr="00012C17">
        <w:rPr>
          <w:color w:val="000000"/>
          <w:sz w:val="24"/>
        </w:rPr>
        <w:t>freedom of</w:t>
      </w:r>
      <w:r w:rsidRPr="00012C17">
        <w:rPr>
          <w:color w:val="000000"/>
          <w:sz w:val="24"/>
        </w:rPr>
        <w:t xml:space="preserve"> election and </w:t>
      </w:r>
      <w:r w:rsidRPr="00012C17">
        <w:rPr>
          <w:color w:val="000000"/>
          <w:sz w:val="24"/>
        </w:rPr>
        <w:lastRenderedPageBreak/>
        <w:t xml:space="preserve">participation guaranteed by Article 45 </w:t>
      </w:r>
      <w:r w:rsidR="0011358E" w:rsidRPr="00012C17">
        <w:rPr>
          <w:color w:val="000000"/>
          <w:sz w:val="24"/>
        </w:rPr>
        <w:t xml:space="preserve">of the Constitution </w:t>
      </w:r>
      <w:r w:rsidRPr="00012C17">
        <w:rPr>
          <w:color w:val="000000"/>
          <w:sz w:val="24"/>
        </w:rPr>
        <w:t xml:space="preserve">in </w:t>
      </w:r>
      <w:r w:rsidR="00575E5D" w:rsidRPr="00012C17">
        <w:rPr>
          <w:color w:val="000000"/>
          <w:sz w:val="24"/>
        </w:rPr>
        <w:t>conjunction with</w:t>
      </w:r>
      <w:r w:rsidR="006E52F9" w:rsidRPr="00012C17">
        <w:rPr>
          <w:color w:val="000000"/>
          <w:sz w:val="24"/>
        </w:rPr>
        <w:t xml:space="preserve"> </w:t>
      </w:r>
      <w:r w:rsidRPr="00012C17">
        <w:rPr>
          <w:color w:val="000000"/>
          <w:sz w:val="24"/>
        </w:rPr>
        <w:t xml:space="preserve">the right to free elections guaranteed by Article 3 of Protocol </w:t>
      </w:r>
      <w:r w:rsidR="00925892" w:rsidRPr="00012C17">
        <w:rPr>
          <w:color w:val="000000"/>
          <w:sz w:val="24"/>
        </w:rPr>
        <w:t xml:space="preserve">No. </w:t>
      </w:r>
      <w:r w:rsidRPr="00012C17">
        <w:rPr>
          <w:color w:val="000000"/>
          <w:sz w:val="24"/>
        </w:rPr>
        <w:t>1 to the ECHR, of Mr. Arban Abrashi and the political entity LDK, namely</w:t>
      </w:r>
      <w:r w:rsidR="00A267F2" w:rsidRPr="00012C17">
        <w:rPr>
          <w:color w:val="000000"/>
          <w:sz w:val="24"/>
        </w:rPr>
        <w:t xml:space="preserve"> the first and second Applicant</w:t>
      </w:r>
      <w:r w:rsidRPr="00012C17">
        <w:rPr>
          <w:bCs/>
          <w:color w:val="000000"/>
          <w:sz w:val="24"/>
        </w:rPr>
        <w:t xml:space="preserve">. </w:t>
      </w:r>
    </w:p>
    <w:p w:rsidR="000C7C4D" w:rsidRPr="00012C17" w:rsidRDefault="000C7C4D" w:rsidP="001B11C5">
      <w:pPr>
        <w:spacing w:line="240" w:lineRule="auto"/>
        <w:ind w:left="630"/>
        <w:rPr>
          <w:rFonts w:cs="Arial"/>
          <w:bCs/>
          <w:iCs/>
          <w:color w:val="000000"/>
          <w:sz w:val="24"/>
        </w:rPr>
      </w:pPr>
    </w:p>
    <w:p w:rsidR="0011358E" w:rsidRPr="00012C17" w:rsidRDefault="0011358E" w:rsidP="001B11C5">
      <w:pPr>
        <w:spacing w:line="240" w:lineRule="auto"/>
        <w:jc w:val="left"/>
        <w:rPr>
          <w:rFonts w:cs="Tahoma"/>
          <w:b/>
          <w:bCs/>
          <w:color w:val="000000"/>
          <w:sz w:val="24"/>
        </w:rPr>
      </w:pPr>
      <w:r w:rsidRPr="00012C17">
        <w:rPr>
          <w:rFonts w:cs="Tahoma"/>
          <w:b/>
          <w:bCs/>
          <w:color w:val="000000"/>
          <w:sz w:val="24"/>
        </w:rPr>
        <w:t xml:space="preserve">V. Request for hearing </w:t>
      </w:r>
    </w:p>
    <w:p w:rsidR="0011358E" w:rsidRPr="00012C17" w:rsidRDefault="0011358E" w:rsidP="001B11C5">
      <w:pPr>
        <w:spacing w:line="240" w:lineRule="auto"/>
        <w:jc w:val="left"/>
        <w:rPr>
          <w:rFonts w:cs="Tahoma"/>
          <w:b/>
          <w:bCs/>
          <w:color w:val="000000"/>
          <w:sz w:val="24"/>
        </w:rPr>
      </w:pPr>
    </w:p>
    <w:p w:rsidR="0011358E" w:rsidRPr="00012C17" w:rsidRDefault="0011358E" w:rsidP="001B11C5">
      <w:pPr>
        <w:numPr>
          <w:ilvl w:val="0"/>
          <w:numId w:val="1"/>
        </w:numPr>
        <w:spacing w:line="240" w:lineRule="auto"/>
        <w:rPr>
          <w:rFonts w:cs="Tahoma"/>
          <w:color w:val="000000"/>
          <w:sz w:val="24"/>
        </w:rPr>
      </w:pPr>
      <w:r w:rsidRPr="00012C17">
        <w:rPr>
          <w:rFonts w:cs="Tahoma"/>
          <w:color w:val="000000"/>
          <w:sz w:val="24"/>
        </w:rPr>
        <w:t xml:space="preserve">The Court recalls that the Applicants also requested the Court to schedule a </w:t>
      </w:r>
      <w:r w:rsidRPr="00012C17">
        <w:rPr>
          <w:rFonts w:cs="Tahoma"/>
          <w:color w:val="000000"/>
          <w:sz w:val="24"/>
        </w:rPr>
        <w:tab/>
        <w:t>hearing.</w:t>
      </w:r>
    </w:p>
    <w:p w:rsidR="0011358E" w:rsidRPr="00012C17" w:rsidRDefault="0011358E" w:rsidP="001B11C5">
      <w:pPr>
        <w:spacing w:line="240" w:lineRule="auto"/>
        <w:ind w:left="360"/>
        <w:rPr>
          <w:rFonts w:cs="Tahoma"/>
          <w:color w:val="000000"/>
          <w:sz w:val="24"/>
        </w:rPr>
      </w:pPr>
    </w:p>
    <w:p w:rsidR="00AC6E41" w:rsidRPr="00012C17" w:rsidRDefault="0011358E" w:rsidP="001B11C5">
      <w:pPr>
        <w:numPr>
          <w:ilvl w:val="0"/>
          <w:numId w:val="1"/>
        </w:numPr>
        <w:spacing w:line="240" w:lineRule="auto"/>
        <w:ind w:left="720" w:hanging="720"/>
        <w:rPr>
          <w:rFonts w:cs="Tahoma"/>
          <w:color w:val="000000"/>
          <w:sz w:val="24"/>
        </w:rPr>
      </w:pPr>
      <w:r w:rsidRPr="00012C17">
        <w:rPr>
          <w:rFonts w:cs="Tahoma"/>
          <w:color w:val="000000"/>
          <w:sz w:val="24"/>
        </w:rPr>
        <w:t>In their justification of their request for a hearing, the Applicants stated that “</w:t>
      </w:r>
      <w:r w:rsidRPr="00012C17">
        <w:rPr>
          <w:rFonts w:cs="Tahoma"/>
          <w:i/>
          <w:iCs/>
          <w:color w:val="000000"/>
          <w:sz w:val="24"/>
        </w:rPr>
        <w:t>the principle of orality and publicity”</w:t>
      </w:r>
      <w:r w:rsidRPr="00012C17">
        <w:rPr>
          <w:rFonts w:cs="Tahoma"/>
          <w:color w:val="000000"/>
          <w:sz w:val="24"/>
        </w:rPr>
        <w:t xml:space="preserve"> is one of the fundamental principles in the constitutional procedure and as such is guaranteed at all stages of the proceedings </w:t>
      </w:r>
      <w:r w:rsidR="000C7C4D" w:rsidRPr="00012C17">
        <w:rPr>
          <w:rFonts w:cs="Tahoma"/>
          <w:color w:val="000000"/>
          <w:sz w:val="24"/>
        </w:rPr>
        <w:t>“</w:t>
      </w:r>
      <w:r w:rsidRPr="00012C17">
        <w:rPr>
          <w:rFonts w:cs="Tahoma"/>
          <w:i/>
          <w:iCs/>
          <w:color w:val="000000"/>
          <w:sz w:val="24"/>
        </w:rPr>
        <w:t>either before administrative bodies, regular courts or even before the Constitutional Court</w:t>
      </w:r>
      <w:r w:rsidRPr="00012C17">
        <w:rPr>
          <w:rFonts w:cs="Tahoma"/>
          <w:color w:val="000000"/>
          <w:sz w:val="24"/>
        </w:rPr>
        <w:t>”. Related to this, they noted that it can be noticed from the case file, that the Applicants “</w:t>
      </w:r>
      <w:r w:rsidRPr="00012C17">
        <w:rPr>
          <w:rFonts w:cs="Tahoma"/>
          <w:i/>
          <w:iCs/>
          <w:color w:val="000000"/>
          <w:sz w:val="24"/>
        </w:rPr>
        <w:t xml:space="preserve">have not been given the opportunity to submit their allegations in public hearing” </w:t>
      </w:r>
      <w:r w:rsidRPr="00012C17">
        <w:rPr>
          <w:rFonts w:cs="Tahoma"/>
          <w:color w:val="000000"/>
          <w:sz w:val="24"/>
        </w:rPr>
        <w:t>and that</w:t>
      </w:r>
      <w:r w:rsidRPr="00012C17">
        <w:rPr>
          <w:rFonts w:cs="Tahoma"/>
          <w:i/>
          <w:iCs/>
          <w:color w:val="000000"/>
          <w:sz w:val="24"/>
        </w:rPr>
        <w:t xml:space="preserve"> “a situation has arisen in which it is indispensably required to present factual and legal aspects </w:t>
      </w:r>
      <w:r w:rsidR="00AC6E41" w:rsidRPr="00012C17">
        <w:rPr>
          <w:rFonts w:cs="Tahoma"/>
          <w:i/>
          <w:iCs/>
          <w:color w:val="000000"/>
          <w:sz w:val="24"/>
        </w:rPr>
        <w:t>before</w:t>
      </w:r>
      <w:r w:rsidRPr="00012C17">
        <w:rPr>
          <w:rFonts w:cs="Tahoma"/>
          <w:i/>
          <w:iCs/>
          <w:color w:val="000000"/>
          <w:sz w:val="24"/>
        </w:rPr>
        <w:t xml:space="preserve"> the trial panel, as </w:t>
      </w:r>
      <w:r w:rsidR="00AC6E41" w:rsidRPr="00012C17">
        <w:rPr>
          <w:rFonts w:cs="Tahoma"/>
          <w:i/>
          <w:iCs/>
          <w:color w:val="000000"/>
          <w:sz w:val="24"/>
        </w:rPr>
        <w:t>established</w:t>
      </w:r>
      <w:r w:rsidRPr="00012C17">
        <w:rPr>
          <w:rFonts w:cs="Tahoma"/>
          <w:i/>
          <w:iCs/>
          <w:color w:val="000000"/>
          <w:sz w:val="24"/>
        </w:rPr>
        <w:t xml:space="preserve"> in Rule 42 paragraph 2 of the Rules of Procedure of the Constitutional Court</w:t>
      </w:r>
      <w:r w:rsidR="00AC6E41" w:rsidRPr="00012C17">
        <w:rPr>
          <w:rFonts w:cs="Tahoma"/>
          <w:color w:val="000000"/>
          <w:sz w:val="24"/>
        </w:rPr>
        <w:t xml:space="preserve">”. </w:t>
      </w:r>
    </w:p>
    <w:p w:rsidR="00AC6E41" w:rsidRPr="00012C17" w:rsidRDefault="00AC6E41" w:rsidP="001B11C5">
      <w:pPr>
        <w:pStyle w:val="ListParagraph"/>
        <w:spacing w:after="0" w:line="240" w:lineRule="auto"/>
        <w:rPr>
          <w:rFonts w:cs="Tahoma"/>
          <w:color w:val="000000"/>
          <w:sz w:val="24"/>
          <w:lang w:val="en-US"/>
        </w:rPr>
      </w:pPr>
    </w:p>
    <w:p w:rsidR="00AC6E41" w:rsidRPr="00012C17" w:rsidRDefault="00AC6E41" w:rsidP="001B11C5">
      <w:pPr>
        <w:numPr>
          <w:ilvl w:val="0"/>
          <w:numId w:val="1"/>
        </w:numPr>
        <w:spacing w:line="240" w:lineRule="auto"/>
        <w:ind w:left="720" w:hanging="720"/>
        <w:rPr>
          <w:rFonts w:cs="Tahoma"/>
          <w:color w:val="000000"/>
          <w:sz w:val="24"/>
        </w:rPr>
      </w:pPr>
      <w:r w:rsidRPr="00012C17">
        <w:rPr>
          <w:rFonts w:cs="Tahoma"/>
          <w:color w:val="000000"/>
          <w:sz w:val="24"/>
        </w:rPr>
        <w:t>In this regard, the Court recalls that under paragraph (2) of Rule 42 [Right to Hearing and Waiver] of the Rules of Procedure, “</w:t>
      </w:r>
      <w:r w:rsidRPr="00012C17">
        <w:rPr>
          <w:i/>
          <w:iCs/>
          <w:color w:val="000000"/>
          <w:sz w:val="24"/>
        </w:rPr>
        <w:t>The Court may order a hearing if it believes a hearing is necessary to clarify issues of fact or of law”.</w:t>
      </w:r>
    </w:p>
    <w:p w:rsidR="000C7C4D" w:rsidRPr="00012C17" w:rsidRDefault="000C7C4D" w:rsidP="001B11C5">
      <w:pPr>
        <w:spacing w:line="240" w:lineRule="auto"/>
        <w:ind w:left="720"/>
        <w:rPr>
          <w:rFonts w:cs="Tahoma"/>
          <w:color w:val="000000"/>
          <w:sz w:val="24"/>
        </w:rPr>
      </w:pPr>
    </w:p>
    <w:p w:rsidR="00AC6E41" w:rsidRPr="00012C17" w:rsidRDefault="00AC6E41" w:rsidP="001B11C5">
      <w:pPr>
        <w:numPr>
          <w:ilvl w:val="0"/>
          <w:numId w:val="1"/>
        </w:numPr>
        <w:spacing w:line="240" w:lineRule="auto"/>
        <w:ind w:left="720" w:hanging="720"/>
        <w:rPr>
          <w:rFonts w:cs="Tahoma"/>
          <w:color w:val="000000"/>
          <w:sz w:val="24"/>
        </w:rPr>
      </w:pPr>
      <w:r w:rsidRPr="00012C17">
        <w:rPr>
          <w:rFonts w:cs="Tahoma"/>
          <w:color w:val="000000"/>
          <w:sz w:val="24"/>
        </w:rPr>
        <w:t xml:space="preserve">The Court notes that the abovementioned </w:t>
      </w:r>
      <w:r w:rsidR="00666015" w:rsidRPr="00012C17">
        <w:rPr>
          <w:rFonts w:cs="Tahoma"/>
          <w:color w:val="000000"/>
          <w:sz w:val="24"/>
        </w:rPr>
        <w:t>r</w:t>
      </w:r>
      <w:r w:rsidRPr="00012C17">
        <w:rPr>
          <w:rFonts w:cs="Tahoma"/>
          <w:color w:val="000000"/>
          <w:sz w:val="24"/>
        </w:rPr>
        <w:t xml:space="preserve">ule of Rules of Procedure is of a discretionary nature. As such, that rule only provides for the possibility for the Court to order a hearing in cases where it believes it is necessary to clarify issues of fact or law. Thus, the Court is not obliged to order a hearing if it considers that the existing evidence in the case file suffices, beyond any doubt, to reach a decision on merits in the case under consideration. (See the case of the Constitutional Court, KI34/17, Applicant </w:t>
      </w:r>
      <w:r w:rsidRPr="00012C17">
        <w:rPr>
          <w:rFonts w:cs="Tahoma"/>
          <w:i/>
          <w:iCs/>
          <w:color w:val="000000"/>
          <w:sz w:val="24"/>
        </w:rPr>
        <w:t>Valdete Daka</w:t>
      </w:r>
      <w:r w:rsidRPr="00012C17">
        <w:rPr>
          <w:rFonts w:cs="Tahoma"/>
          <w:color w:val="000000"/>
          <w:sz w:val="24"/>
        </w:rPr>
        <w:t>,</w:t>
      </w:r>
      <w:r w:rsidR="000C7C4D" w:rsidRPr="00012C17">
        <w:rPr>
          <w:rFonts w:cs="Tahoma"/>
          <w:color w:val="000000"/>
          <w:sz w:val="24"/>
        </w:rPr>
        <w:t xml:space="preserve"> Judgment of 1 June 2017, paragraphs </w:t>
      </w:r>
      <w:r w:rsidRPr="00012C17">
        <w:rPr>
          <w:rFonts w:cs="Tahoma"/>
          <w:color w:val="000000"/>
          <w:sz w:val="24"/>
        </w:rPr>
        <w:t xml:space="preserve">108-110 </w:t>
      </w:r>
      <w:r w:rsidR="00666015" w:rsidRPr="00012C17">
        <w:rPr>
          <w:rFonts w:cs="Tahoma"/>
          <w:color w:val="000000"/>
          <w:sz w:val="24"/>
        </w:rPr>
        <w:t>–</w:t>
      </w:r>
      <w:r w:rsidRPr="00012C17">
        <w:rPr>
          <w:rFonts w:cs="Tahoma"/>
          <w:color w:val="000000"/>
          <w:sz w:val="24"/>
        </w:rPr>
        <w:t xml:space="preserve"> wh</w:t>
      </w:r>
      <w:r w:rsidR="00666015" w:rsidRPr="00012C17">
        <w:rPr>
          <w:rFonts w:cs="Tahoma"/>
          <w:color w:val="000000"/>
          <w:sz w:val="24"/>
        </w:rPr>
        <w:t>ere it is</w:t>
      </w:r>
      <w:r w:rsidRPr="00012C17">
        <w:rPr>
          <w:rFonts w:cs="Tahoma"/>
          <w:color w:val="000000"/>
          <w:sz w:val="24"/>
        </w:rPr>
        <w:t xml:space="preserve"> state</w:t>
      </w:r>
      <w:r w:rsidR="00666015" w:rsidRPr="00012C17">
        <w:rPr>
          <w:rFonts w:cs="Tahoma"/>
          <w:color w:val="000000"/>
          <w:sz w:val="24"/>
        </w:rPr>
        <w:t>d</w:t>
      </w:r>
      <w:r w:rsidRPr="00012C17">
        <w:rPr>
          <w:rFonts w:cs="Tahoma"/>
          <w:color w:val="000000"/>
          <w:sz w:val="24"/>
        </w:rPr>
        <w:t xml:space="preserve"> that “</w:t>
      </w:r>
      <w:r w:rsidRPr="00012C17">
        <w:rPr>
          <w:i/>
          <w:iCs/>
          <w:color w:val="000000"/>
          <w:sz w:val="24"/>
        </w:rPr>
        <w:t>The Court considers that the documents contained in the Referral are sufficient to decide this case […]”).</w:t>
      </w:r>
    </w:p>
    <w:p w:rsidR="00AC6E41" w:rsidRPr="00012C17" w:rsidRDefault="00AC6E41" w:rsidP="001B11C5">
      <w:pPr>
        <w:pStyle w:val="ListParagraph"/>
        <w:spacing w:after="0" w:line="240" w:lineRule="auto"/>
        <w:rPr>
          <w:rFonts w:cs="Tahoma"/>
          <w:color w:val="000000"/>
          <w:sz w:val="24"/>
          <w:lang w:val="en-US"/>
        </w:rPr>
      </w:pPr>
    </w:p>
    <w:p w:rsidR="00AC6E41" w:rsidRPr="00012C17" w:rsidRDefault="00AC6E41" w:rsidP="001B11C5">
      <w:pPr>
        <w:numPr>
          <w:ilvl w:val="0"/>
          <w:numId w:val="1"/>
        </w:numPr>
        <w:spacing w:line="240" w:lineRule="auto"/>
        <w:ind w:left="720" w:hanging="720"/>
        <w:rPr>
          <w:rFonts w:cs="Tahoma"/>
          <w:color w:val="000000"/>
          <w:sz w:val="24"/>
        </w:rPr>
      </w:pPr>
      <w:r w:rsidRPr="00012C17">
        <w:rPr>
          <w:rFonts w:cs="Tahoma"/>
          <w:color w:val="000000"/>
          <w:sz w:val="24"/>
        </w:rPr>
        <w:t xml:space="preserve">In the present case, the Court does not consider that there is any ambiguity about </w:t>
      </w:r>
      <w:r w:rsidR="008C1F1A" w:rsidRPr="00012C17">
        <w:rPr>
          <w:rFonts w:cs="Tahoma"/>
          <w:color w:val="000000"/>
          <w:sz w:val="24"/>
        </w:rPr>
        <w:t>“</w:t>
      </w:r>
      <w:r w:rsidR="00666015" w:rsidRPr="00012C17">
        <w:rPr>
          <w:rFonts w:cs="Tahoma"/>
          <w:i/>
          <w:iCs/>
          <w:color w:val="000000"/>
          <w:sz w:val="24"/>
        </w:rPr>
        <w:t>facts</w:t>
      </w:r>
      <w:r w:rsidRPr="00012C17">
        <w:rPr>
          <w:rFonts w:cs="Tahoma"/>
          <w:i/>
          <w:iCs/>
          <w:color w:val="000000"/>
          <w:sz w:val="24"/>
        </w:rPr>
        <w:t xml:space="preserve"> or law</w:t>
      </w:r>
      <w:r w:rsidR="008C1F1A" w:rsidRPr="00012C17">
        <w:rPr>
          <w:rFonts w:cs="Tahoma"/>
          <w:color w:val="000000"/>
          <w:sz w:val="24"/>
        </w:rPr>
        <w:t>”</w:t>
      </w:r>
      <w:r w:rsidRPr="00012C17">
        <w:rPr>
          <w:rFonts w:cs="Tahoma"/>
          <w:color w:val="000000"/>
          <w:sz w:val="24"/>
        </w:rPr>
        <w:t xml:space="preserve"> and therefore</w:t>
      </w:r>
      <w:r w:rsidR="00BF4E71" w:rsidRPr="00012C17">
        <w:rPr>
          <w:rFonts w:cs="Tahoma"/>
          <w:color w:val="000000"/>
          <w:sz w:val="24"/>
        </w:rPr>
        <w:t>, it</w:t>
      </w:r>
      <w:r w:rsidRPr="00012C17">
        <w:rPr>
          <w:rFonts w:cs="Tahoma"/>
          <w:color w:val="000000"/>
          <w:sz w:val="24"/>
        </w:rPr>
        <w:t xml:space="preserve"> does not consider necessary to hold a hearing. The documents contained in the </w:t>
      </w:r>
      <w:r w:rsidR="008C1F1A" w:rsidRPr="00012C17">
        <w:rPr>
          <w:rFonts w:cs="Tahoma"/>
          <w:color w:val="000000"/>
          <w:sz w:val="24"/>
        </w:rPr>
        <w:t>Referral</w:t>
      </w:r>
      <w:r w:rsidRPr="00012C17">
        <w:rPr>
          <w:rFonts w:cs="Tahoma"/>
          <w:color w:val="000000"/>
          <w:sz w:val="24"/>
        </w:rPr>
        <w:t xml:space="preserve"> are sufficient to </w:t>
      </w:r>
      <w:r w:rsidR="00666015" w:rsidRPr="00012C17">
        <w:rPr>
          <w:rFonts w:cs="Tahoma"/>
          <w:color w:val="000000"/>
          <w:sz w:val="24"/>
        </w:rPr>
        <w:t xml:space="preserve">decide </w:t>
      </w:r>
      <w:r w:rsidRPr="00012C17">
        <w:rPr>
          <w:rFonts w:cs="Tahoma"/>
          <w:color w:val="000000"/>
          <w:sz w:val="24"/>
        </w:rPr>
        <w:t>the merits of this case.</w:t>
      </w:r>
    </w:p>
    <w:p w:rsidR="00AC6E41" w:rsidRPr="00012C17" w:rsidRDefault="00AC6E41" w:rsidP="001B11C5">
      <w:pPr>
        <w:spacing w:line="240" w:lineRule="auto"/>
        <w:ind w:left="720"/>
        <w:rPr>
          <w:rFonts w:cs="Tahoma"/>
          <w:color w:val="000000"/>
          <w:sz w:val="24"/>
        </w:rPr>
      </w:pPr>
    </w:p>
    <w:p w:rsidR="00AC6E41" w:rsidRPr="00012C17" w:rsidRDefault="008C1F1A" w:rsidP="001B11C5">
      <w:pPr>
        <w:numPr>
          <w:ilvl w:val="0"/>
          <w:numId w:val="1"/>
        </w:numPr>
        <w:spacing w:line="240" w:lineRule="auto"/>
        <w:ind w:left="720" w:hanging="720"/>
        <w:rPr>
          <w:rFonts w:cs="Tahoma"/>
          <w:color w:val="000000"/>
          <w:sz w:val="24"/>
        </w:rPr>
      </w:pPr>
      <w:r w:rsidRPr="00012C17">
        <w:rPr>
          <w:rFonts w:cs="Tahoma"/>
          <w:color w:val="000000"/>
          <w:sz w:val="24"/>
        </w:rPr>
        <w:t>Therefore</w:t>
      </w:r>
      <w:r w:rsidR="00AC6E41" w:rsidRPr="00012C17">
        <w:rPr>
          <w:rFonts w:cs="Tahoma"/>
          <w:color w:val="000000"/>
          <w:sz w:val="24"/>
        </w:rPr>
        <w:t>, the Court unanimously rejects the Applicants' request for a hearing as un</w:t>
      </w:r>
      <w:r w:rsidRPr="00012C17">
        <w:rPr>
          <w:rFonts w:cs="Tahoma"/>
          <w:color w:val="000000"/>
          <w:sz w:val="24"/>
        </w:rPr>
        <w:t>gr</w:t>
      </w:r>
      <w:r w:rsidR="00AC6E41" w:rsidRPr="00012C17">
        <w:rPr>
          <w:rFonts w:cs="Tahoma"/>
          <w:color w:val="000000"/>
          <w:sz w:val="24"/>
        </w:rPr>
        <w:t>ounded.</w:t>
      </w:r>
    </w:p>
    <w:p w:rsidR="00BF4E71" w:rsidRPr="00012C17" w:rsidRDefault="00BF4E71" w:rsidP="001B11C5">
      <w:pPr>
        <w:spacing w:line="240" w:lineRule="auto"/>
        <w:ind w:left="720" w:hanging="720"/>
        <w:rPr>
          <w:rFonts w:cs="Tahoma"/>
          <w:b/>
          <w:bCs/>
          <w:color w:val="000000"/>
          <w:sz w:val="24"/>
        </w:rPr>
      </w:pPr>
    </w:p>
    <w:p w:rsidR="00A07553" w:rsidRPr="00012C17" w:rsidRDefault="00575E5D" w:rsidP="001B11C5">
      <w:pPr>
        <w:spacing w:line="240" w:lineRule="auto"/>
        <w:ind w:left="720" w:hanging="720"/>
        <w:rPr>
          <w:rFonts w:cs="Tahoma"/>
          <w:color w:val="000000"/>
          <w:sz w:val="24"/>
        </w:rPr>
      </w:pPr>
      <w:r w:rsidRPr="00012C17">
        <w:rPr>
          <w:rFonts w:cs="Tahoma"/>
          <w:b/>
          <w:bCs/>
          <w:color w:val="000000"/>
          <w:sz w:val="24"/>
        </w:rPr>
        <w:t xml:space="preserve">IV. </w:t>
      </w:r>
      <w:r w:rsidR="00A07553" w:rsidRPr="00012C17">
        <w:rPr>
          <w:rFonts w:cs="Tahoma"/>
          <w:b/>
          <w:bCs/>
          <w:color w:val="000000"/>
          <w:sz w:val="24"/>
        </w:rPr>
        <w:t>Other important issues</w:t>
      </w:r>
      <w:r w:rsidR="00925892" w:rsidRPr="00012C17">
        <w:rPr>
          <w:rFonts w:cs="Tahoma"/>
          <w:b/>
          <w:bCs/>
          <w:color w:val="000000"/>
          <w:sz w:val="24"/>
        </w:rPr>
        <w:t xml:space="preserve"> </w:t>
      </w:r>
    </w:p>
    <w:p w:rsidR="00A07553" w:rsidRPr="00012C17" w:rsidRDefault="00A07553" w:rsidP="001B11C5">
      <w:pPr>
        <w:spacing w:line="240" w:lineRule="auto"/>
        <w:rPr>
          <w:rFonts w:cs="Tahoma"/>
          <w:bCs/>
          <w:color w:val="000000"/>
          <w:sz w:val="24"/>
        </w:rPr>
      </w:pPr>
    </w:p>
    <w:p w:rsidR="00A07553" w:rsidRPr="00012C17" w:rsidRDefault="00A07553" w:rsidP="001B11C5">
      <w:pPr>
        <w:pStyle w:val="CommentText"/>
        <w:spacing w:line="240" w:lineRule="auto"/>
        <w:rPr>
          <w:rFonts w:cs="Tahoma"/>
          <w:bCs/>
          <w:i/>
          <w:color w:val="000000"/>
          <w:sz w:val="24"/>
          <w:szCs w:val="24"/>
          <w:lang w:val="en-US"/>
        </w:rPr>
      </w:pPr>
      <w:r w:rsidRPr="00012C17">
        <w:rPr>
          <w:rFonts w:cs="Tahoma"/>
          <w:bCs/>
          <w:i/>
          <w:color w:val="000000"/>
          <w:sz w:val="24"/>
          <w:szCs w:val="24"/>
          <w:lang w:val="en-US"/>
        </w:rPr>
        <w:t>Regarding the status of foreign decisions and their role in decision-making</w:t>
      </w:r>
    </w:p>
    <w:p w:rsidR="00A07553" w:rsidRPr="00012C17" w:rsidRDefault="00A07553" w:rsidP="001B11C5">
      <w:pPr>
        <w:pStyle w:val="CommentText"/>
        <w:spacing w:line="240" w:lineRule="auto"/>
        <w:rPr>
          <w:color w:val="000000"/>
          <w:sz w:val="24"/>
          <w:szCs w:val="24"/>
          <w:lang w:val="en-US"/>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color w:val="000000"/>
          <w:sz w:val="24"/>
        </w:rPr>
        <w:t xml:space="preserve">The Court notes that the Applicants support their allegations by referring to the various decisions of the foreign </w:t>
      </w:r>
      <w:r w:rsidRPr="00012C17">
        <w:rPr>
          <w:rFonts w:cs="Arial"/>
          <w:color w:val="000000"/>
          <w:sz w:val="24"/>
        </w:rPr>
        <w:t>courts</w:t>
      </w:r>
      <w:r w:rsidRPr="00012C17">
        <w:rPr>
          <w:color w:val="000000"/>
          <w:sz w:val="24"/>
        </w:rPr>
        <w:t xml:space="preserve">, </w:t>
      </w:r>
      <w:r w:rsidR="00BF4613" w:rsidRPr="00012C17">
        <w:rPr>
          <w:color w:val="000000"/>
          <w:sz w:val="24"/>
        </w:rPr>
        <w:t>in particular the decisions of</w:t>
      </w:r>
      <w:r w:rsidRPr="00012C17">
        <w:rPr>
          <w:color w:val="000000"/>
          <w:sz w:val="24"/>
        </w:rPr>
        <w:t xml:space="preserve"> the Federal Constitutional Court of Germany, the Constitutional Court of Austria and the </w:t>
      </w:r>
      <w:r w:rsidRPr="00012C17">
        <w:rPr>
          <w:color w:val="000000"/>
          <w:sz w:val="24"/>
        </w:rPr>
        <w:lastRenderedPageBreak/>
        <w:t xml:space="preserve">Swiss Federal Supreme Court. The Court first marks the difference in the jurisdiction of the respective Constitutions with the Constitution of the Republic of Kosovo in dealing with the election disputes. In addition, the Court notes that the latter do not coincide with the factual or legal circumstances of the present case. The Court notes that the reasoning of other constitutional or international courts should be interpreted in the context of constitutional and legal guarantees and in the light of the factual circumstances in which they were </w:t>
      </w:r>
      <w:r w:rsidR="00575E5D" w:rsidRPr="00012C17">
        <w:rPr>
          <w:color w:val="000000"/>
          <w:sz w:val="24"/>
        </w:rPr>
        <w:t>rendered</w:t>
      </w:r>
      <w:r w:rsidRPr="00012C17">
        <w:rPr>
          <w:rFonts w:cs="Tahoma"/>
          <w:bCs/>
          <w:color w:val="000000"/>
          <w:sz w:val="24"/>
        </w:rPr>
        <w:t xml:space="preserve">. </w:t>
      </w:r>
    </w:p>
    <w:p w:rsidR="00A07553" w:rsidRPr="00012C17" w:rsidRDefault="00A07553" w:rsidP="001B11C5">
      <w:pPr>
        <w:spacing w:line="240" w:lineRule="auto"/>
        <w:rPr>
          <w:rFonts w:cs="Tahoma"/>
          <w:bCs/>
          <w:color w:val="000000"/>
          <w:sz w:val="24"/>
        </w:rPr>
      </w:pPr>
    </w:p>
    <w:p w:rsidR="00A07553" w:rsidRPr="00012C17" w:rsidRDefault="00A07553" w:rsidP="001B11C5">
      <w:pPr>
        <w:numPr>
          <w:ilvl w:val="0"/>
          <w:numId w:val="1"/>
        </w:numPr>
        <w:spacing w:line="240" w:lineRule="auto"/>
        <w:ind w:left="630" w:hanging="630"/>
        <w:rPr>
          <w:rFonts w:cs="Tahoma"/>
          <w:bCs/>
          <w:color w:val="000000"/>
          <w:sz w:val="24"/>
        </w:rPr>
      </w:pPr>
      <w:r w:rsidRPr="00012C17">
        <w:rPr>
          <w:rFonts w:cs="Tahoma"/>
          <w:bCs/>
          <w:color w:val="000000"/>
          <w:sz w:val="24"/>
        </w:rPr>
        <w:t>In this regard, the Court notes that, apart from the fact that the Applicants have emphasized and cited these decisions of foreign courts, they have not elaborated their factual and legal</w:t>
      </w:r>
      <w:r w:rsidR="00BF4613" w:rsidRPr="00012C17">
        <w:rPr>
          <w:rFonts w:cs="Tahoma"/>
          <w:bCs/>
          <w:color w:val="000000"/>
          <w:sz w:val="24"/>
        </w:rPr>
        <w:t xml:space="preserve"> relation</w:t>
      </w:r>
      <w:r w:rsidRPr="00012C17">
        <w:rPr>
          <w:rFonts w:cs="Tahoma"/>
          <w:bCs/>
          <w:color w:val="000000"/>
          <w:sz w:val="24"/>
        </w:rPr>
        <w:t xml:space="preserve"> with the circumstances of the present case. In addition, only the </w:t>
      </w:r>
      <w:r w:rsidRPr="00012C17">
        <w:rPr>
          <w:rFonts w:cs="Arial"/>
          <w:color w:val="000000"/>
          <w:sz w:val="24"/>
        </w:rPr>
        <w:t>decisions</w:t>
      </w:r>
      <w:r w:rsidRPr="00012C17">
        <w:rPr>
          <w:rFonts w:cs="Tahoma"/>
          <w:bCs/>
          <w:color w:val="000000"/>
          <w:sz w:val="24"/>
        </w:rPr>
        <w:t xml:space="preserve"> of the EC</w:t>
      </w:r>
      <w:r w:rsidR="00575E5D" w:rsidRPr="00012C17">
        <w:rPr>
          <w:rFonts w:cs="Tahoma"/>
          <w:bCs/>
          <w:color w:val="000000"/>
          <w:sz w:val="24"/>
        </w:rPr>
        <w:t>t</w:t>
      </w:r>
      <w:r w:rsidRPr="00012C17">
        <w:rPr>
          <w:rFonts w:cs="Tahoma"/>
          <w:bCs/>
          <w:color w:val="000000"/>
          <w:sz w:val="24"/>
        </w:rPr>
        <w:t xml:space="preserve">HR have the status of the source of the law in the legal system of the Republic of Kosovo. </w:t>
      </w:r>
    </w:p>
    <w:p w:rsidR="00575E5D" w:rsidRPr="00012C17" w:rsidRDefault="00575E5D" w:rsidP="001B11C5">
      <w:pPr>
        <w:spacing w:line="240" w:lineRule="auto"/>
        <w:ind w:left="540" w:hanging="540"/>
        <w:rPr>
          <w:rFonts w:cs="Tahoma"/>
          <w:bCs/>
          <w:color w:val="000000"/>
          <w:sz w:val="24"/>
        </w:rPr>
      </w:pPr>
    </w:p>
    <w:p w:rsidR="00575E5D" w:rsidRPr="00012C17" w:rsidRDefault="00BF4613" w:rsidP="007E18EA">
      <w:pPr>
        <w:numPr>
          <w:ilvl w:val="0"/>
          <w:numId w:val="1"/>
        </w:numPr>
        <w:spacing w:line="240" w:lineRule="auto"/>
        <w:ind w:left="630" w:hanging="630"/>
        <w:rPr>
          <w:rFonts w:cs="Tahoma"/>
          <w:bCs/>
          <w:color w:val="000000"/>
          <w:sz w:val="24"/>
        </w:rPr>
      </w:pPr>
      <w:r w:rsidRPr="00012C17">
        <w:rPr>
          <w:rFonts w:cs="Tahoma"/>
          <w:bCs/>
          <w:color w:val="000000"/>
          <w:sz w:val="24"/>
        </w:rPr>
        <w:t>As</w:t>
      </w:r>
      <w:r w:rsidR="00A07553" w:rsidRPr="00012C17">
        <w:rPr>
          <w:rFonts w:cs="Tahoma"/>
          <w:bCs/>
          <w:color w:val="000000"/>
          <w:sz w:val="24"/>
        </w:rPr>
        <w:t xml:space="preserve"> regards the reports of </w:t>
      </w:r>
      <w:r w:rsidR="00A07553" w:rsidRPr="00012C17">
        <w:rPr>
          <w:rFonts w:cs="Arial"/>
          <w:color w:val="000000"/>
          <w:sz w:val="24"/>
        </w:rPr>
        <w:t>the</w:t>
      </w:r>
      <w:r w:rsidR="00A07553" w:rsidRPr="00012C17">
        <w:rPr>
          <w:rFonts w:cs="Tahoma"/>
          <w:bCs/>
          <w:color w:val="000000"/>
          <w:sz w:val="24"/>
        </w:rPr>
        <w:t xml:space="preserve"> Venice Commission</w:t>
      </w:r>
      <w:r w:rsidR="00BF4E71" w:rsidRPr="00012C17">
        <w:rPr>
          <w:rFonts w:cs="Tahoma"/>
          <w:bCs/>
          <w:color w:val="000000"/>
          <w:sz w:val="24"/>
        </w:rPr>
        <w:t xml:space="preserve">, in addition to those referred by </w:t>
      </w:r>
      <w:r w:rsidR="00A07553" w:rsidRPr="00012C17">
        <w:rPr>
          <w:rFonts w:cs="Tahoma"/>
          <w:bCs/>
          <w:color w:val="000000"/>
          <w:sz w:val="24"/>
        </w:rPr>
        <w:t>the Applicants</w:t>
      </w:r>
      <w:r w:rsidR="00BF4E71" w:rsidRPr="00012C17">
        <w:rPr>
          <w:rFonts w:cs="Tahoma"/>
          <w:bCs/>
          <w:color w:val="000000"/>
          <w:sz w:val="24"/>
        </w:rPr>
        <w:t>,</w:t>
      </w:r>
      <w:r w:rsidR="00A07553" w:rsidRPr="00012C17">
        <w:rPr>
          <w:rFonts w:cs="Tahoma"/>
          <w:bCs/>
          <w:color w:val="000000"/>
          <w:sz w:val="24"/>
        </w:rPr>
        <w:t xml:space="preserve"> the Court </w:t>
      </w:r>
      <w:r w:rsidR="00BF4E71" w:rsidRPr="00012C17">
        <w:rPr>
          <w:rFonts w:cs="Tahoma"/>
          <w:bCs/>
          <w:color w:val="000000"/>
          <w:sz w:val="24"/>
        </w:rPr>
        <w:t>dealt with all relevant reports and opinions of the Venice Commission</w:t>
      </w:r>
      <w:r w:rsidR="001B11C5" w:rsidRPr="00012C17">
        <w:rPr>
          <w:rFonts w:cs="Tahoma"/>
          <w:bCs/>
          <w:color w:val="000000"/>
          <w:sz w:val="24"/>
        </w:rPr>
        <w:t xml:space="preserve"> </w:t>
      </w:r>
      <w:r w:rsidR="00A07553" w:rsidRPr="00012C17">
        <w:rPr>
          <w:rFonts w:cs="Tahoma"/>
          <w:bCs/>
          <w:color w:val="000000"/>
          <w:sz w:val="24"/>
        </w:rPr>
        <w:t>and applied</w:t>
      </w:r>
      <w:r w:rsidR="00BF4E71" w:rsidRPr="00012C17">
        <w:rPr>
          <w:rFonts w:cs="Tahoma"/>
          <w:bCs/>
          <w:color w:val="000000"/>
          <w:sz w:val="24"/>
        </w:rPr>
        <w:t xml:space="preserve"> them</w:t>
      </w:r>
      <w:r w:rsidR="00A07553" w:rsidRPr="00012C17">
        <w:rPr>
          <w:rFonts w:cs="Tahoma"/>
          <w:bCs/>
          <w:color w:val="000000"/>
          <w:sz w:val="24"/>
        </w:rPr>
        <w:t xml:space="preserve"> in the circumstances of the case. </w:t>
      </w:r>
    </w:p>
    <w:p w:rsidR="00E004B6" w:rsidRPr="00012C17" w:rsidRDefault="00E004B6" w:rsidP="001B11C5">
      <w:pPr>
        <w:spacing w:line="240" w:lineRule="auto"/>
        <w:ind w:left="540" w:hanging="540"/>
        <w:rPr>
          <w:rFonts w:cs="Tahoma"/>
          <w:bCs/>
          <w:color w:val="000000"/>
          <w:sz w:val="24"/>
        </w:rPr>
      </w:pPr>
    </w:p>
    <w:p w:rsidR="00575E5D" w:rsidRPr="00012C17" w:rsidRDefault="00575E5D" w:rsidP="001B11C5">
      <w:pPr>
        <w:spacing w:line="240" w:lineRule="auto"/>
        <w:ind w:left="540" w:hanging="540"/>
        <w:rPr>
          <w:rFonts w:cs="Tahoma"/>
          <w:b/>
          <w:color w:val="000000"/>
          <w:sz w:val="24"/>
        </w:rPr>
      </w:pPr>
      <w:r w:rsidRPr="00012C17">
        <w:rPr>
          <w:rFonts w:cs="Tahoma"/>
          <w:b/>
          <w:color w:val="000000"/>
          <w:sz w:val="24"/>
        </w:rPr>
        <w:t>V. Conclusions</w:t>
      </w:r>
    </w:p>
    <w:p w:rsidR="00E84FF8" w:rsidRPr="00012C17" w:rsidRDefault="00E84FF8" w:rsidP="001B11C5">
      <w:pPr>
        <w:spacing w:line="240" w:lineRule="auto"/>
        <w:ind w:left="1140"/>
        <w:rPr>
          <w:rFonts w:eastAsia="Times New Roman"/>
          <w:color w:val="000000"/>
          <w:sz w:val="24"/>
        </w:rPr>
      </w:pPr>
    </w:p>
    <w:p w:rsidR="00C024B4" w:rsidRPr="00012C17" w:rsidRDefault="00C024B4" w:rsidP="00C024B4">
      <w:pPr>
        <w:numPr>
          <w:ilvl w:val="0"/>
          <w:numId w:val="1"/>
        </w:numPr>
        <w:spacing w:line="240" w:lineRule="auto"/>
        <w:ind w:left="630" w:hanging="630"/>
        <w:rPr>
          <w:color w:val="000000"/>
          <w:sz w:val="24"/>
        </w:rPr>
      </w:pPr>
      <w:r w:rsidRPr="00012C17">
        <w:rPr>
          <w:color w:val="000000"/>
          <w:sz w:val="24"/>
        </w:rPr>
        <w:t xml:space="preserve">The Court has assessed all the Applicants’ allegations separately and in their entirety, applying into this </w:t>
      </w:r>
      <w:r w:rsidRPr="00012C17">
        <w:rPr>
          <w:rFonts w:cs="Arial"/>
          <w:color w:val="000000"/>
          <w:sz w:val="24"/>
        </w:rPr>
        <w:t>assessment:</w:t>
      </w:r>
      <w:r w:rsidRPr="00012C17">
        <w:rPr>
          <w:color w:val="000000"/>
          <w:sz w:val="24"/>
        </w:rPr>
        <w:t xml:space="preserve"> (i) the constitutional guarantees pertaining to the challenged rights, Articles 54 and 45 of the Constitution, respectively; (ii) the underlying principles resulting from the European electoral heritage as summarized by the Venice Commission; and (iii) the case-law of the ECtHR, and decided that the Decision [AA. No. 52/2017] of 25 November 2017 and the Judgment [A.A. U.ZH. No. 62/2017] of 7 December 2017 of the Supreme Court are in compliance with Articles 54 and 45 of the Constitution.</w:t>
      </w:r>
    </w:p>
    <w:p w:rsidR="00C024B4" w:rsidRPr="00012C17" w:rsidRDefault="00C024B4" w:rsidP="00C024B4">
      <w:pPr>
        <w:spacing w:line="240" w:lineRule="auto"/>
        <w:ind w:left="540" w:hanging="540"/>
        <w:rPr>
          <w:color w:val="000000"/>
          <w:sz w:val="24"/>
        </w:rPr>
      </w:pPr>
    </w:p>
    <w:p w:rsidR="00C024B4" w:rsidRPr="003450FE" w:rsidRDefault="00C024B4" w:rsidP="00C024B4">
      <w:pPr>
        <w:numPr>
          <w:ilvl w:val="0"/>
          <w:numId w:val="1"/>
        </w:numPr>
        <w:spacing w:line="240" w:lineRule="auto"/>
        <w:ind w:left="630" w:hanging="630"/>
        <w:rPr>
          <w:color w:val="000000"/>
          <w:sz w:val="24"/>
        </w:rPr>
      </w:pPr>
      <w:r w:rsidRPr="00012C17">
        <w:rPr>
          <w:color w:val="000000"/>
          <w:sz w:val="24"/>
        </w:rPr>
        <w:t xml:space="preserve">The Court has found that the challenged decisions of the Supreme Court have not violated the </w:t>
      </w:r>
      <w:r w:rsidRPr="00012C17">
        <w:rPr>
          <w:rFonts w:cs="Arial"/>
          <w:color w:val="000000"/>
          <w:sz w:val="24"/>
        </w:rPr>
        <w:t>Applicants’</w:t>
      </w:r>
      <w:r w:rsidRPr="00012C17">
        <w:rPr>
          <w:color w:val="000000"/>
          <w:sz w:val="24"/>
        </w:rPr>
        <w:t xml:space="preserve"> rights for judicial protection of rights guaranteed by Article 54 of the </w:t>
      </w:r>
      <w:r w:rsidRPr="003450FE">
        <w:rPr>
          <w:color w:val="000000"/>
          <w:sz w:val="24"/>
        </w:rPr>
        <w:t>Constitution and the right to a legal remedy guaranteed by Article 32 of the Constitution in conjunction with the right to an effective remedy guaranteed by Article 13 of the ECHR, because in the circumstances of the present case, the Supreme Court has correctly assessed the issues pertaining to: (i) confirmation/cancelation of the election results; (ii) declaring as out of time the Applicants’ allegations pertain</w:t>
      </w:r>
      <w:r w:rsidR="003450FE" w:rsidRPr="003450FE">
        <w:rPr>
          <w:color w:val="000000"/>
          <w:sz w:val="24"/>
        </w:rPr>
        <w:t>ing</w:t>
      </w:r>
      <w:r w:rsidRPr="003450FE">
        <w:rPr>
          <w:color w:val="000000"/>
          <w:sz w:val="24"/>
        </w:rPr>
        <w:t xml:space="preserve"> to irregularities on the election day, and which were submitted to the ECAP for the first time after the announcement of the final election results; and (iii) invalid and blank ballots, after the ECAP investigated the election material in the contested polling stations and did not find that “</w:t>
      </w:r>
      <w:r w:rsidRPr="003450FE">
        <w:rPr>
          <w:i/>
          <w:iCs/>
          <w:color w:val="000000"/>
          <w:sz w:val="24"/>
        </w:rPr>
        <w:t>the final election results were affected</w:t>
      </w:r>
      <w:r w:rsidRPr="003450FE">
        <w:rPr>
          <w:color w:val="000000"/>
          <w:sz w:val="24"/>
        </w:rPr>
        <w:t>”. In addition, the decisions of the Supreme Court were “</w:t>
      </w:r>
      <w:r w:rsidRPr="003450FE">
        <w:rPr>
          <w:i/>
          <w:iCs/>
          <w:color w:val="000000"/>
          <w:sz w:val="24"/>
        </w:rPr>
        <w:t>sufficiently reasoned”</w:t>
      </w:r>
      <w:r w:rsidRPr="003450FE">
        <w:rPr>
          <w:color w:val="000000"/>
          <w:sz w:val="24"/>
        </w:rPr>
        <w:t xml:space="preserve">  pertaining to the Applicants’ allegations and are in conformity with the standards established through the case-law of the ECtHR and the Venice Commission as to the reasoning of decisions in electoral disputes. The findings of the Supreme Court, are in compliance with the constitutional guarantees, the relevant case-law of the ECtHR and the basic principles of the Venice Commission as it pertains to “</w:t>
      </w:r>
      <w:r w:rsidRPr="003450FE">
        <w:rPr>
          <w:i/>
          <w:color w:val="000000"/>
          <w:sz w:val="24"/>
        </w:rPr>
        <w:t xml:space="preserve">an </w:t>
      </w:r>
      <w:r w:rsidRPr="003450FE">
        <w:rPr>
          <w:i/>
          <w:iCs/>
          <w:color w:val="000000"/>
          <w:sz w:val="24"/>
        </w:rPr>
        <w:t>effective system of appeal</w:t>
      </w:r>
      <w:r w:rsidRPr="003450FE">
        <w:rPr>
          <w:color w:val="000000"/>
          <w:sz w:val="24"/>
        </w:rPr>
        <w:t>” as an integral part of the “</w:t>
      </w:r>
      <w:r w:rsidRPr="003450FE">
        <w:rPr>
          <w:i/>
          <w:iCs/>
          <w:color w:val="000000"/>
          <w:sz w:val="24"/>
        </w:rPr>
        <w:t>procedural guarantees</w:t>
      </w:r>
      <w:r w:rsidRPr="003450FE">
        <w:rPr>
          <w:color w:val="000000"/>
          <w:sz w:val="24"/>
        </w:rPr>
        <w:t xml:space="preserve">”, which is a fundamental condition for the implementation of the five underlying principles pertaining to </w:t>
      </w:r>
      <w:r w:rsidR="007E18EA" w:rsidRPr="003450FE">
        <w:rPr>
          <w:color w:val="000000"/>
          <w:sz w:val="24"/>
        </w:rPr>
        <w:t>the</w:t>
      </w:r>
      <w:r w:rsidRPr="003450FE">
        <w:rPr>
          <w:color w:val="000000"/>
          <w:sz w:val="24"/>
        </w:rPr>
        <w:t xml:space="preserve"> qualities of the vote.</w:t>
      </w:r>
    </w:p>
    <w:p w:rsidR="00C024B4" w:rsidRPr="003450FE" w:rsidRDefault="00C024B4" w:rsidP="00C024B4">
      <w:pPr>
        <w:spacing w:line="240" w:lineRule="auto"/>
        <w:ind w:left="540" w:hanging="540"/>
        <w:rPr>
          <w:color w:val="000000"/>
          <w:sz w:val="24"/>
        </w:rPr>
      </w:pPr>
    </w:p>
    <w:p w:rsidR="00C024B4" w:rsidRPr="00012C17" w:rsidRDefault="00C024B4" w:rsidP="00C024B4">
      <w:pPr>
        <w:numPr>
          <w:ilvl w:val="0"/>
          <w:numId w:val="1"/>
        </w:numPr>
        <w:spacing w:line="240" w:lineRule="auto"/>
        <w:ind w:left="630" w:hanging="630"/>
        <w:rPr>
          <w:color w:val="000000"/>
          <w:sz w:val="24"/>
        </w:rPr>
      </w:pPr>
      <w:r w:rsidRPr="003450FE">
        <w:rPr>
          <w:color w:val="000000"/>
          <w:sz w:val="24"/>
        </w:rPr>
        <w:t xml:space="preserve">The Court has found that the challenged decisions of the Supreme Court have not violated the </w:t>
      </w:r>
      <w:r w:rsidRPr="003450FE">
        <w:rPr>
          <w:rFonts w:cs="Arial"/>
          <w:color w:val="000000"/>
          <w:sz w:val="24"/>
        </w:rPr>
        <w:t xml:space="preserve">Applicants’ </w:t>
      </w:r>
      <w:r w:rsidRPr="003450FE">
        <w:rPr>
          <w:color w:val="000000"/>
          <w:sz w:val="24"/>
        </w:rPr>
        <w:t xml:space="preserve">rights pertaining to the freedom of election and participation guaranteed by Article 45 of the Constitution in </w:t>
      </w:r>
      <w:r w:rsidRPr="003450FE">
        <w:rPr>
          <w:rFonts w:cs="Arial"/>
          <w:color w:val="000000"/>
          <w:sz w:val="24"/>
        </w:rPr>
        <w:t>conjunction</w:t>
      </w:r>
      <w:r w:rsidRPr="003450FE">
        <w:rPr>
          <w:color w:val="000000"/>
          <w:sz w:val="24"/>
        </w:rPr>
        <w:t xml:space="preserve"> with the right to free elections guaranteed by Article 3 of Protocol nr. 1 of the ECHR because, in the circumstances of the present case, these decisions have not been rendered in contradiction with: (i) any of t</w:t>
      </w:r>
      <w:r w:rsidR="003450FE" w:rsidRPr="003450FE">
        <w:rPr>
          <w:color w:val="000000"/>
          <w:sz w:val="24"/>
        </w:rPr>
        <w:t>he conditions for the implementation</w:t>
      </w:r>
      <w:r w:rsidRPr="003450FE">
        <w:rPr>
          <w:color w:val="000000"/>
          <w:sz w:val="24"/>
        </w:rPr>
        <w:t xml:space="preserve"> of the unde</w:t>
      </w:r>
      <w:r w:rsidR="003450FE" w:rsidRPr="003450FE">
        <w:rPr>
          <w:color w:val="000000"/>
          <w:sz w:val="24"/>
        </w:rPr>
        <w:t>rlying principles on the qualities</w:t>
      </w:r>
      <w:r w:rsidRPr="003450FE">
        <w:rPr>
          <w:color w:val="000000"/>
          <w:sz w:val="24"/>
        </w:rPr>
        <w:t xml:space="preserve"> of</w:t>
      </w:r>
      <w:r w:rsidR="003450FE" w:rsidRPr="003450FE">
        <w:rPr>
          <w:color w:val="000000"/>
          <w:sz w:val="24"/>
        </w:rPr>
        <w:t xml:space="preserve"> the</w:t>
      </w:r>
      <w:r w:rsidRPr="003450FE">
        <w:rPr>
          <w:color w:val="000000"/>
          <w:sz w:val="24"/>
        </w:rPr>
        <w:t xml:space="preserve"> vote, as guaranteed by the Constitution, the election laws and the Code of Good Practice of the Venice Commission; (ii) any of the “</w:t>
      </w:r>
      <w:r w:rsidRPr="003450FE">
        <w:rPr>
          <w:i/>
          <w:iCs/>
          <w:color w:val="000000"/>
          <w:sz w:val="24"/>
        </w:rPr>
        <w:t>procedural guarantees</w:t>
      </w:r>
      <w:r w:rsidRPr="003450FE">
        <w:rPr>
          <w:color w:val="000000"/>
          <w:sz w:val="24"/>
        </w:rPr>
        <w:t>” for the implementation of the “</w:t>
      </w:r>
      <w:r w:rsidRPr="003450FE">
        <w:rPr>
          <w:i/>
          <w:iCs/>
          <w:color w:val="000000"/>
          <w:sz w:val="24"/>
        </w:rPr>
        <w:t>free suffrage</w:t>
      </w:r>
      <w:r w:rsidRPr="003450FE">
        <w:rPr>
          <w:color w:val="000000"/>
          <w:sz w:val="24"/>
        </w:rPr>
        <w:t>” and “</w:t>
      </w:r>
      <w:r w:rsidRPr="003450FE">
        <w:rPr>
          <w:i/>
          <w:iCs/>
          <w:color w:val="000000"/>
          <w:sz w:val="24"/>
        </w:rPr>
        <w:t>equal suffrage</w:t>
      </w:r>
      <w:r w:rsidRPr="003450FE">
        <w:rPr>
          <w:color w:val="000000"/>
          <w:sz w:val="24"/>
        </w:rPr>
        <w:t>” principles</w:t>
      </w:r>
      <w:r w:rsidRPr="00012C17">
        <w:rPr>
          <w:color w:val="000000"/>
          <w:sz w:val="24"/>
        </w:rPr>
        <w:t>; (iii) the “</w:t>
      </w:r>
      <w:r w:rsidRPr="00012C17">
        <w:rPr>
          <w:i/>
          <w:color w:val="000000"/>
          <w:sz w:val="24"/>
        </w:rPr>
        <w:t>principle of transparency</w:t>
      </w:r>
      <w:r w:rsidRPr="00012C17">
        <w:rPr>
          <w:color w:val="000000"/>
          <w:sz w:val="24"/>
        </w:rPr>
        <w:t>” in electoral disputes as established by the ECtHR case-law and the underlying principles of the Venice Commission; and (iv) the ECtHR case-law in the context of the “</w:t>
      </w:r>
      <w:r w:rsidRPr="00012C17">
        <w:rPr>
          <w:i/>
          <w:iCs/>
          <w:color w:val="000000"/>
          <w:sz w:val="24"/>
        </w:rPr>
        <w:t>post-electoral rights</w:t>
      </w:r>
      <w:r w:rsidRPr="00012C17">
        <w:rPr>
          <w:color w:val="000000"/>
          <w:sz w:val="24"/>
        </w:rPr>
        <w:t>”.</w:t>
      </w:r>
    </w:p>
    <w:p w:rsidR="00C024B4" w:rsidRPr="00012C17" w:rsidRDefault="00C024B4" w:rsidP="00C024B4">
      <w:pPr>
        <w:spacing w:line="240" w:lineRule="auto"/>
        <w:ind w:left="540" w:hanging="540"/>
        <w:rPr>
          <w:color w:val="000000"/>
          <w:sz w:val="24"/>
        </w:rPr>
      </w:pPr>
    </w:p>
    <w:p w:rsidR="00C024B4" w:rsidRPr="00012C17" w:rsidRDefault="00C024B4" w:rsidP="00C024B4">
      <w:pPr>
        <w:numPr>
          <w:ilvl w:val="0"/>
          <w:numId w:val="1"/>
        </w:numPr>
        <w:spacing w:line="240" w:lineRule="auto"/>
        <w:ind w:left="630" w:hanging="630"/>
        <w:rPr>
          <w:rFonts w:cs="Tahoma"/>
          <w:bCs/>
          <w:color w:val="000000"/>
          <w:sz w:val="24"/>
        </w:rPr>
      </w:pPr>
      <w:r w:rsidRPr="00012C17">
        <w:rPr>
          <w:color w:val="000000"/>
          <w:sz w:val="24"/>
        </w:rPr>
        <w:t xml:space="preserve">Based on the foregoing </w:t>
      </w:r>
      <w:r w:rsidRPr="00012C17">
        <w:rPr>
          <w:rFonts w:cs="Arial"/>
          <w:color w:val="000000"/>
          <w:sz w:val="24"/>
        </w:rPr>
        <w:t>and</w:t>
      </w:r>
      <w:r w:rsidRPr="00012C17">
        <w:rPr>
          <w:color w:val="000000"/>
          <w:sz w:val="24"/>
        </w:rPr>
        <w:t xml:space="preserve"> taking into account the allegations raised and the facts presented, in the circumstances of the present case, the Court finds that: (i) the first Decision of the Supreme Court, namely Decision [AA. No. 52/2017] of 25 November 2017, was not rendered in violation of the rights and fundamental freedoms of the political entity LDK, namely the second Applicant and is in compliance with the rights and fundamental freedoms guaranteed by Articles 45 and 54 of the Constitution; and that (ii) the second Decision of the Supreme Court, namely Judgment [A.A. U.ZH. No. 62/2017] of 7 December 2017, was not rendered in violation of the rights and fundamental freedoms of Mr. Arban Abrashi and of the political entity LDK, namely the first and second Applicant, and is in compliance with the rights and fundamental freedoms guaranteed by Articles 45 and 54 of the Constitution</w:t>
      </w:r>
      <w:r w:rsidRPr="00012C17">
        <w:rPr>
          <w:bCs/>
          <w:color w:val="000000"/>
          <w:sz w:val="24"/>
        </w:rPr>
        <w:t>.</w:t>
      </w:r>
    </w:p>
    <w:p w:rsidR="001B11C5" w:rsidRPr="00012C17" w:rsidRDefault="001B11C5" w:rsidP="001B11C5">
      <w:pPr>
        <w:spacing w:line="240" w:lineRule="auto"/>
        <w:jc w:val="center"/>
        <w:rPr>
          <w:color w:val="000000"/>
          <w:sz w:val="24"/>
        </w:rPr>
      </w:pPr>
    </w:p>
    <w:p w:rsidR="00F50670" w:rsidRPr="00012C17" w:rsidRDefault="00F50670" w:rsidP="001B11C5">
      <w:pPr>
        <w:spacing w:line="240" w:lineRule="auto"/>
        <w:jc w:val="center"/>
        <w:rPr>
          <w:color w:val="000000"/>
          <w:sz w:val="24"/>
        </w:rPr>
      </w:pPr>
    </w:p>
    <w:p w:rsidR="00F50670" w:rsidRPr="00012C17" w:rsidRDefault="00F50670" w:rsidP="001B11C5">
      <w:pPr>
        <w:spacing w:line="240" w:lineRule="auto"/>
        <w:jc w:val="center"/>
        <w:rPr>
          <w:color w:val="000000"/>
          <w:sz w:val="24"/>
        </w:rPr>
      </w:pPr>
    </w:p>
    <w:p w:rsidR="00F50670" w:rsidRPr="00012C17" w:rsidRDefault="00F50670" w:rsidP="001B11C5">
      <w:pPr>
        <w:spacing w:line="240" w:lineRule="auto"/>
        <w:jc w:val="center"/>
        <w:rPr>
          <w:color w:val="000000"/>
          <w:sz w:val="24"/>
        </w:rPr>
      </w:pPr>
    </w:p>
    <w:p w:rsidR="00F50670" w:rsidRPr="00012C17" w:rsidRDefault="00F50670" w:rsidP="001B11C5">
      <w:pPr>
        <w:spacing w:line="240" w:lineRule="auto"/>
        <w:jc w:val="center"/>
        <w:rPr>
          <w:color w:val="000000"/>
          <w:sz w:val="24"/>
        </w:rPr>
      </w:pPr>
    </w:p>
    <w:p w:rsidR="00F50670" w:rsidRPr="00012C17" w:rsidRDefault="00F50670" w:rsidP="00A33F99">
      <w:pPr>
        <w:spacing w:line="240" w:lineRule="auto"/>
        <w:rPr>
          <w:color w:val="000000"/>
          <w:sz w:val="24"/>
        </w:rPr>
      </w:pPr>
    </w:p>
    <w:p w:rsidR="00A33F99" w:rsidRPr="00012C17" w:rsidRDefault="00A33F99" w:rsidP="00A33F99">
      <w:pPr>
        <w:spacing w:line="240" w:lineRule="auto"/>
        <w:rPr>
          <w:color w:val="000000"/>
          <w:sz w:val="24"/>
        </w:rPr>
      </w:pPr>
    </w:p>
    <w:p w:rsidR="00F50670" w:rsidRPr="00012C17" w:rsidRDefault="00F50670" w:rsidP="001B11C5">
      <w:pPr>
        <w:spacing w:line="240" w:lineRule="auto"/>
        <w:jc w:val="center"/>
        <w:rPr>
          <w:color w:val="000000"/>
          <w:sz w:val="24"/>
        </w:rPr>
      </w:pPr>
    </w:p>
    <w:p w:rsidR="00F50670" w:rsidRPr="00012C17" w:rsidRDefault="00F50670"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E62E6">
      <w:pPr>
        <w:spacing w:line="240" w:lineRule="auto"/>
        <w:rPr>
          <w:color w:val="000000"/>
          <w:sz w:val="24"/>
        </w:rPr>
      </w:pPr>
    </w:p>
    <w:p w:rsidR="001E62E6" w:rsidRPr="00012C17" w:rsidRDefault="001E62E6" w:rsidP="001E62E6">
      <w:pPr>
        <w:spacing w:line="240" w:lineRule="auto"/>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B11C5">
      <w:pPr>
        <w:spacing w:line="240" w:lineRule="auto"/>
        <w:jc w:val="center"/>
        <w:rPr>
          <w:color w:val="000000"/>
          <w:sz w:val="24"/>
        </w:rPr>
      </w:pPr>
    </w:p>
    <w:p w:rsidR="00E004B6" w:rsidRPr="00012C17" w:rsidRDefault="00E004B6" w:rsidP="001E62E6">
      <w:pPr>
        <w:spacing w:line="240" w:lineRule="auto"/>
        <w:rPr>
          <w:color w:val="000000"/>
          <w:sz w:val="24"/>
        </w:rPr>
      </w:pPr>
    </w:p>
    <w:p w:rsidR="00E004B6" w:rsidRPr="00012C17" w:rsidRDefault="00E004B6" w:rsidP="001B11C5">
      <w:pPr>
        <w:spacing w:line="240" w:lineRule="auto"/>
        <w:jc w:val="center"/>
        <w:rPr>
          <w:color w:val="000000"/>
          <w:sz w:val="24"/>
        </w:rPr>
      </w:pPr>
    </w:p>
    <w:p w:rsidR="00E84FF8" w:rsidRPr="00012C17" w:rsidRDefault="001B11C5" w:rsidP="001B11C5">
      <w:pPr>
        <w:tabs>
          <w:tab w:val="left" w:pos="3090"/>
        </w:tabs>
        <w:spacing w:line="240" w:lineRule="auto"/>
        <w:rPr>
          <w:b/>
          <w:bCs/>
          <w:color w:val="000000"/>
          <w:sz w:val="24"/>
        </w:rPr>
      </w:pPr>
      <w:r w:rsidRPr="00012C17">
        <w:rPr>
          <w:color w:val="000000"/>
          <w:sz w:val="24"/>
        </w:rPr>
        <w:tab/>
      </w:r>
      <w:r w:rsidR="00E84FF8" w:rsidRPr="00012C17">
        <w:rPr>
          <w:b/>
          <w:bCs/>
          <w:color w:val="000000"/>
          <w:sz w:val="24"/>
        </w:rPr>
        <w:t>FOR THESE REASONS</w:t>
      </w:r>
    </w:p>
    <w:p w:rsidR="00E84FF8" w:rsidRPr="00012C17" w:rsidRDefault="00E84FF8" w:rsidP="001B11C5">
      <w:pPr>
        <w:tabs>
          <w:tab w:val="left" w:pos="0"/>
          <w:tab w:val="left" w:pos="1440"/>
        </w:tabs>
        <w:spacing w:line="240" w:lineRule="auto"/>
        <w:jc w:val="center"/>
        <w:rPr>
          <w:bCs/>
          <w:color w:val="000000"/>
          <w:sz w:val="24"/>
        </w:rPr>
      </w:pPr>
    </w:p>
    <w:p w:rsidR="00A33F99" w:rsidRPr="00012C17" w:rsidRDefault="00A33F99" w:rsidP="00A33F99">
      <w:pPr>
        <w:tabs>
          <w:tab w:val="left" w:pos="0"/>
        </w:tabs>
        <w:spacing w:line="240" w:lineRule="auto"/>
        <w:rPr>
          <w:bCs/>
          <w:color w:val="000000"/>
          <w:sz w:val="24"/>
        </w:rPr>
      </w:pPr>
      <w:r w:rsidRPr="00012C17">
        <w:rPr>
          <w:bCs/>
          <w:color w:val="000000"/>
          <w:sz w:val="24"/>
        </w:rPr>
        <w:t>The Constitutional Court of the Republic of Kosovo, in accordance with Article 113.7 of the Constitution, Article 20 of the Law and Rule 59 (a) of the Rules of Procedure, in its session held on 23 January 2019, unanimously</w:t>
      </w:r>
    </w:p>
    <w:p w:rsidR="00A33F99" w:rsidRPr="00012C17" w:rsidRDefault="00A33F99" w:rsidP="001B11C5">
      <w:pPr>
        <w:tabs>
          <w:tab w:val="left" w:pos="0"/>
        </w:tabs>
        <w:spacing w:line="240" w:lineRule="auto"/>
        <w:rPr>
          <w:bCs/>
          <w:color w:val="000000"/>
          <w:sz w:val="24"/>
        </w:rPr>
      </w:pPr>
    </w:p>
    <w:p w:rsidR="00E84FF8" w:rsidRPr="00012C17" w:rsidRDefault="00E84FF8" w:rsidP="001B11C5">
      <w:pPr>
        <w:tabs>
          <w:tab w:val="left" w:pos="540"/>
        </w:tabs>
        <w:spacing w:line="240" w:lineRule="auto"/>
        <w:rPr>
          <w:bCs/>
          <w:i/>
          <w:color w:val="000000"/>
          <w:sz w:val="24"/>
        </w:rPr>
      </w:pPr>
    </w:p>
    <w:p w:rsidR="00E84FF8" w:rsidRPr="00012C17" w:rsidRDefault="00E84FF8" w:rsidP="001B11C5">
      <w:pPr>
        <w:spacing w:line="240" w:lineRule="auto"/>
        <w:jc w:val="center"/>
        <w:rPr>
          <w:b/>
          <w:caps/>
          <w:color w:val="000000"/>
          <w:sz w:val="24"/>
        </w:rPr>
      </w:pPr>
      <w:r w:rsidRPr="00012C17">
        <w:rPr>
          <w:b/>
          <w:caps/>
          <w:color w:val="000000"/>
          <w:sz w:val="24"/>
        </w:rPr>
        <w:t>DECIDES</w:t>
      </w:r>
    </w:p>
    <w:p w:rsidR="00E84FF8" w:rsidRPr="00012C17" w:rsidRDefault="00E84FF8" w:rsidP="001B11C5">
      <w:pPr>
        <w:tabs>
          <w:tab w:val="left" w:pos="540"/>
          <w:tab w:val="left" w:pos="1080"/>
        </w:tabs>
        <w:spacing w:line="240" w:lineRule="auto"/>
        <w:ind w:left="630"/>
        <w:rPr>
          <w:bCs/>
          <w:i/>
          <w:color w:val="000000"/>
          <w:sz w:val="24"/>
        </w:rPr>
      </w:pPr>
    </w:p>
    <w:p w:rsidR="00E84FF8" w:rsidRPr="00012C17" w:rsidRDefault="00DA42CF" w:rsidP="001B11C5">
      <w:pPr>
        <w:pStyle w:val="ListParagraph"/>
        <w:numPr>
          <w:ilvl w:val="0"/>
          <w:numId w:val="24"/>
        </w:numPr>
        <w:tabs>
          <w:tab w:val="left" w:pos="1418"/>
        </w:tabs>
        <w:spacing w:after="0" w:line="240" w:lineRule="auto"/>
        <w:ind w:left="1418" w:hanging="608"/>
        <w:jc w:val="both"/>
        <w:rPr>
          <w:rFonts w:ascii="Georgia" w:hAnsi="Georgia"/>
          <w:bCs/>
          <w:color w:val="000000"/>
          <w:sz w:val="24"/>
          <w:szCs w:val="24"/>
          <w:lang w:val="en-US"/>
        </w:rPr>
      </w:pPr>
      <w:r w:rsidRPr="00012C17">
        <w:rPr>
          <w:rFonts w:ascii="Georgia" w:hAnsi="Georgia"/>
          <w:color w:val="000000"/>
          <w:sz w:val="24"/>
          <w:szCs w:val="24"/>
          <w:lang w:val="en-US"/>
        </w:rPr>
        <w:t>TO DECLARE</w:t>
      </w:r>
      <w:r w:rsidR="00E84FF8" w:rsidRPr="00012C17">
        <w:rPr>
          <w:rFonts w:ascii="Georgia" w:hAnsi="Georgia"/>
          <w:color w:val="000000"/>
          <w:sz w:val="24"/>
          <w:szCs w:val="24"/>
          <w:lang w:val="en-US"/>
        </w:rPr>
        <w:t xml:space="preserve"> the Referral admissible</w:t>
      </w:r>
      <w:r w:rsidR="00E84FF8" w:rsidRPr="00012C17">
        <w:rPr>
          <w:rFonts w:ascii="Georgia" w:hAnsi="Georgia"/>
          <w:bCs/>
          <w:color w:val="000000"/>
          <w:sz w:val="24"/>
          <w:szCs w:val="24"/>
          <w:lang w:val="en-US"/>
        </w:rPr>
        <w:t>;</w:t>
      </w:r>
    </w:p>
    <w:p w:rsidR="00E84FF8" w:rsidRPr="00012C17" w:rsidRDefault="00E84FF8" w:rsidP="001B11C5">
      <w:pPr>
        <w:tabs>
          <w:tab w:val="left" w:pos="1418"/>
        </w:tabs>
        <w:spacing w:line="240" w:lineRule="auto"/>
        <w:rPr>
          <w:bCs/>
          <w:color w:val="000000"/>
          <w:sz w:val="24"/>
        </w:rPr>
      </w:pPr>
    </w:p>
    <w:p w:rsidR="00E84FF8" w:rsidRPr="00012C17" w:rsidRDefault="00A33F99" w:rsidP="001B11C5">
      <w:pPr>
        <w:pStyle w:val="ListParagraph"/>
        <w:numPr>
          <w:ilvl w:val="0"/>
          <w:numId w:val="24"/>
        </w:numPr>
        <w:tabs>
          <w:tab w:val="left" w:pos="1418"/>
        </w:tabs>
        <w:spacing w:after="0" w:line="240" w:lineRule="auto"/>
        <w:ind w:left="1418" w:hanging="608"/>
        <w:jc w:val="both"/>
        <w:rPr>
          <w:rFonts w:ascii="Georgia" w:hAnsi="Georgia"/>
          <w:bCs/>
          <w:color w:val="000000"/>
          <w:sz w:val="24"/>
          <w:szCs w:val="24"/>
          <w:lang w:val="en-US"/>
        </w:rPr>
      </w:pPr>
      <w:r w:rsidRPr="00012C17">
        <w:rPr>
          <w:rFonts w:ascii="Georgia" w:hAnsi="Georgia"/>
          <w:color w:val="000000"/>
          <w:sz w:val="24"/>
          <w:szCs w:val="24"/>
          <w:lang w:val="en-US"/>
        </w:rPr>
        <w:t>TO HOLD, that the Judgment A.A. U.ZH. No. 62/2017 of 7 December 2017 of the Supreme Court of the Republic of Kosovo, is in compliance with Article 54 of the Constitution of the Republic of Kosovo in conjunction with Article 32 of the Constitution of the Republic of Kosovo and Article 13 of the European Convention on Human Rights as well as in compliance with Article 45 of the Constitution of the Republic of Kosovo in conjunction with Article 3 of Protocol no. 1 to the European Convention on Human Rights</w:t>
      </w:r>
      <w:r w:rsidR="00E84FF8" w:rsidRPr="00012C17">
        <w:rPr>
          <w:rFonts w:ascii="Georgia" w:hAnsi="Georgia"/>
          <w:color w:val="000000"/>
          <w:sz w:val="24"/>
          <w:szCs w:val="24"/>
          <w:lang w:val="en-US"/>
        </w:rPr>
        <w:t xml:space="preserve">; </w:t>
      </w:r>
    </w:p>
    <w:p w:rsidR="00E84FF8" w:rsidRPr="00012C17" w:rsidRDefault="00E84FF8" w:rsidP="001B11C5">
      <w:pPr>
        <w:pStyle w:val="ListParagraph"/>
        <w:tabs>
          <w:tab w:val="left" w:pos="1418"/>
        </w:tabs>
        <w:spacing w:after="0" w:line="240" w:lineRule="auto"/>
        <w:ind w:left="1418"/>
        <w:jc w:val="both"/>
        <w:rPr>
          <w:rFonts w:ascii="Georgia" w:hAnsi="Georgia"/>
          <w:color w:val="000000"/>
          <w:sz w:val="24"/>
          <w:szCs w:val="24"/>
          <w:lang w:val="en-US"/>
        </w:rPr>
      </w:pPr>
    </w:p>
    <w:p w:rsidR="00E84FF8" w:rsidRPr="00012C17" w:rsidRDefault="00A33F99" w:rsidP="001B11C5">
      <w:pPr>
        <w:pStyle w:val="ListParagraph"/>
        <w:numPr>
          <w:ilvl w:val="0"/>
          <w:numId w:val="24"/>
        </w:numPr>
        <w:tabs>
          <w:tab w:val="left" w:pos="1418"/>
        </w:tabs>
        <w:spacing w:after="0" w:line="240" w:lineRule="auto"/>
        <w:ind w:left="1418" w:hanging="608"/>
        <w:jc w:val="both"/>
        <w:rPr>
          <w:rFonts w:ascii="Georgia" w:hAnsi="Georgia"/>
          <w:bCs/>
          <w:color w:val="000000"/>
          <w:sz w:val="24"/>
          <w:szCs w:val="24"/>
          <w:lang w:val="en-US"/>
        </w:rPr>
      </w:pPr>
      <w:r w:rsidRPr="00012C17">
        <w:rPr>
          <w:rFonts w:ascii="Georgia" w:hAnsi="Georgia"/>
          <w:color w:val="000000"/>
          <w:sz w:val="24"/>
          <w:szCs w:val="24"/>
          <w:lang w:val="en-US"/>
        </w:rPr>
        <w:t>TO HOLD that the Decision AA. No. 52/2017 of 25 November 2017 of the Supreme Court of the Republic of Kosovo, is in compliance with Article 54 of the Constitution of the Republic of Kosovo in conjunction with Article 32 of the Constitution of the Republic of Kosovo and Article 13 of the European Convention on Human Rights as well as in compliance with Article 45 of the Constitution of the Republic of Kosovo in conjunction with Article 3 of Protocol no. 1 of the European Convention on Human Rights</w:t>
      </w:r>
      <w:r w:rsidR="00E84FF8" w:rsidRPr="00012C17">
        <w:rPr>
          <w:rFonts w:ascii="Georgia" w:hAnsi="Georgia"/>
          <w:color w:val="000000"/>
          <w:sz w:val="24"/>
          <w:szCs w:val="24"/>
          <w:lang w:val="en-US"/>
        </w:rPr>
        <w:t>;</w:t>
      </w:r>
      <w:r w:rsidR="006E52F9" w:rsidRPr="00012C17">
        <w:rPr>
          <w:rFonts w:ascii="Georgia" w:hAnsi="Georgia"/>
          <w:color w:val="000000"/>
          <w:sz w:val="24"/>
          <w:szCs w:val="24"/>
          <w:lang w:val="en-US"/>
        </w:rPr>
        <w:t xml:space="preserve"> </w:t>
      </w:r>
    </w:p>
    <w:p w:rsidR="00E84FF8" w:rsidRPr="00012C17" w:rsidRDefault="00E84FF8" w:rsidP="001B11C5">
      <w:pPr>
        <w:tabs>
          <w:tab w:val="left" w:pos="1418"/>
        </w:tabs>
        <w:spacing w:line="240" w:lineRule="auto"/>
        <w:rPr>
          <w:bCs/>
          <w:color w:val="000000"/>
          <w:sz w:val="24"/>
        </w:rPr>
      </w:pPr>
    </w:p>
    <w:p w:rsidR="003C5252" w:rsidRPr="00012C17" w:rsidRDefault="003C5252" w:rsidP="001B11C5">
      <w:pPr>
        <w:pStyle w:val="ListParagraph"/>
        <w:numPr>
          <w:ilvl w:val="0"/>
          <w:numId w:val="24"/>
        </w:numPr>
        <w:tabs>
          <w:tab w:val="left" w:pos="1418"/>
        </w:tabs>
        <w:spacing w:after="0" w:line="240" w:lineRule="auto"/>
        <w:ind w:left="1418" w:hanging="608"/>
        <w:jc w:val="both"/>
        <w:rPr>
          <w:rFonts w:ascii="Georgia" w:hAnsi="Georgia"/>
          <w:bCs/>
          <w:color w:val="000000"/>
          <w:sz w:val="24"/>
          <w:szCs w:val="24"/>
          <w:lang w:val="en-US"/>
        </w:rPr>
      </w:pPr>
      <w:r w:rsidRPr="00012C17">
        <w:rPr>
          <w:rFonts w:ascii="Georgia" w:hAnsi="Georgia"/>
          <w:bCs/>
          <w:color w:val="000000"/>
          <w:sz w:val="24"/>
          <w:szCs w:val="24"/>
          <w:lang w:val="en-US"/>
        </w:rPr>
        <w:t>TO REJECT the request for a hearing as ungrounded</w:t>
      </w:r>
      <w:r w:rsidR="00F50670" w:rsidRPr="00012C17">
        <w:rPr>
          <w:rFonts w:ascii="Georgia" w:hAnsi="Georgia"/>
          <w:bCs/>
          <w:color w:val="000000"/>
          <w:sz w:val="24"/>
          <w:szCs w:val="24"/>
          <w:lang w:val="en-US"/>
        </w:rPr>
        <w:t>;</w:t>
      </w:r>
    </w:p>
    <w:p w:rsidR="003C5252" w:rsidRPr="00012C17" w:rsidRDefault="003C5252" w:rsidP="001B11C5">
      <w:pPr>
        <w:pStyle w:val="ListParagraph"/>
        <w:spacing w:after="0" w:line="240" w:lineRule="auto"/>
        <w:rPr>
          <w:rFonts w:ascii="Georgia" w:hAnsi="Georgia"/>
          <w:color w:val="000000"/>
          <w:sz w:val="24"/>
          <w:szCs w:val="24"/>
          <w:lang w:val="en-US"/>
        </w:rPr>
      </w:pPr>
    </w:p>
    <w:p w:rsidR="00E84FF8" w:rsidRPr="00012C17" w:rsidRDefault="00E84FF8" w:rsidP="001B11C5">
      <w:pPr>
        <w:pStyle w:val="ListParagraph"/>
        <w:numPr>
          <w:ilvl w:val="0"/>
          <w:numId w:val="24"/>
        </w:numPr>
        <w:tabs>
          <w:tab w:val="left" w:pos="1418"/>
        </w:tabs>
        <w:spacing w:after="0" w:line="240" w:lineRule="auto"/>
        <w:ind w:left="1418" w:hanging="608"/>
        <w:jc w:val="both"/>
        <w:rPr>
          <w:rFonts w:ascii="Georgia" w:hAnsi="Georgia"/>
          <w:bCs/>
          <w:color w:val="000000"/>
          <w:sz w:val="24"/>
          <w:szCs w:val="24"/>
          <w:lang w:val="en-US"/>
        </w:rPr>
      </w:pPr>
      <w:r w:rsidRPr="00012C17">
        <w:rPr>
          <w:rFonts w:ascii="Georgia" w:hAnsi="Georgia"/>
          <w:color w:val="000000"/>
          <w:sz w:val="24"/>
          <w:szCs w:val="24"/>
          <w:lang w:val="en-US"/>
        </w:rPr>
        <w:t xml:space="preserve">TO NOTIFY this decision to the Parties; </w:t>
      </w:r>
    </w:p>
    <w:p w:rsidR="00E84FF8" w:rsidRPr="00012C17" w:rsidRDefault="00E84FF8" w:rsidP="001B11C5">
      <w:pPr>
        <w:pStyle w:val="ListParagraph"/>
        <w:tabs>
          <w:tab w:val="left" w:pos="1418"/>
        </w:tabs>
        <w:spacing w:after="0" w:line="240" w:lineRule="auto"/>
        <w:ind w:left="1418" w:hanging="608"/>
        <w:rPr>
          <w:rFonts w:ascii="Georgia" w:hAnsi="Georgia"/>
          <w:color w:val="000000"/>
          <w:sz w:val="24"/>
          <w:szCs w:val="24"/>
          <w:lang w:val="en-US"/>
        </w:rPr>
      </w:pPr>
    </w:p>
    <w:p w:rsidR="00E84FF8" w:rsidRPr="00012C17" w:rsidRDefault="00E84FF8" w:rsidP="001B11C5">
      <w:pPr>
        <w:pStyle w:val="ListParagraph"/>
        <w:numPr>
          <w:ilvl w:val="0"/>
          <w:numId w:val="24"/>
        </w:numPr>
        <w:tabs>
          <w:tab w:val="left" w:pos="1418"/>
        </w:tabs>
        <w:spacing w:after="0" w:line="240" w:lineRule="auto"/>
        <w:ind w:left="1418" w:hanging="608"/>
        <w:jc w:val="both"/>
        <w:rPr>
          <w:rFonts w:ascii="Georgia" w:hAnsi="Georgia"/>
          <w:bCs/>
          <w:color w:val="000000"/>
          <w:sz w:val="24"/>
          <w:szCs w:val="24"/>
          <w:lang w:val="en-US"/>
        </w:rPr>
      </w:pPr>
      <w:r w:rsidRPr="00012C17">
        <w:rPr>
          <w:rFonts w:ascii="Georgia" w:hAnsi="Georgia"/>
          <w:color w:val="000000"/>
          <w:sz w:val="24"/>
          <w:lang w:val="en-US"/>
        </w:rPr>
        <w:t>TO PUBLISH this Decision in the Official Gazette in accordance with Article 20 (4) of the Law</w:t>
      </w:r>
      <w:r w:rsidRPr="00012C17">
        <w:rPr>
          <w:rFonts w:ascii="Georgia" w:hAnsi="Georgia"/>
          <w:color w:val="000000"/>
          <w:sz w:val="24"/>
          <w:szCs w:val="24"/>
          <w:lang w:val="en-US"/>
        </w:rPr>
        <w:t xml:space="preserve">; </w:t>
      </w:r>
    </w:p>
    <w:p w:rsidR="00E84FF8" w:rsidRPr="00012C17" w:rsidRDefault="00E84FF8" w:rsidP="001B11C5">
      <w:pPr>
        <w:pStyle w:val="ListParagraph"/>
        <w:tabs>
          <w:tab w:val="left" w:pos="1418"/>
        </w:tabs>
        <w:spacing w:after="0" w:line="240" w:lineRule="auto"/>
        <w:ind w:left="1418" w:hanging="608"/>
        <w:rPr>
          <w:rFonts w:ascii="Georgia" w:hAnsi="Georgia"/>
          <w:color w:val="000000"/>
          <w:sz w:val="24"/>
          <w:szCs w:val="24"/>
          <w:lang w:val="en-US"/>
        </w:rPr>
      </w:pPr>
    </w:p>
    <w:p w:rsidR="00E84FF8" w:rsidRPr="00012C17" w:rsidRDefault="00E84FF8" w:rsidP="001B11C5">
      <w:pPr>
        <w:pStyle w:val="ListParagraph"/>
        <w:numPr>
          <w:ilvl w:val="0"/>
          <w:numId w:val="24"/>
        </w:numPr>
        <w:tabs>
          <w:tab w:val="left" w:pos="1418"/>
        </w:tabs>
        <w:spacing w:after="0" w:line="240" w:lineRule="auto"/>
        <w:ind w:left="1418" w:hanging="608"/>
        <w:jc w:val="both"/>
        <w:rPr>
          <w:rFonts w:ascii="Georgia" w:hAnsi="Georgia"/>
          <w:bCs/>
          <w:color w:val="000000"/>
          <w:sz w:val="24"/>
          <w:szCs w:val="24"/>
          <w:lang w:val="en-US"/>
        </w:rPr>
      </w:pPr>
      <w:r w:rsidRPr="00012C17">
        <w:rPr>
          <w:rFonts w:ascii="Georgia" w:hAnsi="Georgia"/>
          <w:color w:val="000000"/>
          <w:sz w:val="24"/>
          <w:lang w:val="en-US"/>
        </w:rPr>
        <w:t>TO DECLARE this Decision effective immediately</w:t>
      </w:r>
      <w:r w:rsidRPr="00012C17">
        <w:rPr>
          <w:rFonts w:ascii="Georgia" w:hAnsi="Georgia"/>
          <w:color w:val="000000"/>
          <w:sz w:val="24"/>
          <w:szCs w:val="24"/>
          <w:lang w:val="en-US"/>
        </w:rPr>
        <w:t>.</w:t>
      </w:r>
    </w:p>
    <w:p w:rsidR="00E84FF8" w:rsidRPr="00012C17" w:rsidRDefault="00E84FF8" w:rsidP="001B11C5">
      <w:pPr>
        <w:pStyle w:val="ListParagraph"/>
        <w:tabs>
          <w:tab w:val="left" w:pos="1418"/>
        </w:tabs>
        <w:spacing w:after="0" w:line="240" w:lineRule="auto"/>
        <w:ind w:left="1418"/>
        <w:rPr>
          <w:rFonts w:ascii="Georgia" w:hAnsi="Georgia"/>
          <w:bCs/>
          <w:color w:val="000000"/>
          <w:sz w:val="24"/>
          <w:szCs w:val="24"/>
          <w:lang w:val="en-US"/>
        </w:rPr>
      </w:pPr>
    </w:p>
    <w:p w:rsidR="00DA42CF" w:rsidRPr="00012C17" w:rsidRDefault="00DA42CF" w:rsidP="001B11C5">
      <w:pPr>
        <w:spacing w:line="240" w:lineRule="auto"/>
        <w:rPr>
          <w:b/>
          <w:color w:val="000000"/>
          <w:sz w:val="24"/>
        </w:rPr>
      </w:pPr>
    </w:p>
    <w:p w:rsidR="00DA42CF" w:rsidRPr="00012C17" w:rsidRDefault="00DA42CF" w:rsidP="001B11C5">
      <w:pPr>
        <w:spacing w:line="240" w:lineRule="auto"/>
        <w:rPr>
          <w:b/>
          <w:color w:val="000000"/>
          <w:sz w:val="24"/>
        </w:rPr>
      </w:pPr>
    </w:p>
    <w:p w:rsidR="00DA42CF" w:rsidRPr="00012C17" w:rsidRDefault="00DA42CF" w:rsidP="001B11C5">
      <w:pPr>
        <w:spacing w:line="240" w:lineRule="auto"/>
        <w:rPr>
          <w:b/>
          <w:color w:val="000000"/>
          <w:sz w:val="24"/>
        </w:rPr>
      </w:pPr>
    </w:p>
    <w:p w:rsidR="001B11C5" w:rsidRPr="00012C17" w:rsidRDefault="001B11C5" w:rsidP="001B11C5">
      <w:pPr>
        <w:spacing w:line="240" w:lineRule="auto"/>
        <w:rPr>
          <w:b/>
          <w:color w:val="000000"/>
          <w:sz w:val="24"/>
        </w:rPr>
      </w:pPr>
    </w:p>
    <w:p w:rsidR="00E84FF8" w:rsidRPr="00012C17" w:rsidRDefault="00E84FF8" w:rsidP="001B11C5">
      <w:pPr>
        <w:spacing w:line="240" w:lineRule="auto"/>
        <w:rPr>
          <w:b/>
          <w:color w:val="000000"/>
          <w:sz w:val="24"/>
        </w:rPr>
      </w:pPr>
      <w:r w:rsidRPr="00012C17">
        <w:rPr>
          <w:b/>
          <w:color w:val="000000"/>
          <w:sz w:val="24"/>
        </w:rPr>
        <w:t>Judge Rapporteur</w:t>
      </w:r>
      <w:r w:rsidR="006E52F9" w:rsidRPr="00012C17">
        <w:rPr>
          <w:b/>
          <w:color w:val="000000"/>
          <w:sz w:val="24"/>
        </w:rPr>
        <w:t xml:space="preserve"> </w:t>
      </w:r>
      <w:r w:rsidR="006E52F9" w:rsidRPr="00012C17">
        <w:rPr>
          <w:b/>
          <w:color w:val="000000"/>
          <w:sz w:val="24"/>
        </w:rPr>
        <w:tab/>
      </w:r>
      <w:r w:rsidR="006E52F9" w:rsidRPr="00012C17">
        <w:rPr>
          <w:b/>
          <w:color w:val="000000"/>
          <w:sz w:val="24"/>
        </w:rPr>
        <w:tab/>
      </w:r>
      <w:r w:rsidR="006E52F9" w:rsidRPr="00012C17">
        <w:rPr>
          <w:b/>
          <w:color w:val="000000"/>
          <w:sz w:val="24"/>
        </w:rPr>
        <w:tab/>
      </w:r>
      <w:r w:rsidRPr="00012C17">
        <w:rPr>
          <w:b/>
          <w:color w:val="000000"/>
          <w:sz w:val="24"/>
        </w:rPr>
        <w:t>President of the Constitutional Court</w:t>
      </w:r>
    </w:p>
    <w:p w:rsidR="00E84FF8" w:rsidRPr="00012C17" w:rsidRDefault="00E84FF8" w:rsidP="001B11C5">
      <w:pPr>
        <w:spacing w:line="240" w:lineRule="auto"/>
        <w:rPr>
          <w:bCs/>
          <w:color w:val="000000"/>
          <w:sz w:val="24"/>
        </w:rPr>
      </w:pPr>
    </w:p>
    <w:p w:rsidR="006E52F9" w:rsidRPr="00012C17" w:rsidRDefault="006E52F9" w:rsidP="001B11C5">
      <w:pPr>
        <w:spacing w:line="240" w:lineRule="auto"/>
        <w:rPr>
          <w:bCs/>
          <w:color w:val="000000"/>
          <w:sz w:val="24"/>
        </w:rPr>
      </w:pPr>
    </w:p>
    <w:p w:rsidR="001B11C5" w:rsidRPr="00012C17" w:rsidRDefault="001B11C5" w:rsidP="001B11C5">
      <w:pPr>
        <w:spacing w:line="240" w:lineRule="auto"/>
        <w:rPr>
          <w:bCs/>
          <w:color w:val="000000"/>
          <w:sz w:val="24"/>
        </w:rPr>
      </w:pPr>
    </w:p>
    <w:p w:rsidR="008D74B5" w:rsidRPr="00012C17" w:rsidRDefault="00E84FF8" w:rsidP="001B11C5">
      <w:pPr>
        <w:spacing w:line="240" w:lineRule="auto"/>
        <w:ind w:left="1080" w:hanging="1080"/>
        <w:rPr>
          <w:color w:val="000000"/>
          <w:sz w:val="24"/>
          <w:lang w:val="it-IT"/>
        </w:rPr>
      </w:pPr>
      <w:r w:rsidRPr="00012C17">
        <w:rPr>
          <w:color w:val="000000"/>
          <w:sz w:val="24"/>
          <w:lang w:val="it-IT"/>
        </w:rPr>
        <w:t>Gresa Caka-Nimani</w:t>
      </w:r>
      <w:r w:rsidRPr="00012C17">
        <w:rPr>
          <w:color w:val="000000"/>
          <w:sz w:val="24"/>
          <w:lang w:val="it-IT"/>
        </w:rPr>
        <w:tab/>
      </w:r>
      <w:r w:rsidRPr="00012C17">
        <w:rPr>
          <w:color w:val="000000"/>
          <w:sz w:val="24"/>
          <w:lang w:val="it-IT"/>
        </w:rPr>
        <w:tab/>
      </w:r>
      <w:r w:rsidRPr="00012C17">
        <w:rPr>
          <w:color w:val="000000"/>
          <w:sz w:val="24"/>
          <w:lang w:val="it-IT"/>
        </w:rPr>
        <w:tab/>
      </w:r>
      <w:r w:rsidR="006E52F9" w:rsidRPr="00012C17">
        <w:rPr>
          <w:color w:val="000000"/>
          <w:sz w:val="24"/>
          <w:lang w:val="it-IT"/>
        </w:rPr>
        <w:t xml:space="preserve"> </w:t>
      </w:r>
      <w:r w:rsidR="00CC78B2" w:rsidRPr="00012C17">
        <w:rPr>
          <w:color w:val="000000"/>
          <w:sz w:val="24"/>
          <w:lang w:val="it-IT"/>
        </w:rPr>
        <w:tab/>
        <w:t xml:space="preserve"> </w:t>
      </w:r>
      <w:r w:rsidRPr="00012C17">
        <w:rPr>
          <w:color w:val="000000"/>
          <w:sz w:val="24"/>
          <w:lang w:val="it-IT"/>
        </w:rPr>
        <w:t xml:space="preserve">Arta </w:t>
      </w:r>
      <w:r w:rsidR="006E52F9" w:rsidRPr="00012C17">
        <w:rPr>
          <w:color w:val="000000"/>
          <w:sz w:val="24"/>
          <w:lang w:val="it-IT"/>
        </w:rPr>
        <w:t>Rama-Hajrizi</w:t>
      </w:r>
    </w:p>
    <w:p w:rsidR="00307046" w:rsidRPr="00012C17" w:rsidRDefault="00307046" w:rsidP="001B11C5">
      <w:pPr>
        <w:spacing w:line="240" w:lineRule="auto"/>
        <w:ind w:left="1080" w:hanging="1080"/>
        <w:rPr>
          <w:color w:val="000000"/>
          <w:sz w:val="24"/>
          <w:lang w:val="it-IT"/>
        </w:rPr>
      </w:pPr>
    </w:p>
    <w:p w:rsidR="001E62E6" w:rsidRPr="00012C17" w:rsidRDefault="001E62E6" w:rsidP="00307046">
      <w:pPr>
        <w:spacing w:line="240" w:lineRule="auto"/>
        <w:jc w:val="center"/>
        <w:rPr>
          <w:b/>
          <w:i/>
          <w:color w:val="000000"/>
        </w:rPr>
      </w:pPr>
    </w:p>
    <w:p w:rsidR="00307046" w:rsidRPr="00012C17" w:rsidRDefault="00307046" w:rsidP="001E62E6">
      <w:pPr>
        <w:spacing w:line="240" w:lineRule="auto"/>
        <w:jc w:val="center"/>
        <w:rPr>
          <w:b/>
          <w:i/>
          <w:color w:val="000000"/>
          <w:sz w:val="24"/>
        </w:rPr>
      </w:pPr>
      <w:r w:rsidRPr="00012C17">
        <w:rPr>
          <w:b/>
          <w:i/>
          <w:color w:val="000000"/>
        </w:rPr>
        <w:t>[This translation is unofficial and serves for informational purposes only.]</w:t>
      </w:r>
    </w:p>
    <w:sectPr w:rsidR="00307046" w:rsidRPr="00012C17" w:rsidSect="003C5252">
      <w:footerReference w:type="default" r:id="rId8"/>
      <w:headerReference w:type="first" r:id="rId9"/>
      <w:footerReference w:type="first" r:id="rId10"/>
      <w:type w:val="continuous"/>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E0" w:rsidRDefault="00ED21E0">
      <w:r>
        <w:separator/>
      </w:r>
    </w:p>
  </w:endnote>
  <w:endnote w:type="continuationSeparator" w:id="0">
    <w:p w:rsidR="00ED21E0" w:rsidRDefault="00ED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d3144">
    <w:altName w:val="Fd"/>
    <w:panose1 w:val="00000000000000000000"/>
    <w:charset w:val="00"/>
    <w:family w:val="roman"/>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d5851">
    <w:altName w:val="F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70" w:rsidRDefault="00F50670">
    <w:pPr>
      <w:pStyle w:val="Footer"/>
    </w:pPr>
  </w:p>
  <w:p w:rsidR="00F50670" w:rsidRDefault="00F50670" w:rsidP="006C1087">
    <w:pPr>
      <w:pStyle w:val="Footer"/>
      <w:jc w:val="center"/>
      <w:rPr>
        <w:sz w:val="22"/>
        <w:szCs w:val="22"/>
      </w:rPr>
    </w:pPr>
    <w:r w:rsidRPr="00776758">
      <w:rPr>
        <w:sz w:val="22"/>
        <w:szCs w:val="22"/>
      </w:rPr>
      <w:fldChar w:fldCharType="begin"/>
    </w:r>
    <w:r w:rsidRPr="00776758">
      <w:rPr>
        <w:sz w:val="22"/>
        <w:szCs w:val="22"/>
      </w:rPr>
      <w:instrText xml:space="preserve"> PAGE  \* Arabic  \* MERGEFORMAT </w:instrText>
    </w:r>
    <w:r w:rsidRPr="00776758">
      <w:rPr>
        <w:sz w:val="22"/>
        <w:szCs w:val="22"/>
      </w:rPr>
      <w:fldChar w:fldCharType="separate"/>
    </w:r>
    <w:r w:rsidR="00C00216">
      <w:rPr>
        <w:noProof/>
        <w:sz w:val="22"/>
        <w:szCs w:val="22"/>
      </w:rPr>
      <w:t>26</w:t>
    </w:r>
    <w:r w:rsidRPr="00776758">
      <w:rPr>
        <w:sz w:val="22"/>
        <w:szCs w:val="22"/>
      </w:rPr>
      <w:fldChar w:fldCharType="end"/>
    </w:r>
  </w:p>
  <w:p w:rsidR="00F50670" w:rsidRDefault="00F50670" w:rsidP="006C1087">
    <w:pPr>
      <w:pStyle w:val="Footer"/>
      <w:jc w:val="center"/>
      <w:rPr>
        <w:sz w:val="22"/>
        <w:szCs w:val="22"/>
      </w:rPr>
    </w:pPr>
  </w:p>
  <w:p w:rsidR="00F50670" w:rsidRPr="006C798A" w:rsidRDefault="00F50670" w:rsidP="006C1087">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70" w:rsidRDefault="00F50670" w:rsidP="00435766">
    <w:pPr>
      <w:pStyle w:val="Footer"/>
      <w:jc w:val="center"/>
      <w:rPr>
        <w:sz w:val="22"/>
        <w:szCs w:val="22"/>
      </w:rPr>
    </w:pPr>
    <w:r>
      <w:rPr>
        <w:sz w:val="22"/>
        <w:szCs w:val="22"/>
      </w:rPr>
      <w:t>1</w:t>
    </w:r>
  </w:p>
  <w:p w:rsidR="00F50670" w:rsidRPr="00602D38" w:rsidRDefault="00F50670" w:rsidP="002470DF">
    <w:pPr>
      <w:pStyle w:val="Footer"/>
      <w:jc w:val="center"/>
      <w:rPr>
        <w:szCs w:val="20"/>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E0" w:rsidRDefault="00ED21E0">
      <w:r>
        <w:separator/>
      </w:r>
    </w:p>
  </w:footnote>
  <w:footnote w:type="continuationSeparator" w:id="0">
    <w:p w:rsidR="00ED21E0" w:rsidRDefault="00ED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70" w:rsidRDefault="00C00216" w:rsidP="00D10204">
    <w:pPr>
      <w:pStyle w:val="Header"/>
      <w:tabs>
        <w:tab w:val="clear" w:pos="4320"/>
        <w:tab w:val="clear" w:pos="8640"/>
        <w:tab w:val="left" w:pos="5191"/>
      </w:tabs>
    </w:pPr>
    <w:r w:rsidRPr="00163C9C">
      <w:rPr>
        <w:noProof/>
      </w:rPr>
      <w:drawing>
        <wp:inline distT="0" distB="0" distL="0" distR="0">
          <wp:extent cx="5722620" cy="1923415"/>
          <wp:effectExtent l="0" t="0" r="0" b="0"/>
          <wp:docPr id="1" name="Picture 4" descr="llogo-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ogo-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1923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61F"/>
    <w:multiLevelType w:val="hybridMultilevel"/>
    <w:tmpl w:val="9A0674E0"/>
    <w:lvl w:ilvl="0" w:tplc="42C28600">
      <w:start w:val="24"/>
      <w:numFmt w:val="decimal"/>
      <w:lvlText w:val="%1."/>
      <w:lvlJc w:val="left"/>
      <w:pPr>
        <w:ind w:left="720" w:hanging="360"/>
      </w:pPr>
      <w:rPr>
        <w:rFonts w:ascii="Georgia" w:hAnsi="Georg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5424"/>
    <w:multiLevelType w:val="hybridMultilevel"/>
    <w:tmpl w:val="84A2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670D"/>
    <w:multiLevelType w:val="hybridMultilevel"/>
    <w:tmpl w:val="242E3BF0"/>
    <w:lvl w:ilvl="0" w:tplc="5D6C7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2B7"/>
    <w:multiLevelType w:val="hybridMultilevel"/>
    <w:tmpl w:val="54AEFE22"/>
    <w:lvl w:ilvl="0" w:tplc="286C038C">
      <w:start w:val="1"/>
      <w:numFmt w:val="decimal"/>
      <w:lvlText w:val="%1."/>
      <w:lvlJc w:val="left"/>
      <w:pPr>
        <w:ind w:left="720" w:hanging="360"/>
      </w:pPr>
      <w:rPr>
        <w:rFonts w:ascii="Georgia" w:hAnsi="Georgia"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44E7"/>
    <w:multiLevelType w:val="hybridMultilevel"/>
    <w:tmpl w:val="CA50F52C"/>
    <w:lvl w:ilvl="0" w:tplc="01AC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C3C85"/>
    <w:multiLevelType w:val="hybridMultilevel"/>
    <w:tmpl w:val="9A0674E0"/>
    <w:lvl w:ilvl="0" w:tplc="42C28600">
      <w:start w:val="24"/>
      <w:numFmt w:val="decimal"/>
      <w:lvlText w:val="%1."/>
      <w:lvlJc w:val="left"/>
      <w:pPr>
        <w:ind w:left="720" w:hanging="360"/>
      </w:pPr>
      <w:rPr>
        <w:rFonts w:ascii="Georgia" w:hAnsi="Georg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954C9"/>
    <w:multiLevelType w:val="hybridMultilevel"/>
    <w:tmpl w:val="30B05922"/>
    <w:lvl w:ilvl="0" w:tplc="A29E2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A1677"/>
    <w:multiLevelType w:val="hybridMultilevel"/>
    <w:tmpl w:val="3A3EEFF4"/>
    <w:lvl w:ilvl="0" w:tplc="4F3C3E30">
      <w:start w:val="1"/>
      <w:numFmt w:val="low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9B913B4"/>
    <w:multiLevelType w:val="hybridMultilevel"/>
    <w:tmpl w:val="BB66F15A"/>
    <w:lvl w:ilvl="0" w:tplc="C8249F7A">
      <w:numFmt w:val="bullet"/>
      <w:lvlText w:val="-"/>
      <w:lvlJc w:val="left"/>
      <w:pPr>
        <w:ind w:left="720" w:hanging="360"/>
      </w:pPr>
      <w:rPr>
        <w:rFonts w:ascii="Georgia" w:eastAsia="Batang"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56F0B"/>
    <w:multiLevelType w:val="hybridMultilevel"/>
    <w:tmpl w:val="5692B2AC"/>
    <w:lvl w:ilvl="0" w:tplc="DC2AE32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D075BCB"/>
    <w:multiLevelType w:val="hybridMultilevel"/>
    <w:tmpl w:val="B8D65B86"/>
    <w:lvl w:ilvl="0" w:tplc="3600F18C">
      <w:start w:val="1"/>
      <w:numFmt w:val="decimal"/>
      <w:lvlText w:val="%1."/>
      <w:lvlJc w:val="left"/>
      <w:pPr>
        <w:ind w:left="360" w:hanging="360"/>
      </w:pPr>
      <w:rPr>
        <w:rFonts w:ascii="Georgia" w:hAnsi="Georgia" w:hint="default"/>
        <w:b w:val="0"/>
        <w:i w:val="0"/>
        <w:color w:val="000000"/>
        <w:sz w:val="24"/>
        <w:szCs w:val="24"/>
      </w:rPr>
    </w:lvl>
    <w:lvl w:ilvl="1" w:tplc="80804D36">
      <w:start w:val="1"/>
      <w:numFmt w:val="decimal"/>
      <w:lvlText w:val="%2."/>
      <w:lvlJc w:val="left"/>
      <w:pPr>
        <w:ind w:left="1440" w:hanging="360"/>
      </w:pPr>
      <w:rPr>
        <w:rFonts w:ascii="Georgia" w:hAnsi="Georgia"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F054762"/>
    <w:multiLevelType w:val="hybridMultilevel"/>
    <w:tmpl w:val="9A0674E0"/>
    <w:lvl w:ilvl="0" w:tplc="42C28600">
      <w:start w:val="24"/>
      <w:numFmt w:val="decimal"/>
      <w:lvlText w:val="%1."/>
      <w:lvlJc w:val="left"/>
      <w:pPr>
        <w:ind w:left="720" w:hanging="360"/>
      </w:pPr>
      <w:rPr>
        <w:rFonts w:ascii="Georgia" w:hAnsi="Georg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D3589"/>
    <w:multiLevelType w:val="hybridMultilevel"/>
    <w:tmpl w:val="13A856AA"/>
    <w:lvl w:ilvl="0" w:tplc="3DC6603A">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5C411BA"/>
    <w:multiLevelType w:val="hybridMultilevel"/>
    <w:tmpl w:val="EDD0E34A"/>
    <w:lvl w:ilvl="0" w:tplc="36D858EE">
      <w:start w:val="1"/>
      <w:numFmt w:val="lowerRoman"/>
      <w:lvlText w:val="(%1)"/>
      <w:lvlJc w:val="left"/>
      <w:pPr>
        <w:ind w:left="1350" w:hanging="72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956095E"/>
    <w:multiLevelType w:val="hybridMultilevel"/>
    <w:tmpl w:val="7258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23270"/>
    <w:multiLevelType w:val="hybridMultilevel"/>
    <w:tmpl w:val="BB6253B2"/>
    <w:lvl w:ilvl="0" w:tplc="4CF499C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B41515"/>
    <w:multiLevelType w:val="hybridMultilevel"/>
    <w:tmpl w:val="260CEBC2"/>
    <w:lvl w:ilvl="0" w:tplc="7CD0CEE0">
      <w:start w:val="1"/>
      <w:numFmt w:val="lowerLetter"/>
      <w:lvlText w:val="%1)"/>
      <w:lvlJc w:val="left"/>
      <w:pPr>
        <w:ind w:left="720" w:hanging="360"/>
      </w:pPr>
      <w:rPr>
        <w:rFonts w:eastAsia="Times New Roman" w:cs="Calibr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F32F9"/>
    <w:multiLevelType w:val="hybridMultilevel"/>
    <w:tmpl w:val="9A0674E0"/>
    <w:lvl w:ilvl="0" w:tplc="42C28600">
      <w:start w:val="24"/>
      <w:numFmt w:val="decimal"/>
      <w:lvlText w:val="%1."/>
      <w:lvlJc w:val="left"/>
      <w:pPr>
        <w:ind w:left="720" w:hanging="360"/>
      </w:pPr>
      <w:rPr>
        <w:rFonts w:ascii="Georgia" w:hAnsi="Georg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E0C28"/>
    <w:multiLevelType w:val="hybridMultilevel"/>
    <w:tmpl w:val="FED861BE"/>
    <w:lvl w:ilvl="0" w:tplc="DB5272A4">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1672B"/>
    <w:multiLevelType w:val="hybridMultilevel"/>
    <w:tmpl w:val="D71AC1B8"/>
    <w:lvl w:ilvl="0" w:tplc="9FB0D4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7DB580E"/>
    <w:multiLevelType w:val="hybridMultilevel"/>
    <w:tmpl w:val="CA0CD802"/>
    <w:lvl w:ilvl="0" w:tplc="C6DA3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E69DB"/>
    <w:multiLevelType w:val="hybridMultilevel"/>
    <w:tmpl w:val="BB6253B2"/>
    <w:lvl w:ilvl="0" w:tplc="4CF499C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E1E26F3"/>
    <w:multiLevelType w:val="hybridMultilevel"/>
    <w:tmpl w:val="881C3EF0"/>
    <w:lvl w:ilvl="0" w:tplc="29C27B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33DC4"/>
    <w:multiLevelType w:val="hybridMultilevel"/>
    <w:tmpl w:val="3A12259A"/>
    <w:lvl w:ilvl="0" w:tplc="FD64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D6B53"/>
    <w:multiLevelType w:val="hybridMultilevel"/>
    <w:tmpl w:val="8A5A33A4"/>
    <w:lvl w:ilvl="0" w:tplc="B14AE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55A1B"/>
    <w:multiLevelType w:val="hybridMultilevel"/>
    <w:tmpl w:val="815ADA6A"/>
    <w:lvl w:ilvl="0" w:tplc="F878C65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53174A"/>
    <w:multiLevelType w:val="hybridMultilevel"/>
    <w:tmpl w:val="BB6253B2"/>
    <w:lvl w:ilvl="0" w:tplc="4CF499C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3E92C73"/>
    <w:multiLevelType w:val="hybridMultilevel"/>
    <w:tmpl w:val="263C1740"/>
    <w:lvl w:ilvl="0" w:tplc="2916943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4B537CE"/>
    <w:multiLevelType w:val="hybridMultilevel"/>
    <w:tmpl w:val="35489D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251C6"/>
    <w:multiLevelType w:val="hybridMultilevel"/>
    <w:tmpl w:val="19869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225F0"/>
    <w:multiLevelType w:val="hybridMultilevel"/>
    <w:tmpl w:val="2410FB12"/>
    <w:lvl w:ilvl="0" w:tplc="80804D36">
      <w:start w:val="1"/>
      <w:numFmt w:val="decimal"/>
      <w:lvlText w:val="%1."/>
      <w:lvlJc w:val="left"/>
      <w:pPr>
        <w:ind w:left="144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B749C"/>
    <w:multiLevelType w:val="hybridMultilevel"/>
    <w:tmpl w:val="F9363BE4"/>
    <w:lvl w:ilvl="0" w:tplc="EF402464">
      <w:start w:val="207"/>
      <w:numFmt w:val="decimal"/>
      <w:lvlText w:val="%1."/>
      <w:lvlJc w:val="left"/>
      <w:pPr>
        <w:ind w:left="825" w:hanging="465"/>
      </w:pPr>
      <w:rPr>
        <w:rFonts w:eastAsia="Calibri" w:hint="default"/>
        <w:i w:val="0"/>
        <w:iCs/>
        <w:color w:val="0B0B0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4"/>
  </w:num>
  <w:num w:numId="5">
    <w:abstractNumId w:val="5"/>
  </w:num>
  <w:num w:numId="6">
    <w:abstractNumId w:val="15"/>
  </w:num>
  <w:num w:numId="7">
    <w:abstractNumId w:val="26"/>
  </w:num>
  <w:num w:numId="8">
    <w:abstractNumId w:val="23"/>
  </w:num>
  <w:num w:numId="9">
    <w:abstractNumId w:val="21"/>
  </w:num>
  <w:num w:numId="10">
    <w:abstractNumId w:val="19"/>
  </w:num>
  <w:num w:numId="11">
    <w:abstractNumId w:val="1"/>
  </w:num>
  <w:num w:numId="12">
    <w:abstractNumId w:val="6"/>
  </w:num>
  <w:num w:numId="13">
    <w:abstractNumId w:val="12"/>
  </w:num>
  <w:num w:numId="14">
    <w:abstractNumId w:val="0"/>
  </w:num>
  <w:num w:numId="15">
    <w:abstractNumId w:val="7"/>
  </w:num>
  <w:num w:numId="16">
    <w:abstractNumId w:val="17"/>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6"/>
  </w:num>
  <w:num w:numId="28">
    <w:abstractNumId w:val="3"/>
  </w:num>
  <w:num w:numId="29">
    <w:abstractNumId w:val="14"/>
  </w:num>
  <w:num w:numId="30">
    <w:abstractNumId w:val="18"/>
  </w:num>
  <w:num w:numId="31">
    <w:abstractNumId w:val="29"/>
  </w:num>
  <w:num w:numId="32">
    <w:abstractNumId w:val="25"/>
  </w:num>
  <w:num w:numId="33">
    <w:abstractNumId w:val="20"/>
  </w:num>
  <w:num w:numId="34">
    <w:abstractNumId w:val="31"/>
  </w:num>
  <w:num w:numId="35">
    <w:abstractNumId w:val="2"/>
  </w:num>
  <w:num w:numId="36">
    <w:abstractNumId w:val="27"/>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CF"/>
    <w:rsid w:val="00000067"/>
    <w:rsid w:val="000008BE"/>
    <w:rsid w:val="00002093"/>
    <w:rsid w:val="00002E1A"/>
    <w:rsid w:val="00002FBA"/>
    <w:rsid w:val="000032D5"/>
    <w:rsid w:val="00004056"/>
    <w:rsid w:val="000044F1"/>
    <w:rsid w:val="0000587F"/>
    <w:rsid w:val="00006555"/>
    <w:rsid w:val="00006C90"/>
    <w:rsid w:val="00006D54"/>
    <w:rsid w:val="00007B79"/>
    <w:rsid w:val="00010044"/>
    <w:rsid w:val="0001132A"/>
    <w:rsid w:val="00011A6D"/>
    <w:rsid w:val="00011B8F"/>
    <w:rsid w:val="00011F5C"/>
    <w:rsid w:val="00012482"/>
    <w:rsid w:val="00012C17"/>
    <w:rsid w:val="00012D27"/>
    <w:rsid w:val="000130EF"/>
    <w:rsid w:val="00013A18"/>
    <w:rsid w:val="00014B30"/>
    <w:rsid w:val="00014F71"/>
    <w:rsid w:val="00017675"/>
    <w:rsid w:val="00020099"/>
    <w:rsid w:val="00020224"/>
    <w:rsid w:val="00020AF7"/>
    <w:rsid w:val="00021161"/>
    <w:rsid w:val="000222E2"/>
    <w:rsid w:val="00023B72"/>
    <w:rsid w:val="00024047"/>
    <w:rsid w:val="00024E74"/>
    <w:rsid w:val="00025719"/>
    <w:rsid w:val="000261BE"/>
    <w:rsid w:val="00026505"/>
    <w:rsid w:val="00026AB2"/>
    <w:rsid w:val="00026B3C"/>
    <w:rsid w:val="00026DB0"/>
    <w:rsid w:val="0002720C"/>
    <w:rsid w:val="0003006D"/>
    <w:rsid w:val="000303D7"/>
    <w:rsid w:val="00030801"/>
    <w:rsid w:val="000309F4"/>
    <w:rsid w:val="00032B5D"/>
    <w:rsid w:val="0003359D"/>
    <w:rsid w:val="00034084"/>
    <w:rsid w:val="00034B2E"/>
    <w:rsid w:val="000355F7"/>
    <w:rsid w:val="00036124"/>
    <w:rsid w:val="00037F5D"/>
    <w:rsid w:val="00040923"/>
    <w:rsid w:val="000412D3"/>
    <w:rsid w:val="0004207D"/>
    <w:rsid w:val="000425EB"/>
    <w:rsid w:val="00042D2D"/>
    <w:rsid w:val="000438E6"/>
    <w:rsid w:val="00043C48"/>
    <w:rsid w:val="00045EA2"/>
    <w:rsid w:val="000464B5"/>
    <w:rsid w:val="000464FB"/>
    <w:rsid w:val="0004671B"/>
    <w:rsid w:val="00046E1D"/>
    <w:rsid w:val="000478EC"/>
    <w:rsid w:val="00047B32"/>
    <w:rsid w:val="00050756"/>
    <w:rsid w:val="00050E51"/>
    <w:rsid w:val="000517CA"/>
    <w:rsid w:val="000518B0"/>
    <w:rsid w:val="00053663"/>
    <w:rsid w:val="00053744"/>
    <w:rsid w:val="000540E8"/>
    <w:rsid w:val="00054763"/>
    <w:rsid w:val="000548A3"/>
    <w:rsid w:val="000561D3"/>
    <w:rsid w:val="000563BB"/>
    <w:rsid w:val="0005644D"/>
    <w:rsid w:val="000568EE"/>
    <w:rsid w:val="00056C2E"/>
    <w:rsid w:val="000571A3"/>
    <w:rsid w:val="00057749"/>
    <w:rsid w:val="00057912"/>
    <w:rsid w:val="000603B5"/>
    <w:rsid w:val="00060B6D"/>
    <w:rsid w:val="0006107A"/>
    <w:rsid w:val="000613C9"/>
    <w:rsid w:val="000623F8"/>
    <w:rsid w:val="00062F88"/>
    <w:rsid w:val="000634E0"/>
    <w:rsid w:val="00063D1B"/>
    <w:rsid w:val="000647FB"/>
    <w:rsid w:val="00064ACE"/>
    <w:rsid w:val="00065FD9"/>
    <w:rsid w:val="00067707"/>
    <w:rsid w:val="0007058F"/>
    <w:rsid w:val="000717A0"/>
    <w:rsid w:val="000721BA"/>
    <w:rsid w:val="00072587"/>
    <w:rsid w:val="000733BA"/>
    <w:rsid w:val="00073954"/>
    <w:rsid w:val="00073E7E"/>
    <w:rsid w:val="00073FEE"/>
    <w:rsid w:val="00074041"/>
    <w:rsid w:val="0007417E"/>
    <w:rsid w:val="000759D9"/>
    <w:rsid w:val="00075E52"/>
    <w:rsid w:val="0007670A"/>
    <w:rsid w:val="00076B66"/>
    <w:rsid w:val="00077DF5"/>
    <w:rsid w:val="00077F82"/>
    <w:rsid w:val="00080000"/>
    <w:rsid w:val="00081752"/>
    <w:rsid w:val="000817BF"/>
    <w:rsid w:val="000825F4"/>
    <w:rsid w:val="00082E1B"/>
    <w:rsid w:val="00082E81"/>
    <w:rsid w:val="000832E1"/>
    <w:rsid w:val="00083AEC"/>
    <w:rsid w:val="00083B51"/>
    <w:rsid w:val="00084214"/>
    <w:rsid w:val="0008443D"/>
    <w:rsid w:val="000845E8"/>
    <w:rsid w:val="00085CF2"/>
    <w:rsid w:val="00085DE2"/>
    <w:rsid w:val="00086322"/>
    <w:rsid w:val="000865AD"/>
    <w:rsid w:val="000875BC"/>
    <w:rsid w:val="00087F32"/>
    <w:rsid w:val="000908D1"/>
    <w:rsid w:val="000910DB"/>
    <w:rsid w:val="0009129C"/>
    <w:rsid w:val="0009142C"/>
    <w:rsid w:val="00092D0D"/>
    <w:rsid w:val="00092EC9"/>
    <w:rsid w:val="00093CD5"/>
    <w:rsid w:val="00093FE8"/>
    <w:rsid w:val="00094172"/>
    <w:rsid w:val="0009513E"/>
    <w:rsid w:val="000954E1"/>
    <w:rsid w:val="0009550F"/>
    <w:rsid w:val="00096BF0"/>
    <w:rsid w:val="00096F3F"/>
    <w:rsid w:val="000970EA"/>
    <w:rsid w:val="000976B4"/>
    <w:rsid w:val="000976E8"/>
    <w:rsid w:val="0009799E"/>
    <w:rsid w:val="00097ADB"/>
    <w:rsid w:val="000A0556"/>
    <w:rsid w:val="000A0BE2"/>
    <w:rsid w:val="000A0E5F"/>
    <w:rsid w:val="000A0FEC"/>
    <w:rsid w:val="000A103D"/>
    <w:rsid w:val="000A103F"/>
    <w:rsid w:val="000A1552"/>
    <w:rsid w:val="000A1553"/>
    <w:rsid w:val="000A1A65"/>
    <w:rsid w:val="000A283B"/>
    <w:rsid w:val="000A2888"/>
    <w:rsid w:val="000A30F1"/>
    <w:rsid w:val="000A4224"/>
    <w:rsid w:val="000B19D2"/>
    <w:rsid w:val="000B2482"/>
    <w:rsid w:val="000B2D82"/>
    <w:rsid w:val="000B3608"/>
    <w:rsid w:val="000B3909"/>
    <w:rsid w:val="000B3981"/>
    <w:rsid w:val="000B4309"/>
    <w:rsid w:val="000B4A3C"/>
    <w:rsid w:val="000B4E71"/>
    <w:rsid w:val="000B4ECE"/>
    <w:rsid w:val="000B563A"/>
    <w:rsid w:val="000B58CF"/>
    <w:rsid w:val="000B6081"/>
    <w:rsid w:val="000B60EC"/>
    <w:rsid w:val="000B6D67"/>
    <w:rsid w:val="000B79BF"/>
    <w:rsid w:val="000B7B2B"/>
    <w:rsid w:val="000B7DB1"/>
    <w:rsid w:val="000C0116"/>
    <w:rsid w:val="000C0390"/>
    <w:rsid w:val="000C07D6"/>
    <w:rsid w:val="000C19C8"/>
    <w:rsid w:val="000C26CF"/>
    <w:rsid w:val="000C3971"/>
    <w:rsid w:val="000C43AA"/>
    <w:rsid w:val="000C43F0"/>
    <w:rsid w:val="000C4606"/>
    <w:rsid w:val="000C581A"/>
    <w:rsid w:val="000C5EC0"/>
    <w:rsid w:val="000C704A"/>
    <w:rsid w:val="000C716E"/>
    <w:rsid w:val="000C7450"/>
    <w:rsid w:val="000C7C4D"/>
    <w:rsid w:val="000C7C89"/>
    <w:rsid w:val="000D02F3"/>
    <w:rsid w:val="000D0631"/>
    <w:rsid w:val="000D12D9"/>
    <w:rsid w:val="000D2AC5"/>
    <w:rsid w:val="000D2C95"/>
    <w:rsid w:val="000D3353"/>
    <w:rsid w:val="000D3B5E"/>
    <w:rsid w:val="000D46DE"/>
    <w:rsid w:val="000D4BAD"/>
    <w:rsid w:val="000D4CEB"/>
    <w:rsid w:val="000D5C4C"/>
    <w:rsid w:val="000D6038"/>
    <w:rsid w:val="000D775A"/>
    <w:rsid w:val="000E03A5"/>
    <w:rsid w:val="000E0EEA"/>
    <w:rsid w:val="000E0F8C"/>
    <w:rsid w:val="000E2391"/>
    <w:rsid w:val="000E29A2"/>
    <w:rsid w:val="000E3930"/>
    <w:rsid w:val="000E3BF9"/>
    <w:rsid w:val="000E428E"/>
    <w:rsid w:val="000E4455"/>
    <w:rsid w:val="000E4608"/>
    <w:rsid w:val="000E5FE9"/>
    <w:rsid w:val="000E68CB"/>
    <w:rsid w:val="000E7F02"/>
    <w:rsid w:val="000F01AF"/>
    <w:rsid w:val="000F0255"/>
    <w:rsid w:val="000F1078"/>
    <w:rsid w:val="000F1126"/>
    <w:rsid w:val="000F1841"/>
    <w:rsid w:val="000F2045"/>
    <w:rsid w:val="000F21B8"/>
    <w:rsid w:val="000F2722"/>
    <w:rsid w:val="000F2D9D"/>
    <w:rsid w:val="000F3028"/>
    <w:rsid w:val="000F32BB"/>
    <w:rsid w:val="000F3C9E"/>
    <w:rsid w:val="000F46CA"/>
    <w:rsid w:val="000F5359"/>
    <w:rsid w:val="000F5573"/>
    <w:rsid w:val="000F5775"/>
    <w:rsid w:val="000F5F6F"/>
    <w:rsid w:val="000F6442"/>
    <w:rsid w:val="000F7B55"/>
    <w:rsid w:val="001001F0"/>
    <w:rsid w:val="00100F07"/>
    <w:rsid w:val="00102DD2"/>
    <w:rsid w:val="00103A56"/>
    <w:rsid w:val="00104641"/>
    <w:rsid w:val="001046C9"/>
    <w:rsid w:val="00104987"/>
    <w:rsid w:val="0010560D"/>
    <w:rsid w:val="00106248"/>
    <w:rsid w:val="00106699"/>
    <w:rsid w:val="00106A46"/>
    <w:rsid w:val="00107E27"/>
    <w:rsid w:val="001102B9"/>
    <w:rsid w:val="001105D9"/>
    <w:rsid w:val="00110A4F"/>
    <w:rsid w:val="00110B94"/>
    <w:rsid w:val="0011124E"/>
    <w:rsid w:val="00111A5E"/>
    <w:rsid w:val="00111D0C"/>
    <w:rsid w:val="00111FDF"/>
    <w:rsid w:val="00112CFC"/>
    <w:rsid w:val="0011358E"/>
    <w:rsid w:val="00113851"/>
    <w:rsid w:val="001138A1"/>
    <w:rsid w:val="00113BBC"/>
    <w:rsid w:val="00114106"/>
    <w:rsid w:val="00114B9E"/>
    <w:rsid w:val="001153F9"/>
    <w:rsid w:val="00116228"/>
    <w:rsid w:val="001163FA"/>
    <w:rsid w:val="00116854"/>
    <w:rsid w:val="00117155"/>
    <w:rsid w:val="0011728F"/>
    <w:rsid w:val="001202E9"/>
    <w:rsid w:val="00120D0C"/>
    <w:rsid w:val="00120DF9"/>
    <w:rsid w:val="00120F70"/>
    <w:rsid w:val="00121BEA"/>
    <w:rsid w:val="00122BEF"/>
    <w:rsid w:val="00122FAB"/>
    <w:rsid w:val="001231DA"/>
    <w:rsid w:val="00124124"/>
    <w:rsid w:val="00125A88"/>
    <w:rsid w:val="001264F7"/>
    <w:rsid w:val="00126587"/>
    <w:rsid w:val="0012663C"/>
    <w:rsid w:val="001270A2"/>
    <w:rsid w:val="0012749B"/>
    <w:rsid w:val="00127743"/>
    <w:rsid w:val="00130248"/>
    <w:rsid w:val="0013138A"/>
    <w:rsid w:val="00131DED"/>
    <w:rsid w:val="00132050"/>
    <w:rsid w:val="00133F07"/>
    <w:rsid w:val="001342D0"/>
    <w:rsid w:val="001345A2"/>
    <w:rsid w:val="001351D3"/>
    <w:rsid w:val="0013565B"/>
    <w:rsid w:val="001363DB"/>
    <w:rsid w:val="0013643A"/>
    <w:rsid w:val="00136501"/>
    <w:rsid w:val="00136855"/>
    <w:rsid w:val="001370C0"/>
    <w:rsid w:val="00137201"/>
    <w:rsid w:val="00137739"/>
    <w:rsid w:val="0013782D"/>
    <w:rsid w:val="00140350"/>
    <w:rsid w:val="001403D6"/>
    <w:rsid w:val="001404BC"/>
    <w:rsid w:val="001411F9"/>
    <w:rsid w:val="00141E5F"/>
    <w:rsid w:val="00142C89"/>
    <w:rsid w:val="00144680"/>
    <w:rsid w:val="00144866"/>
    <w:rsid w:val="00145544"/>
    <w:rsid w:val="00145C17"/>
    <w:rsid w:val="00145FFA"/>
    <w:rsid w:val="00146876"/>
    <w:rsid w:val="0015077A"/>
    <w:rsid w:val="00150B48"/>
    <w:rsid w:val="00151B6F"/>
    <w:rsid w:val="001528B6"/>
    <w:rsid w:val="00152C1B"/>
    <w:rsid w:val="001531FF"/>
    <w:rsid w:val="00154C6A"/>
    <w:rsid w:val="00155837"/>
    <w:rsid w:val="00155870"/>
    <w:rsid w:val="00157DAA"/>
    <w:rsid w:val="00157E32"/>
    <w:rsid w:val="00160650"/>
    <w:rsid w:val="001609BC"/>
    <w:rsid w:val="00161424"/>
    <w:rsid w:val="00161722"/>
    <w:rsid w:val="00161C0E"/>
    <w:rsid w:val="001622E7"/>
    <w:rsid w:val="00162676"/>
    <w:rsid w:val="00162958"/>
    <w:rsid w:val="00162C0A"/>
    <w:rsid w:val="00162EA1"/>
    <w:rsid w:val="00163B11"/>
    <w:rsid w:val="00163C00"/>
    <w:rsid w:val="00163EEF"/>
    <w:rsid w:val="00163F03"/>
    <w:rsid w:val="001641B5"/>
    <w:rsid w:val="001648B6"/>
    <w:rsid w:val="0016498A"/>
    <w:rsid w:val="00164ADC"/>
    <w:rsid w:val="00164C85"/>
    <w:rsid w:val="0016674D"/>
    <w:rsid w:val="001704B1"/>
    <w:rsid w:val="001705C5"/>
    <w:rsid w:val="001707D1"/>
    <w:rsid w:val="00170E1E"/>
    <w:rsid w:val="001715C2"/>
    <w:rsid w:val="0017381C"/>
    <w:rsid w:val="00173DCC"/>
    <w:rsid w:val="00174C08"/>
    <w:rsid w:val="00174C1F"/>
    <w:rsid w:val="001758C1"/>
    <w:rsid w:val="00175E40"/>
    <w:rsid w:val="00176A15"/>
    <w:rsid w:val="00177653"/>
    <w:rsid w:val="001777F9"/>
    <w:rsid w:val="0018069F"/>
    <w:rsid w:val="00180C51"/>
    <w:rsid w:val="00180D1D"/>
    <w:rsid w:val="00180EE3"/>
    <w:rsid w:val="001818A8"/>
    <w:rsid w:val="00181CCD"/>
    <w:rsid w:val="00181CE4"/>
    <w:rsid w:val="00182294"/>
    <w:rsid w:val="001834D7"/>
    <w:rsid w:val="00183DCC"/>
    <w:rsid w:val="00184E4F"/>
    <w:rsid w:val="00185326"/>
    <w:rsid w:val="00185B75"/>
    <w:rsid w:val="00186AD2"/>
    <w:rsid w:val="00186CAA"/>
    <w:rsid w:val="00187FC9"/>
    <w:rsid w:val="00190B93"/>
    <w:rsid w:val="00190E88"/>
    <w:rsid w:val="00191638"/>
    <w:rsid w:val="00191927"/>
    <w:rsid w:val="00191A92"/>
    <w:rsid w:val="00191C28"/>
    <w:rsid w:val="001921CA"/>
    <w:rsid w:val="00192AFF"/>
    <w:rsid w:val="00192FB1"/>
    <w:rsid w:val="001938A1"/>
    <w:rsid w:val="001942EF"/>
    <w:rsid w:val="00194B1B"/>
    <w:rsid w:val="00194CF6"/>
    <w:rsid w:val="00195E0F"/>
    <w:rsid w:val="0019602E"/>
    <w:rsid w:val="00196084"/>
    <w:rsid w:val="00196A95"/>
    <w:rsid w:val="00197478"/>
    <w:rsid w:val="0019771D"/>
    <w:rsid w:val="00197D66"/>
    <w:rsid w:val="00197DEF"/>
    <w:rsid w:val="001A016E"/>
    <w:rsid w:val="001A0317"/>
    <w:rsid w:val="001A0B8D"/>
    <w:rsid w:val="001A0E0A"/>
    <w:rsid w:val="001A1884"/>
    <w:rsid w:val="001A20D2"/>
    <w:rsid w:val="001A324D"/>
    <w:rsid w:val="001A337F"/>
    <w:rsid w:val="001A35D9"/>
    <w:rsid w:val="001A39B6"/>
    <w:rsid w:val="001A3F4D"/>
    <w:rsid w:val="001A4E93"/>
    <w:rsid w:val="001A519F"/>
    <w:rsid w:val="001A5674"/>
    <w:rsid w:val="001A6010"/>
    <w:rsid w:val="001A632E"/>
    <w:rsid w:val="001A6387"/>
    <w:rsid w:val="001A659A"/>
    <w:rsid w:val="001A6D9A"/>
    <w:rsid w:val="001A6F0A"/>
    <w:rsid w:val="001A70B1"/>
    <w:rsid w:val="001A71CE"/>
    <w:rsid w:val="001B00A2"/>
    <w:rsid w:val="001B07F7"/>
    <w:rsid w:val="001B11C0"/>
    <w:rsid w:val="001B11C5"/>
    <w:rsid w:val="001B1230"/>
    <w:rsid w:val="001B148D"/>
    <w:rsid w:val="001B1567"/>
    <w:rsid w:val="001B1881"/>
    <w:rsid w:val="001B1A92"/>
    <w:rsid w:val="001B1E9A"/>
    <w:rsid w:val="001B1ECB"/>
    <w:rsid w:val="001B1EDC"/>
    <w:rsid w:val="001B286F"/>
    <w:rsid w:val="001B3AFB"/>
    <w:rsid w:val="001B3C67"/>
    <w:rsid w:val="001B42B9"/>
    <w:rsid w:val="001B446D"/>
    <w:rsid w:val="001B4CB8"/>
    <w:rsid w:val="001B6313"/>
    <w:rsid w:val="001B690B"/>
    <w:rsid w:val="001B706B"/>
    <w:rsid w:val="001B7992"/>
    <w:rsid w:val="001B7DAE"/>
    <w:rsid w:val="001C018A"/>
    <w:rsid w:val="001C0B41"/>
    <w:rsid w:val="001C1556"/>
    <w:rsid w:val="001C16BE"/>
    <w:rsid w:val="001C365C"/>
    <w:rsid w:val="001C3B5C"/>
    <w:rsid w:val="001C3C43"/>
    <w:rsid w:val="001C3E98"/>
    <w:rsid w:val="001C3FDE"/>
    <w:rsid w:val="001C4810"/>
    <w:rsid w:val="001C575A"/>
    <w:rsid w:val="001C59F8"/>
    <w:rsid w:val="001C6809"/>
    <w:rsid w:val="001C6C09"/>
    <w:rsid w:val="001C6FFB"/>
    <w:rsid w:val="001C7018"/>
    <w:rsid w:val="001C737B"/>
    <w:rsid w:val="001C75F7"/>
    <w:rsid w:val="001C7CE7"/>
    <w:rsid w:val="001D0E0B"/>
    <w:rsid w:val="001D1A19"/>
    <w:rsid w:val="001D2748"/>
    <w:rsid w:val="001D33D4"/>
    <w:rsid w:val="001D38DF"/>
    <w:rsid w:val="001D4311"/>
    <w:rsid w:val="001D4956"/>
    <w:rsid w:val="001D4B45"/>
    <w:rsid w:val="001D52FA"/>
    <w:rsid w:val="001D57D0"/>
    <w:rsid w:val="001D57DA"/>
    <w:rsid w:val="001D594D"/>
    <w:rsid w:val="001D5983"/>
    <w:rsid w:val="001D5CC3"/>
    <w:rsid w:val="001D6AFC"/>
    <w:rsid w:val="001D7127"/>
    <w:rsid w:val="001D7162"/>
    <w:rsid w:val="001D7440"/>
    <w:rsid w:val="001D7A71"/>
    <w:rsid w:val="001E0133"/>
    <w:rsid w:val="001E0288"/>
    <w:rsid w:val="001E0527"/>
    <w:rsid w:val="001E05E9"/>
    <w:rsid w:val="001E11E3"/>
    <w:rsid w:val="001E14AC"/>
    <w:rsid w:val="001E153D"/>
    <w:rsid w:val="001E1F5B"/>
    <w:rsid w:val="001E26B9"/>
    <w:rsid w:val="001E2CB0"/>
    <w:rsid w:val="001E5578"/>
    <w:rsid w:val="001E602A"/>
    <w:rsid w:val="001E62E6"/>
    <w:rsid w:val="001E67ED"/>
    <w:rsid w:val="001E6F8D"/>
    <w:rsid w:val="001E72CF"/>
    <w:rsid w:val="001E760A"/>
    <w:rsid w:val="001F05CD"/>
    <w:rsid w:val="001F0CCE"/>
    <w:rsid w:val="001F13F3"/>
    <w:rsid w:val="001F26C3"/>
    <w:rsid w:val="001F3112"/>
    <w:rsid w:val="001F3164"/>
    <w:rsid w:val="001F3DD6"/>
    <w:rsid w:val="001F45A9"/>
    <w:rsid w:val="001F45EF"/>
    <w:rsid w:val="001F5522"/>
    <w:rsid w:val="001F5CBC"/>
    <w:rsid w:val="001F5FDB"/>
    <w:rsid w:val="001F685F"/>
    <w:rsid w:val="001F6F06"/>
    <w:rsid w:val="001F71EA"/>
    <w:rsid w:val="00201491"/>
    <w:rsid w:val="00201F0E"/>
    <w:rsid w:val="0020277E"/>
    <w:rsid w:val="00202AB5"/>
    <w:rsid w:val="00202E89"/>
    <w:rsid w:val="0020364A"/>
    <w:rsid w:val="00203BED"/>
    <w:rsid w:val="002045FC"/>
    <w:rsid w:val="00204F66"/>
    <w:rsid w:val="00205603"/>
    <w:rsid w:val="00205691"/>
    <w:rsid w:val="0020586C"/>
    <w:rsid w:val="0020597A"/>
    <w:rsid w:val="0020707E"/>
    <w:rsid w:val="002075FB"/>
    <w:rsid w:val="00210C29"/>
    <w:rsid w:val="00210F66"/>
    <w:rsid w:val="0021258D"/>
    <w:rsid w:val="002125FC"/>
    <w:rsid w:val="00212C06"/>
    <w:rsid w:val="002131EF"/>
    <w:rsid w:val="0021371B"/>
    <w:rsid w:val="00213B29"/>
    <w:rsid w:val="00213B2C"/>
    <w:rsid w:val="0021411B"/>
    <w:rsid w:val="002141F3"/>
    <w:rsid w:val="00214826"/>
    <w:rsid w:val="00215632"/>
    <w:rsid w:val="00215932"/>
    <w:rsid w:val="002167D9"/>
    <w:rsid w:val="00217133"/>
    <w:rsid w:val="00220659"/>
    <w:rsid w:val="00220EFB"/>
    <w:rsid w:val="00220F85"/>
    <w:rsid w:val="0022128C"/>
    <w:rsid w:val="00221821"/>
    <w:rsid w:val="00221F2D"/>
    <w:rsid w:val="00222C97"/>
    <w:rsid w:val="002245E9"/>
    <w:rsid w:val="00225197"/>
    <w:rsid w:val="00225250"/>
    <w:rsid w:val="00225DAC"/>
    <w:rsid w:val="002276B4"/>
    <w:rsid w:val="00227AF2"/>
    <w:rsid w:val="002300DB"/>
    <w:rsid w:val="00230298"/>
    <w:rsid w:val="002313EB"/>
    <w:rsid w:val="002316BE"/>
    <w:rsid w:val="00231AAF"/>
    <w:rsid w:val="00232139"/>
    <w:rsid w:val="002321BC"/>
    <w:rsid w:val="00232838"/>
    <w:rsid w:val="00232D31"/>
    <w:rsid w:val="002331C8"/>
    <w:rsid w:val="00233B22"/>
    <w:rsid w:val="00233E69"/>
    <w:rsid w:val="00233ED9"/>
    <w:rsid w:val="0023443F"/>
    <w:rsid w:val="002362D0"/>
    <w:rsid w:val="00236314"/>
    <w:rsid w:val="00237100"/>
    <w:rsid w:val="0023794C"/>
    <w:rsid w:val="00240315"/>
    <w:rsid w:val="0024157F"/>
    <w:rsid w:val="00241795"/>
    <w:rsid w:val="00242C71"/>
    <w:rsid w:val="002436FE"/>
    <w:rsid w:val="002437EF"/>
    <w:rsid w:val="00243877"/>
    <w:rsid w:val="00244A6E"/>
    <w:rsid w:val="00244A73"/>
    <w:rsid w:val="002470DF"/>
    <w:rsid w:val="00247185"/>
    <w:rsid w:val="00247F59"/>
    <w:rsid w:val="00250437"/>
    <w:rsid w:val="0025149A"/>
    <w:rsid w:val="00251663"/>
    <w:rsid w:val="00251753"/>
    <w:rsid w:val="00251D4E"/>
    <w:rsid w:val="002525CB"/>
    <w:rsid w:val="00252665"/>
    <w:rsid w:val="002536B6"/>
    <w:rsid w:val="00253749"/>
    <w:rsid w:val="00253DDE"/>
    <w:rsid w:val="00254B4D"/>
    <w:rsid w:val="00255260"/>
    <w:rsid w:val="0025533F"/>
    <w:rsid w:val="002559AB"/>
    <w:rsid w:val="00255AF4"/>
    <w:rsid w:val="00256676"/>
    <w:rsid w:val="00256F6C"/>
    <w:rsid w:val="002572F8"/>
    <w:rsid w:val="002573CE"/>
    <w:rsid w:val="00257A3C"/>
    <w:rsid w:val="00257D6C"/>
    <w:rsid w:val="00260365"/>
    <w:rsid w:val="00260B5A"/>
    <w:rsid w:val="00260B8B"/>
    <w:rsid w:val="0026266C"/>
    <w:rsid w:val="00262D9B"/>
    <w:rsid w:val="00262F9D"/>
    <w:rsid w:val="00263193"/>
    <w:rsid w:val="00263354"/>
    <w:rsid w:val="002635D1"/>
    <w:rsid w:val="00263F49"/>
    <w:rsid w:val="002646A2"/>
    <w:rsid w:val="002646E7"/>
    <w:rsid w:val="0026484D"/>
    <w:rsid w:val="00264ED7"/>
    <w:rsid w:val="00264EF8"/>
    <w:rsid w:val="00265C1D"/>
    <w:rsid w:val="00265D47"/>
    <w:rsid w:val="00266353"/>
    <w:rsid w:val="00266625"/>
    <w:rsid w:val="00267677"/>
    <w:rsid w:val="00270A51"/>
    <w:rsid w:val="00270DB5"/>
    <w:rsid w:val="002717A8"/>
    <w:rsid w:val="00271CF2"/>
    <w:rsid w:val="00272A69"/>
    <w:rsid w:val="002740F8"/>
    <w:rsid w:val="002743A9"/>
    <w:rsid w:val="0027453D"/>
    <w:rsid w:val="0027467A"/>
    <w:rsid w:val="0027502D"/>
    <w:rsid w:val="002752D7"/>
    <w:rsid w:val="0027538A"/>
    <w:rsid w:val="002754BB"/>
    <w:rsid w:val="00275768"/>
    <w:rsid w:val="00276CE4"/>
    <w:rsid w:val="00276F34"/>
    <w:rsid w:val="00277325"/>
    <w:rsid w:val="002776EF"/>
    <w:rsid w:val="00277AA7"/>
    <w:rsid w:val="00277DB6"/>
    <w:rsid w:val="002806B0"/>
    <w:rsid w:val="00280B17"/>
    <w:rsid w:val="00280EA3"/>
    <w:rsid w:val="00282A44"/>
    <w:rsid w:val="002835D6"/>
    <w:rsid w:val="00283F28"/>
    <w:rsid w:val="00284434"/>
    <w:rsid w:val="00284BCD"/>
    <w:rsid w:val="00284F74"/>
    <w:rsid w:val="002852A5"/>
    <w:rsid w:val="00285B6E"/>
    <w:rsid w:val="00286382"/>
    <w:rsid w:val="00286C6D"/>
    <w:rsid w:val="00290338"/>
    <w:rsid w:val="00290A52"/>
    <w:rsid w:val="002926A0"/>
    <w:rsid w:val="0029277F"/>
    <w:rsid w:val="0029320D"/>
    <w:rsid w:val="0029345F"/>
    <w:rsid w:val="00293467"/>
    <w:rsid w:val="00294226"/>
    <w:rsid w:val="002946E5"/>
    <w:rsid w:val="00294B2F"/>
    <w:rsid w:val="00295E9B"/>
    <w:rsid w:val="00296635"/>
    <w:rsid w:val="00296DB8"/>
    <w:rsid w:val="0029708A"/>
    <w:rsid w:val="0029719A"/>
    <w:rsid w:val="002975AC"/>
    <w:rsid w:val="002A0006"/>
    <w:rsid w:val="002A02F5"/>
    <w:rsid w:val="002A1620"/>
    <w:rsid w:val="002A1665"/>
    <w:rsid w:val="002A1BD1"/>
    <w:rsid w:val="002A228A"/>
    <w:rsid w:val="002A27F8"/>
    <w:rsid w:val="002A2B17"/>
    <w:rsid w:val="002A31C2"/>
    <w:rsid w:val="002A3344"/>
    <w:rsid w:val="002A3C24"/>
    <w:rsid w:val="002A4A2F"/>
    <w:rsid w:val="002A4AB6"/>
    <w:rsid w:val="002A550C"/>
    <w:rsid w:val="002A5FB5"/>
    <w:rsid w:val="002A63DA"/>
    <w:rsid w:val="002A7334"/>
    <w:rsid w:val="002A7520"/>
    <w:rsid w:val="002A76FD"/>
    <w:rsid w:val="002A7D6B"/>
    <w:rsid w:val="002B0CC3"/>
    <w:rsid w:val="002B11B5"/>
    <w:rsid w:val="002B1AF7"/>
    <w:rsid w:val="002B20ED"/>
    <w:rsid w:val="002B2434"/>
    <w:rsid w:val="002B2867"/>
    <w:rsid w:val="002B2982"/>
    <w:rsid w:val="002B4086"/>
    <w:rsid w:val="002B462F"/>
    <w:rsid w:val="002B4D7C"/>
    <w:rsid w:val="002B4DE4"/>
    <w:rsid w:val="002B5155"/>
    <w:rsid w:val="002B57E9"/>
    <w:rsid w:val="002B673D"/>
    <w:rsid w:val="002B6CB3"/>
    <w:rsid w:val="002B6E10"/>
    <w:rsid w:val="002B6EAB"/>
    <w:rsid w:val="002B79D9"/>
    <w:rsid w:val="002C011F"/>
    <w:rsid w:val="002C0B93"/>
    <w:rsid w:val="002C0BBD"/>
    <w:rsid w:val="002C140C"/>
    <w:rsid w:val="002C1757"/>
    <w:rsid w:val="002C1D09"/>
    <w:rsid w:val="002C1E0A"/>
    <w:rsid w:val="002C233A"/>
    <w:rsid w:val="002C24D9"/>
    <w:rsid w:val="002C2763"/>
    <w:rsid w:val="002C2821"/>
    <w:rsid w:val="002C317E"/>
    <w:rsid w:val="002C52D6"/>
    <w:rsid w:val="002C579C"/>
    <w:rsid w:val="002C5943"/>
    <w:rsid w:val="002C5D57"/>
    <w:rsid w:val="002C5F55"/>
    <w:rsid w:val="002C7039"/>
    <w:rsid w:val="002C714E"/>
    <w:rsid w:val="002C7B71"/>
    <w:rsid w:val="002D027A"/>
    <w:rsid w:val="002D0A92"/>
    <w:rsid w:val="002D0AFE"/>
    <w:rsid w:val="002D0E14"/>
    <w:rsid w:val="002D201E"/>
    <w:rsid w:val="002D2735"/>
    <w:rsid w:val="002D29B8"/>
    <w:rsid w:val="002D303F"/>
    <w:rsid w:val="002D3AE9"/>
    <w:rsid w:val="002D3C33"/>
    <w:rsid w:val="002D409B"/>
    <w:rsid w:val="002D45BB"/>
    <w:rsid w:val="002D48AA"/>
    <w:rsid w:val="002D5B7C"/>
    <w:rsid w:val="002D6A12"/>
    <w:rsid w:val="002D6B79"/>
    <w:rsid w:val="002D71D0"/>
    <w:rsid w:val="002D7295"/>
    <w:rsid w:val="002D7696"/>
    <w:rsid w:val="002D77A2"/>
    <w:rsid w:val="002D7960"/>
    <w:rsid w:val="002D7CC1"/>
    <w:rsid w:val="002E31D1"/>
    <w:rsid w:val="002E3A86"/>
    <w:rsid w:val="002E3AEC"/>
    <w:rsid w:val="002E3CB9"/>
    <w:rsid w:val="002E4083"/>
    <w:rsid w:val="002E43C3"/>
    <w:rsid w:val="002E47B6"/>
    <w:rsid w:val="002E4901"/>
    <w:rsid w:val="002E55C7"/>
    <w:rsid w:val="002E62A7"/>
    <w:rsid w:val="002E6FDB"/>
    <w:rsid w:val="002E7A51"/>
    <w:rsid w:val="002E7DCC"/>
    <w:rsid w:val="002F0303"/>
    <w:rsid w:val="002F1DC2"/>
    <w:rsid w:val="002F2CA5"/>
    <w:rsid w:val="002F2E31"/>
    <w:rsid w:val="002F2E80"/>
    <w:rsid w:val="002F39D4"/>
    <w:rsid w:val="002F3F28"/>
    <w:rsid w:val="002F4BDD"/>
    <w:rsid w:val="002F508D"/>
    <w:rsid w:val="002F5B70"/>
    <w:rsid w:val="002F5C46"/>
    <w:rsid w:val="002F61A6"/>
    <w:rsid w:val="002F67FC"/>
    <w:rsid w:val="002F6A97"/>
    <w:rsid w:val="002F7067"/>
    <w:rsid w:val="002F71DF"/>
    <w:rsid w:val="002F7698"/>
    <w:rsid w:val="00300A0E"/>
    <w:rsid w:val="00300EE5"/>
    <w:rsid w:val="00301231"/>
    <w:rsid w:val="00302D2B"/>
    <w:rsid w:val="00302FA1"/>
    <w:rsid w:val="0030339D"/>
    <w:rsid w:val="003037E9"/>
    <w:rsid w:val="003038F2"/>
    <w:rsid w:val="0030400B"/>
    <w:rsid w:val="00305031"/>
    <w:rsid w:val="00305C68"/>
    <w:rsid w:val="00306208"/>
    <w:rsid w:val="00306F40"/>
    <w:rsid w:val="00307046"/>
    <w:rsid w:val="0030706B"/>
    <w:rsid w:val="0030777F"/>
    <w:rsid w:val="00310265"/>
    <w:rsid w:val="003102E8"/>
    <w:rsid w:val="003107D1"/>
    <w:rsid w:val="00311423"/>
    <w:rsid w:val="00312D21"/>
    <w:rsid w:val="0031306E"/>
    <w:rsid w:val="00313488"/>
    <w:rsid w:val="003136A2"/>
    <w:rsid w:val="00314175"/>
    <w:rsid w:val="0031438F"/>
    <w:rsid w:val="003160D4"/>
    <w:rsid w:val="00316956"/>
    <w:rsid w:val="00320AA0"/>
    <w:rsid w:val="00320CB7"/>
    <w:rsid w:val="003210B0"/>
    <w:rsid w:val="00321542"/>
    <w:rsid w:val="00321A24"/>
    <w:rsid w:val="00322267"/>
    <w:rsid w:val="00322C9D"/>
    <w:rsid w:val="003232F1"/>
    <w:rsid w:val="003235E4"/>
    <w:rsid w:val="00323B4E"/>
    <w:rsid w:val="0032493D"/>
    <w:rsid w:val="00324B95"/>
    <w:rsid w:val="00325DC9"/>
    <w:rsid w:val="00326CD1"/>
    <w:rsid w:val="003270A1"/>
    <w:rsid w:val="00327C68"/>
    <w:rsid w:val="00330EAB"/>
    <w:rsid w:val="00331AA3"/>
    <w:rsid w:val="00331B5A"/>
    <w:rsid w:val="00331B69"/>
    <w:rsid w:val="0033205F"/>
    <w:rsid w:val="00332A4E"/>
    <w:rsid w:val="00333657"/>
    <w:rsid w:val="00333802"/>
    <w:rsid w:val="00333984"/>
    <w:rsid w:val="003339EB"/>
    <w:rsid w:val="00334329"/>
    <w:rsid w:val="0033442A"/>
    <w:rsid w:val="00334DFE"/>
    <w:rsid w:val="0033563B"/>
    <w:rsid w:val="003360BA"/>
    <w:rsid w:val="00336211"/>
    <w:rsid w:val="00336670"/>
    <w:rsid w:val="003369E8"/>
    <w:rsid w:val="00336C92"/>
    <w:rsid w:val="00337190"/>
    <w:rsid w:val="003377F2"/>
    <w:rsid w:val="0034068B"/>
    <w:rsid w:val="00340816"/>
    <w:rsid w:val="00340ED6"/>
    <w:rsid w:val="003410C0"/>
    <w:rsid w:val="00341371"/>
    <w:rsid w:val="00341681"/>
    <w:rsid w:val="0034238C"/>
    <w:rsid w:val="003426F2"/>
    <w:rsid w:val="003427C1"/>
    <w:rsid w:val="003431F5"/>
    <w:rsid w:val="003445D7"/>
    <w:rsid w:val="003450FE"/>
    <w:rsid w:val="0034615F"/>
    <w:rsid w:val="00346851"/>
    <w:rsid w:val="00346E42"/>
    <w:rsid w:val="00346F67"/>
    <w:rsid w:val="00347127"/>
    <w:rsid w:val="003471F6"/>
    <w:rsid w:val="003472A2"/>
    <w:rsid w:val="003478C2"/>
    <w:rsid w:val="00347D4F"/>
    <w:rsid w:val="00350BBC"/>
    <w:rsid w:val="00351D00"/>
    <w:rsid w:val="003523C7"/>
    <w:rsid w:val="00352CE6"/>
    <w:rsid w:val="003532BE"/>
    <w:rsid w:val="0035332D"/>
    <w:rsid w:val="00353BC6"/>
    <w:rsid w:val="003547BE"/>
    <w:rsid w:val="00354B7F"/>
    <w:rsid w:val="00354EF4"/>
    <w:rsid w:val="0035549C"/>
    <w:rsid w:val="00356814"/>
    <w:rsid w:val="00356F39"/>
    <w:rsid w:val="00357F73"/>
    <w:rsid w:val="0036048B"/>
    <w:rsid w:val="00361C13"/>
    <w:rsid w:val="00361D18"/>
    <w:rsid w:val="003621F3"/>
    <w:rsid w:val="0036227B"/>
    <w:rsid w:val="00362C19"/>
    <w:rsid w:val="003631B5"/>
    <w:rsid w:val="003635F8"/>
    <w:rsid w:val="003647E9"/>
    <w:rsid w:val="00365562"/>
    <w:rsid w:val="00365B04"/>
    <w:rsid w:val="00365E72"/>
    <w:rsid w:val="00365F64"/>
    <w:rsid w:val="0036656C"/>
    <w:rsid w:val="003674EB"/>
    <w:rsid w:val="003676CF"/>
    <w:rsid w:val="00367977"/>
    <w:rsid w:val="00370333"/>
    <w:rsid w:val="0037219A"/>
    <w:rsid w:val="00373E91"/>
    <w:rsid w:val="0037423B"/>
    <w:rsid w:val="00374863"/>
    <w:rsid w:val="003749A1"/>
    <w:rsid w:val="003749C1"/>
    <w:rsid w:val="00374B44"/>
    <w:rsid w:val="00374CF2"/>
    <w:rsid w:val="00375A4B"/>
    <w:rsid w:val="00375BD3"/>
    <w:rsid w:val="00375CF3"/>
    <w:rsid w:val="00376827"/>
    <w:rsid w:val="00377125"/>
    <w:rsid w:val="0037732D"/>
    <w:rsid w:val="003778E5"/>
    <w:rsid w:val="00377DED"/>
    <w:rsid w:val="0038078D"/>
    <w:rsid w:val="0038095B"/>
    <w:rsid w:val="0038362A"/>
    <w:rsid w:val="003856A7"/>
    <w:rsid w:val="00385EAA"/>
    <w:rsid w:val="0038639C"/>
    <w:rsid w:val="003869A9"/>
    <w:rsid w:val="00386B8E"/>
    <w:rsid w:val="00386DBF"/>
    <w:rsid w:val="00387392"/>
    <w:rsid w:val="00387D73"/>
    <w:rsid w:val="00387E12"/>
    <w:rsid w:val="00390A8F"/>
    <w:rsid w:val="00390E11"/>
    <w:rsid w:val="00391335"/>
    <w:rsid w:val="00391BD2"/>
    <w:rsid w:val="00392052"/>
    <w:rsid w:val="0039399B"/>
    <w:rsid w:val="003940BC"/>
    <w:rsid w:val="0039424A"/>
    <w:rsid w:val="0039459E"/>
    <w:rsid w:val="003947DC"/>
    <w:rsid w:val="003947E3"/>
    <w:rsid w:val="003947EE"/>
    <w:rsid w:val="00394C45"/>
    <w:rsid w:val="00395409"/>
    <w:rsid w:val="003955D8"/>
    <w:rsid w:val="0039602F"/>
    <w:rsid w:val="003960AE"/>
    <w:rsid w:val="00396102"/>
    <w:rsid w:val="00396725"/>
    <w:rsid w:val="00396862"/>
    <w:rsid w:val="003970CA"/>
    <w:rsid w:val="003977D4"/>
    <w:rsid w:val="003978AC"/>
    <w:rsid w:val="003A0299"/>
    <w:rsid w:val="003A0AF9"/>
    <w:rsid w:val="003A16FE"/>
    <w:rsid w:val="003A1F53"/>
    <w:rsid w:val="003A24C1"/>
    <w:rsid w:val="003A2844"/>
    <w:rsid w:val="003A3840"/>
    <w:rsid w:val="003A5BCC"/>
    <w:rsid w:val="003A5CA1"/>
    <w:rsid w:val="003A5D72"/>
    <w:rsid w:val="003A6045"/>
    <w:rsid w:val="003A6B6D"/>
    <w:rsid w:val="003A70BF"/>
    <w:rsid w:val="003A7A80"/>
    <w:rsid w:val="003B02D9"/>
    <w:rsid w:val="003B04DA"/>
    <w:rsid w:val="003B0987"/>
    <w:rsid w:val="003B0ADB"/>
    <w:rsid w:val="003B2162"/>
    <w:rsid w:val="003B2B7B"/>
    <w:rsid w:val="003B2E72"/>
    <w:rsid w:val="003B2FA1"/>
    <w:rsid w:val="003B344E"/>
    <w:rsid w:val="003B379B"/>
    <w:rsid w:val="003B3D27"/>
    <w:rsid w:val="003B3DB0"/>
    <w:rsid w:val="003B3EA7"/>
    <w:rsid w:val="003B40C6"/>
    <w:rsid w:val="003B5A01"/>
    <w:rsid w:val="003B5BF9"/>
    <w:rsid w:val="003B5C05"/>
    <w:rsid w:val="003B5E1B"/>
    <w:rsid w:val="003B6339"/>
    <w:rsid w:val="003B65AD"/>
    <w:rsid w:val="003B65F7"/>
    <w:rsid w:val="003B71D8"/>
    <w:rsid w:val="003B7407"/>
    <w:rsid w:val="003C0383"/>
    <w:rsid w:val="003C0479"/>
    <w:rsid w:val="003C079F"/>
    <w:rsid w:val="003C07A6"/>
    <w:rsid w:val="003C0A1D"/>
    <w:rsid w:val="003C0AD0"/>
    <w:rsid w:val="003C10BD"/>
    <w:rsid w:val="003C13F1"/>
    <w:rsid w:val="003C1B38"/>
    <w:rsid w:val="003C24FE"/>
    <w:rsid w:val="003C30FE"/>
    <w:rsid w:val="003C4417"/>
    <w:rsid w:val="003C46BA"/>
    <w:rsid w:val="003C49C2"/>
    <w:rsid w:val="003C4D1B"/>
    <w:rsid w:val="003C4DCC"/>
    <w:rsid w:val="003C4FC1"/>
    <w:rsid w:val="003C5252"/>
    <w:rsid w:val="003C5253"/>
    <w:rsid w:val="003C5696"/>
    <w:rsid w:val="003C6046"/>
    <w:rsid w:val="003C6DEA"/>
    <w:rsid w:val="003C75C0"/>
    <w:rsid w:val="003D0E4F"/>
    <w:rsid w:val="003D10E3"/>
    <w:rsid w:val="003D2911"/>
    <w:rsid w:val="003D2913"/>
    <w:rsid w:val="003D29B5"/>
    <w:rsid w:val="003D34B3"/>
    <w:rsid w:val="003D4152"/>
    <w:rsid w:val="003D45FD"/>
    <w:rsid w:val="003D4BF4"/>
    <w:rsid w:val="003D5C4A"/>
    <w:rsid w:val="003D5E04"/>
    <w:rsid w:val="003D6729"/>
    <w:rsid w:val="003D7B57"/>
    <w:rsid w:val="003D7E5D"/>
    <w:rsid w:val="003E1FE8"/>
    <w:rsid w:val="003E2098"/>
    <w:rsid w:val="003E2544"/>
    <w:rsid w:val="003E254B"/>
    <w:rsid w:val="003E2D86"/>
    <w:rsid w:val="003E2E09"/>
    <w:rsid w:val="003E33C3"/>
    <w:rsid w:val="003E3668"/>
    <w:rsid w:val="003E423A"/>
    <w:rsid w:val="003E4AEB"/>
    <w:rsid w:val="003E5298"/>
    <w:rsid w:val="003E5FDB"/>
    <w:rsid w:val="003E7162"/>
    <w:rsid w:val="003E755D"/>
    <w:rsid w:val="003E7F5F"/>
    <w:rsid w:val="003F0E8A"/>
    <w:rsid w:val="003F1A06"/>
    <w:rsid w:val="003F1D5B"/>
    <w:rsid w:val="003F1E84"/>
    <w:rsid w:val="003F22E2"/>
    <w:rsid w:val="003F298D"/>
    <w:rsid w:val="003F2B90"/>
    <w:rsid w:val="003F36F6"/>
    <w:rsid w:val="003F382D"/>
    <w:rsid w:val="003F3E8D"/>
    <w:rsid w:val="003F41E7"/>
    <w:rsid w:val="003F45F6"/>
    <w:rsid w:val="003F4A90"/>
    <w:rsid w:val="003F4C26"/>
    <w:rsid w:val="003F7040"/>
    <w:rsid w:val="00400AD4"/>
    <w:rsid w:val="00401E41"/>
    <w:rsid w:val="00401FF7"/>
    <w:rsid w:val="004024CA"/>
    <w:rsid w:val="004026E0"/>
    <w:rsid w:val="0040374A"/>
    <w:rsid w:val="00403C8E"/>
    <w:rsid w:val="0040446D"/>
    <w:rsid w:val="0040468E"/>
    <w:rsid w:val="004076AA"/>
    <w:rsid w:val="004105C1"/>
    <w:rsid w:val="00410E41"/>
    <w:rsid w:val="00412424"/>
    <w:rsid w:val="00412D79"/>
    <w:rsid w:val="004131D1"/>
    <w:rsid w:val="0041410D"/>
    <w:rsid w:val="004147C7"/>
    <w:rsid w:val="00414E12"/>
    <w:rsid w:val="0041556C"/>
    <w:rsid w:val="0041592A"/>
    <w:rsid w:val="00415FED"/>
    <w:rsid w:val="00416139"/>
    <w:rsid w:val="004169D3"/>
    <w:rsid w:val="00417499"/>
    <w:rsid w:val="00417559"/>
    <w:rsid w:val="0041779F"/>
    <w:rsid w:val="00417F2C"/>
    <w:rsid w:val="004200A1"/>
    <w:rsid w:val="004202C5"/>
    <w:rsid w:val="00420FCF"/>
    <w:rsid w:val="00421585"/>
    <w:rsid w:val="00421D6E"/>
    <w:rsid w:val="00422E17"/>
    <w:rsid w:val="004245CF"/>
    <w:rsid w:val="004254C0"/>
    <w:rsid w:val="00426123"/>
    <w:rsid w:val="004261D1"/>
    <w:rsid w:val="004261F2"/>
    <w:rsid w:val="0042670C"/>
    <w:rsid w:val="00427FC3"/>
    <w:rsid w:val="00430948"/>
    <w:rsid w:val="00430EBE"/>
    <w:rsid w:val="0043143B"/>
    <w:rsid w:val="00431C89"/>
    <w:rsid w:val="00431DF5"/>
    <w:rsid w:val="00431E35"/>
    <w:rsid w:val="00432280"/>
    <w:rsid w:val="00432299"/>
    <w:rsid w:val="00434062"/>
    <w:rsid w:val="00434090"/>
    <w:rsid w:val="004348A4"/>
    <w:rsid w:val="00434A11"/>
    <w:rsid w:val="0043564F"/>
    <w:rsid w:val="00435766"/>
    <w:rsid w:val="00435A3A"/>
    <w:rsid w:val="00435BEE"/>
    <w:rsid w:val="0043630C"/>
    <w:rsid w:val="004365D1"/>
    <w:rsid w:val="00436B18"/>
    <w:rsid w:val="00436F32"/>
    <w:rsid w:val="00437204"/>
    <w:rsid w:val="004375F6"/>
    <w:rsid w:val="00437906"/>
    <w:rsid w:val="0043793D"/>
    <w:rsid w:val="00437D5A"/>
    <w:rsid w:val="00440D9B"/>
    <w:rsid w:val="0044247A"/>
    <w:rsid w:val="00442896"/>
    <w:rsid w:val="0044326D"/>
    <w:rsid w:val="00443628"/>
    <w:rsid w:val="00443B48"/>
    <w:rsid w:val="00443CB3"/>
    <w:rsid w:val="0044416F"/>
    <w:rsid w:val="00444509"/>
    <w:rsid w:val="00444560"/>
    <w:rsid w:val="00444D43"/>
    <w:rsid w:val="00445E13"/>
    <w:rsid w:val="00445E56"/>
    <w:rsid w:val="00446125"/>
    <w:rsid w:val="0044657B"/>
    <w:rsid w:val="00446605"/>
    <w:rsid w:val="00446EEC"/>
    <w:rsid w:val="0044745E"/>
    <w:rsid w:val="00452759"/>
    <w:rsid w:val="00452794"/>
    <w:rsid w:val="00453209"/>
    <w:rsid w:val="004535FA"/>
    <w:rsid w:val="0045394B"/>
    <w:rsid w:val="00453D71"/>
    <w:rsid w:val="004540D5"/>
    <w:rsid w:val="004541CC"/>
    <w:rsid w:val="00454481"/>
    <w:rsid w:val="00454CEF"/>
    <w:rsid w:val="00455BD1"/>
    <w:rsid w:val="00455D92"/>
    <w:rsid w:val="004562D0"/>
    <w:rsid w:val="0045656B"/>
    <w:rsid w:val="00456802"/>
    <w:rsid w:val="004579B1"/>
    <w:rsid w:val="00457C15"/>
    <w:rsid w:val="00457CEC"/>
    <w:rsid w:val="00460EB8"/>
    <w:rsid w:val="00460F9F"/>
    <w:rsid w:val="004610C4"/>
    <w:rsid w:val="004622A8"/>
    <w:rsid w:val="004624A1"/>
    <w:rsid w:val="004626F2"/>
    <w:rsid w:val="004629BC"/>
    <w:rsid w:val="00462DB2"/>
    <w:rsid w:val="00462E33"/>
    <w:rsid w:val="00463547"/>
    <w:rsid w:val="00465631"/>
    <w:rsid w:val="00465859"/>
    <w:rsid w:val="00465E61"/>
    <w:rsid w:val="004670B6"/>
    <w:rsid w:val="0046784E"/>
    <w:rsid w:val="00467D1A"/>
    <w:rsid w:val="00470C8C"/>
    <w:rsid w:val="00470CB9"/>
    <w:rsid w:val="0047234E"/>
    <w:rsid w:val="0047241B"/>
    <w:rsid w:val="00473C14"/>
    <w:rsid w:val="00473EA3"/>
    <w:rsid w:val="00474254"/>
    <w:rsid w:val="00474391"/>
    <w:rsid w:val="0047490F"/>
    <w:rsid w:val="0047497C"/>
    <w:rsid w:val="00474C1D"/>
    <w:rsid w:val="0047672A"/>
    <w:rsid w:val="00476B65"/>
    <w:rsid w:val="0047722C"/>
    <w:rsid w:val="00477BF3"/>
    <w:rsid w:val="00477C2C"/>
    <w:rsid w:val="004805CA"/>
    <w:rsid w:val="00480844"/>
    <w:rsid w:val="00480B1C"/>
    <w:rsid w:val="00481050"/>
    <w:rsid w:val="00481434"/>
    <w:rsid w:val="0048174E"/>
    <w:rsid w:val="00481D4F"/>
    <w:rsid w:val="00482943"/>
    <w:rsid w:val="00482BE6"/>
    <w:rsid w:val="00482E02"/>
    <w:rsid w:val="00482F88"/>
    <w:rsid w:val="00483066"/>
    <w:rsid w:val="00483749"/>
    <w:rsid w:val="0048375D"/>
    <w:rsid w:val="004838CA"/>
    <w:rsid w:val="00483C9E"/>
    <w:rsid w:val="00483F84"/>
    <w:rsid w:val="00485172"/>
    <w:rsid w:val="00485921"/>
    <w:rsid w:val="00485D1E"/>
    <w:rsid w:val="004861E6"/>
    <w:rsid w:val="00486FA1"/>
    <w:rsid w:val="00487E7F"/>
    <w:rsid w:val="004919AD"/>
    <w:rsid w:val="00491FF5"/>
    <w:rsid w:val="004921EE"/>
    <w:rsid w:val="00492450"/>
    <w:rsid w:val="00492631"/>
    <w:rsid w:val="004926D3"/>
    <w:rsid w:val="00493511"/>
    <w:rsid w:val="00494617"/>
    <w:rsid w:val="004972C2"/>
    <w:rsid w:val="00497B10"/>
    <w:rsid w:val="004A029C"/>
    <w:rsid w:val="004A1664"/>
    <w:rsid w:val="004A1A44"/>
    <w:rsid w:val="004A1D61"/>
    <w:rsid w:val="004A23A1"/>
    <w:rsid w:val="004A2705"/>
    <w:rsid w:val="004A3765"/>
    <w:rsid w:val="004A4459"/>
    <w:rsid w:val="004A44E5"/>
    <w:rsid w:val="004A591B"/>
    <w:rsid w:val="004A5E62"/>
    <w:rsid w:val="004A5F34"/>
    <w:rsid w:val="004A625E"/>
    <w:rsid w:val="004A66EA"/>
    <w:rsid w:val="004A67C8"/>
    <w:rsid w:val="004A70C2"/>
    <w:rsid w:val="004A72FF"/>
    <w:rsid w:val="004B0044"/>
    <w:rsid w:val="004B00E4"/>
    <w:rsid w:val="004B0257"/>
    <w:rsid w:val="004B050A"/>
    <w:rsid w:val="004B07C7"/>
    <w:rsid w:val="004B0F6A"/>
    <w:rsid w:val="004B0FF9"/>
    <w:rsid w:val="004B1D17"/>
    <w:rsid w:val="004B26A9"/>
    <w:rsid w:val="004B270E"/>
    <w:rsid w:val="004B3CC0"/>
    <w:rsid w:val="004B3E99"/>
    <w:rsid w:val="004B524C"/>
    <w:rsid w:val="004B55DE"/>
    <w:rsid w:val="004B5ED1"/>
    <w:rsid w:val="004B6577"/>
    <w:rsid w:val="004B695A"/>
    <w:rsid w:val="004B69C5"/>
    <w:rsid w:val="004B734B"/>
    <w:rsid w:val="004B75EE"/>
    <w:rsid w:val="004B782C"/>
    <w:rsid w:val="004C0259"/>
    <w:rsid w:val="004C1AE0"/>
    <w:rsid w:val="004C1C12"/>
    <w:rsid w:val="004C391E"/>
    <w:rsid w:val="004C3959"/>
    <w:rsid w:val="004C3D3F"/>
    <w:rsid w:val="004C3D97"/>
    <w:rsid w:val="004C3E9A"/>
    <w:rsid w:val="004C4285"/>
    <w:rsid w:val="004C434C"/>
    <w:rsid w:val="004C5BA7"/>
    <w:rsid w:val="004C5BE4"/>
    <w:rsid w:val="004C6138"/>
    <w:rsid w:val="004C61C8"/>
    <w:rsid w:val="004C666A"/>
    <w:rsid w:val="004C66B8"/>
    <w:rsid w:val="004C6A75"/>
    <w:rsid w:val="004C6ACE"/>
    <w:rsid w:val="004D082E"/>
    <w:rsid w:val="004D085D"/>
    <w:rsid w:val="004D0D6C"/>
    <w:rsid w:val="004D0E15"/>
    <w:rsid w:val="004D0EB1"/>
    <w:rsid w:val="004D10C6"/>
    <w:rsid w:val="004D135E"/>
    <w:rsid w:val="004D2AB2"/>
    <w:rsid w:val="004D2B15"/>
    <w:rsid w:val="004D2F68"/>
    <w:rsid w:val="004D3C4F"/>
    <w:rsid w:val="004D4144"/>
    <w:rsid w:val="004D4222"/>
    <w:rsid w:val="004D56C5"/>
    <w:rsid w:val="004D6249"/>
    <w:rsid w:val="004E0E85"/>
    <w:rsid w:val="004E18E3"/>
    <w:rsid w:val="004E2316"/>
    <w:rsid w:val="004E2C71"/>
    <w:rsid w:val="004E6111"/>
    <w:rsid w:val="004E63AD"/>
    <w:rsid w:val="004E64FF"/>
    <w:rsid w:val="004E672D"/>
    <w:rsid w:val="004E6751"/>
    <w:rsid w:val="004E6B69"/>
    <w:rsid w:val="004E6EC0"/>
    <w:rsid w:val="004E7059"/>
    <w:rsid w:val="004F13B0"/>
    <w:rsid w:val="004F1431"/>
    <w:rsid w:val="004F16BA"/>
    <w:rsid w:val="004F2024"/>
    <w:rsid w:val="004F276F"/>
    <w:rsid w:val="004F2D0B"/>
    <w:rsid w:val="004F30F5"/>
    <w:rsid w:val="004F3257"/>
    <w:rsid w:val="004F367D"/>
    <w:rsid w:val="004F37D2"/>
    <w:rsid w:val="004F3A3F"/>
    <w:rsid w:val="004F3B26"/>
    <w:rsid w:val="004F3D14"/>
    <w:rsid w:val="004F3F76"/>
    <w:rsid w:val="004F43F3"/>
    <w:rsid w:val="004F60CC"/>
    <w:rsid w:val="004F665A"/>
    <w:rsid w:val="004F699F"/>
    <w:rsid w:val="004F6F49"/>
    <w:rsid w:val="004F798F"/>
    <w:rsid w:val="004F7A50"/>
    <w:rsid w:val="00500555"/>
    <w:rsid w:val="005015A9"/>
    <w:rsid w:val="0050162D"/>
    <w:rsid w:val="00501BC8"/>
    <w:rsid w:val="005022A0"/>
    <w:rsid w:val="00502304"/>
    <w:rsid w:val="005024E1"/>
    <w:rsid w:val="00502D5C"/>
    <w:rsid w:val="00503467"/>
    <w:rsid w:val="0050374A"/>
    <w:rsid w:val="0050394C"/>
    <w:rsid w:val="00503BE8"/>
    <w:rsid w:val="00504231"/>
    <w:rsid w:val="00504844"/>
    <w:rsid w:val="00504B93"/>
    <w:rsid w:val="0050568E"/>
    <w:rsid w:val="0050595B"/>
    <w:rsid w:val="00505E2A"/>
    <w:rsid w:val="005061A2"/>
    <w:rsid w:val="005077F4"/>
    <w:rsid w:val="00511DCE"/>
    <w:rsid w:val="00511F00"/>
    <w:rsid w:val="005122E7"/>
    <w:rsid w:val="0051239D"/>
    <w:rsid w:val="005125F7"/>
    <w:rsid w:val="00512DB6"/>
    <w:rsid w:val="005138C8"/>
    <w:rsid w:val="00513EE6"/>
    <w:rsid w:val="00513F07"/>
    <w:rsid w:val="00513F84"/>
    <w:rsid w:val="00514ED2"/>
    <w:rsid w:val="005152B2"/>
    <w:rsid w:val="005159FA"/>
    <w:rsid w:val="00515F15"/>
    <w:rsid w:val="00515F69"/>
    <w:rsid w:val="005163CF"/>
    <w:rsid w:val="00517106"/>
    <w:rsid w:val="0051731F"/>
    <w:rsid w:val="00517405"/>
    <w:rsid w:val="005178C7"/>
    <w:rsid w:val="00517A92"/>
    <w:rsid w:val="00520431"/>
    <w:rsid w:val="00520896"/>
    <w:rsid w:val="00521458"/>
    <w:rsid w:val="00521885"/>
    <w:rsid w:val="00521FA8"/>
    <w:rsid w:val="00522826"/>
    <w:rsid w:val="0052297E"/>
    <w:rsid w:val="00522BA2"/>
    <w:rsid w:val="00522C61"/>
    <w:rsid w:val="005230EA"/>
    <w:rsid w:val="0052410F"/>
    <w:rsid w:val="0052482A"/>
    <w:rsid w:val="005252E0"/>
    <w:rsid w:val="00525599"/>
    <w:rsid w:val="00525C50"/>
    <w:rsid w:val="005268F5"/>
    <w:rsid w:val="00527647"/>
    <w:rsid w:val="00527660"/>
    <w:rsid w:val="00527807"/>
    <w:rsid w:val="00527823"/>
    <w:rsid w:val="0052796A"/>
    <w:rsid w:val="00527B9A"/>
    <w:rsid w:val="00530E2E"/>
    <w:rsid w:val="00531902"/>
    <w:rsid w:val="00531DDD"/>
    <w:rsid w:val="00531DF2"/>
    <w:rsid w:val="00532C2C"/>
    <w:rsid w:val="0053335A"/>
    <w:rsid w:val="00533905"/>
    <w:rsid w:val="00533B5E"/>
    <w:rsid w:val="00534081"/>
    <w:rsid w:val="0053563A"/>
    <w:rsid w:val="0053725B"/>
    <w:rsid w:val="00537BCD"/>
    <w:rsid w:val="00537F8B"/>
    <w:rsid w:val="00541176"/>
    <w:rsid w:val="0054221F"/>
    <w:rsid w:val="00543237"/>
    <w:rsid w:val="00543561"/>
    <w:rsid w:val="005440E4"/>
    <w:rsid w:val="00544340"/>
    <w:rsid w:val="00544680"/>
    <w:rsid w:val="00544692"/>
    <w:rsid w:val="00544994"/>
    <w:rsid w:val="00546C07"/>
    <w:rsid w:val="00546CD7"/>
    <w:rsid w:val="00547AAA"/>
    <w:rsid w:val="0055075E"/>
    <w:rsid w:val="005507A4"/>
    <w:rsid w:val="00550971"/>
    <w:rsid w:val="00550DE7"/>
    <w:rsid w:val="00550F5D"/>
    <w:rsid w:val="00552976"/>
    <w:rsid w:val="0055298B"/>
    <w:rsid w:val="00552E5F"/>
    <w:rsid w:val="00553B3A"/>
    <w:rsid w:val="00554B77"/>
    <w:rsid w:val="005551AA"/>
    <w:rsid w:val="00555216"/>
    <w:rsid w:val="005552E9"/>
    <w:rsid w:val="00555506"/>
    <w:rsid w:val="00555B54"/>
    <w:rsid w:val="0055670D"/>
    <w:rsid w:val="00556BBF"/>
    <w:rsid w:val="00556CDA"/>
    <w:rsid w:val="005571C4"/>
    <w:rsid w:val="0055747A"/>
    <w:rsid w:val="00560022"/>
    <w:rsid w:val="005613EA"/>
    <w:rsid w:val="00561460"/>
    <w:rsid w:val="0056196F"/>
    <w:rsid w:val="00561B8F"/>
    <w:rsid w:val="00561F16"/>
    <w:rsid w:val="00562075"/>
    <w:rsid w:val="005624AA"/>
    <w:rsid w:val="00563D6D"/>
    <w:rsid w:val="00564196"/>
    <w:rsid w:val="00564EB2"/>
    <w:rsid w:val="005657FB"/>
    <w:rsid w:val="00565AEB"/>
    <w:rsid w:val="00566042"/>
    <w:rsid w:val="00566B39"/>
    <w:rsid w:val="00566C7C"/>
    <w:rsid w:val="005671ED"/>
    <w:rsid w:val="00567298"/>
    <w:rsid w:val="0056760E"/>
    <w:rsid w:val="00567B51"/>
    <w:rsid w:val="0057080B"/>
    <w:rsid w:val="00570B3F"/>
    <w:rsid w:val="0057113A"/>
    <w:rsid w:val="005715EA"/>
    <w:rsid w:val="00571B2D"/>
    <w:rsid w:val="005722AE"/>
    <w:rsid w:val="005735D0"/>
    <w:rsid w:val="0057369C"/>
    <w:rsid w:val="0057419E"/>
    <w:rsid w:val="005749EF"/>
    <w:rsid w:val="005754EC"/>
    <w:rsid w:val="0057568D"/>
    <w:rsid w:val="005756A5"/>
    <w:rsid w:val="0057578D"/>
    <w:rsid w:val="00575DC1"/>
    <w:rsid w:val="00575E5D"/>
    <w:rsid w:val="00575FA9"/>
    <w:rsid w:val="00576031"/>
    <w:rsid w:val="005766F2"/>
    <w:rsid w:val="00576EB4"/>
    <w:rsid w:val="005805C6"/>
    <w:rsid w:val="005805D2"/>
    <w:rsid w:val="00580877"/>
    <w:rsid w:val="0058209F"/>
    <w:rsid w:val="00583159"/>
    <w:rsid w:val="00583B42"/>
    <w:rsid w:val="0058551B"/>
    <w:rsid w:val="005859CC"/>
    <w:rsid w:val="00585DF2"/>
    <w:rsid w:val="00587C39"/>
    <w:rsid w:val="00587E81"/>
    <w:rsid w:val="00590226"/>
    <w:rsid w:val="00590D81"/>
    <w:rsid w:val="00590DBF"/>
    <w:rsid w:val="00591490"/>
    <w:rsid w:val="00591503"/>
    <w:rsid w:val="00592148"/>
    <w:rsid w:val="005926F1"/>
    <w:rsid w:val="0059335F"/>
    <w:rsid w:val="0059338E"/>
    <w:rsid w:val="00593FE4"/>
    <w:rsid w:val="00594418"/>
    <w:rsid w:val="00594A8D"/>
    <w:rsid w:val="005952F5"/>
    <w:rsid w:val="0059535C"/>
    <w:rsid w:val="005955B6"/>
    <w:rsid w:val="0059560F"/>
    <w:rsid w:val="00596516"/>
    <w:rsid w:val="005967F6"/>
    <w:rsid w:val="00597438"/>
    <w:rsid w:val="00597A8E"/>
    <w:rsid w:val="00597C38"/>
    <w:rsid w:val="005A00B1"/>
    <w:rsid w:val="005A025F"/>
    <w:rsid w:val="005A0BF6"/>
    <w:rsid w:val="005A1145"/>
    <w:rsid w:val="005A1C66"/>
    <w:rsid w:val="005A2805"/>
    <w:rsid w:val="005A2D4E"/>
    <w:rsid w:val="005A325C"/>
    <w:rsid w:val="005A3766"/>
    <w:rsid w:val="005A3A39"/>
    <w:rsid w:val="005A3FBE"/>
    <w:rsid w:val="005A4B39"/>
    <w:rsid w:val="005A63FB"/>
    <w:rsid w:val="005A6404"/>
    <w:rsid w:val="005A69AB"/>
    <w:rsid w:val="005A6BC5"/>
    <w:rsid w:val="005A7843"/>
    <w:rsid w:val="005A7A9B"/>
    <w:rsid w:val="005B0092"/>
    <w:rsid w:val="005B03EF"/>
    <w:rsid w:val="005B102A"/>
    <w:rsid w:val="005B1186"/>
    <w:rsid w:val="005B1886"/>
    <w:rsid w:val="005B20F7"/>
    <w:rsid w:val="005B21EA"/>
    <w:rsid w:val="005B22BD"/>
    <w:rsid w:val="005B262F"/>
    <w:rsid w:val="005B2A03"/>
    <w:rsid w:val="005B3DF1"/>
    <w:rsid w:val="005B49C8"/>
    <w:rsid w:val="005B5843"/>
    <w:rsid w:val="005B5A10"/>
    <w:rsid w:val="005B6008"/>
    <w:rsid w:val="005B6C25"/>
    <w:rsid w:val="005B6D77"/>
    <w:rsid w:val="005B72AD"/>
    <w:rsid w:val="005B7C3E"/>
    <w:rsid w:val="005C0031"/>
    <w:rsid w:val="005C03D9"/>
    <w:rsid w:val="005C07A5"/>
    <w:rsid w:val="005C095E"/>
    <w:rsid w:val="005C0A6F"/>
    <w:rsid w:val="005C11AD"/>
    <w:rsid w:val="005C1883"/>
    <w:rsid w:val="005C25D9"/>
    <w:rsid w:val="005C312B"/>
    <w:rsid w:val="005C31D3"/>
    <w:rsid w:val="005C4218"/>
    <w:rsid w:val="005C4973"/>
    <w:rsid w:val="005C567A"/>
    <w:rsid w:val="005C6060"/>
    <w:rsid w:val="005C65A6"/>
    <w:rsid w:val="005C724A"/>
    <w:rsid w:val="005C79F2"/>
    <w:rsid w:val="005C7E63"/>
    <w:rsid w:val="005D0367"/>
    <w:rsid w:val="005D0AEB"/>
    <w:rsid w:val="005D0AF7"/>
    <w:rsid w:val="005D0F5A"/>
    <w:rsid w:val="005D0F6A"/>
    <w:rsid w:val="005D157B"/>
    <w:rsid w:val="005D16E5"/>
    <w:rsid w:val="005D178F"/>
    <w:rsid w:val="005D1BCD"/>
    <w:rsid w:val="005D1FAB"/>
    <w:rsid w:val="005D2E8F"/>
    <w:rsid w:val="005D324B"/>
    <w:rsid w:val="005D3F51"/>
    <w:rsid w:val="005D3F71"/>
    <w:rsid w:val="005D454A"/>
    <w:rsid w:val="005D5471"/>
    <w:rsid w:val="005D5C2F"/>
    <w:rsid w:val="005D5F95"/>
    <w:rsid w:val="005D62AE"/>
    <w:rsid w:val="005D64E7"/>
    <w:rsid w:val="005D6F24"/>
    <w:rsid w:val="005D6F4B"/>
    <w:rsid w:val="005D71C7"/>
    <w:rsid w:val="005D736A"/>
    <w:rsid w:val="005D73B3"/>
    <w:rsid w:val="005D7CE0"/>
    <w:rsid w:val="005E08EA"/>
    <w:rsid w:val="005E209D"/>
    <w:rsid w:val="005E233F"/>
    <w:rsid w:val="005E2455"/>
    <w:rsid w:val="005E2A55"/>
    <w:rsid w:val="005E2C4F"/>
    <w:rsid w:val="005E36D9"/>
    <w:rsid w:val="005E3735"/>
    <w:rsid w:val="005E43BC"/>
    <w:rsid w:val="005E43F1"/>
    <w:rsid w:val="005E46DC"/>
    <w:rsid w:val="005E4BBC"/>
    <w:rsid w:val="005E4D44"/>
    <w:rsid w:val="005E61F5"/>
    <w:rsid w:val="005E6446"/>
    <w:rsid w:val="005E6811"/>
    <w:rsid w:val="005E6EDE"/>
    <w:rsid w:val="005E74D1"/>
    <w:rsid w:val="005F01B1"/>
    <w:rsid w:val="005F0806"/>
    <w:rsid w:val="005F080D"/>
    <w:rsid w:val="005F1C87"/>
    <w:rsid w:val="005F207D"/>
    <w:rsid w:val="005F29EB"/>
    <w:rsid w:val="005F3086"/>
    <w:rsid w:val="005F30D2"/>
    <w:rsid w:val="005F3372"/>
    <w:rsid w:val="005F4ABD"/>
    <w:rsid w:val="005F4D52"/>
    <w:rsid w:val="005F4FD0"/>
    <w:rsid w:val="005F59DC"/>
    <w:rsid w:val="005F670D"/>
    <w:rsid w:val="005F68F5"/>
    <w:rsid w:val="005F6E1E"/>
    <w:rsid w:val="005F713F"/>
    <w:rsid w:val="005F7604"/>
    <w:rsid w:val="005F769F"/>
    <w:rsid w:val="005F7CF5"/>
    <w:rsid w:val="00600576"/>
    <w:rsid w:val="006007A0"/>
    <w:rsid w:val="00600A04"/>
    <w:rsid w:val="00600EE6"/>
    <w:rsid w:val="00601144"/>
    <w:rsid w:val="00601263"/>
    <w:rsid w:val="006014F6"/>
    <w:rsid w:val="00602229"/>
    <w:rsid w:val="00602528"/>
    <w:rsid w:val="0060278D"/>
    <w:rsid w:val="00602D38"/>
    <w:rsid w:val="0060366E"/>
    <w:rsid w:val="00603C0C"/>
    <w:rsid w:val="00603D6C"/>
    <w:rsid w:val="00604861"/>
    <w:rsid w:val="00604A8F"/>
    <w:rsid w:val="006050EB"/>
    <w:rsid w:val="00605ACA"/>
    <w:rsid w:val="00606328"/>
    <w:rsid w:val="00606634"/>
    <w:rsid w:val="00606D23"/>
    <w:rsid w:val="0060760A"/>
    <w:rsid w:val="006121A0"/>
    <w:rsid w:val="00613644"/>
    <w:rsid w:val="00613BAF"/>
    <w:rsid w:val="0061535D"/>
    <w:rsid w:val="0061558C"/>
    <w:rsid w:val="006156BD"/>
    <w:rsid w:val="00615ABF"/>
    <w:rsid w:val="00616121"/>
    <w:rsid w:val="00616513"/>
    <w:rsid w:val="00616A65"/>
    <w:rsid w:val="00616C0A"/>
    <w:rsid w:val="00616F7C"/>
    <w:rsid w:val="00617249"/>
    <w:rsid w:val="00617411"/>
    <w:rsid w:val="0062083C"/>
    <w:rsid w:val="00620F1C"/>
    <w:rsid w:val="00621EE4"/>
    <w:rsid w:val="00622150"/>
    <w:rsid w:val="00622D5A"/>
    <w:rsid w:val="0062326C"/>
    <w:rsid w:val="00623D53"/>
    <w:rsid w:val="00624AA9"/>
    <w:rsid w:val="006250EF"/>
    <w:rsid w:val="00625B1D"/>
    <w:rsid w:val="00625CB9"/>
    <w:rsid w:val="0062615A"/>
    <w:rsid w:val="0062676A"/>
    <w:rsid w:val="006279D5"/>
    <w:rsid w:val="00627F94"/>
    <w:rsid w:val="0063009E"/>
    <w:rsid w:val="00630F62"/>
    <w:rsid w:val="00632302"/>
    <w:rsid w:val="0063283C"/>
    <w:rsid w:val="0063284B"/>
    <w:rsid w:val="00632D3D"/>
    <w:rsid w:val="00632F33"/>
    <w:rsid w:val="0063332E"/>
    <w:rsid w:val="006333CF"/>
    <w:rsid w:val="006334BE"/>
    <w:rsid w:val="00633C1F"/>
    <w:rsid w:val="00634AB3"/>
    <w:rsid w:val="006351D4"/>
    <w:rsid w:val="00635CE3"/>
    <w:rsid w:val="00637666"/>
    <w:rsid w:val="00637BBC"/>
    <w:rsid w:val="00637E8F"/>
    <w:rsid w:val="006408F7"/>
    <w:rsid w:val="006409BF"/>
    <w:rsid w:val="00642FC8"/>
    <w:rsid w:val="006432B5"/>
    <w:rsid w:val="00646284"/>
    <w:rsid w:val="0064691B"/>
    <w:rsid w:val="00646D7E"/>
    <w:rsid w:val="00647194"/>
    <w:rsid w:val="0064764B"/>
    <w:rsid w:val="00650226"/>
    <w:rsid w:val="00650771"/>
    <w:rsid w:val="00650811"/>
    <w:rsid w:val="00650F86"/>
    <w:rsid w:val="00650FBD"/>
    <w:rsid w:val="006519E2"/>
    <w:rsid w:val="00652513"/>
    <w:rsid w:val="006525B3"/>
    <w:rsid w:val="00652895"/>
    <w:rsid w:val="00652DD1"/>
    <w:rsid w:val="006530FC"/>
    <w:rsid w:val="00653493"/>
    <w:rsid w:val="006536A6"/>
    <w:rsid w:val="00653B57"/>
    <w:rsid w:val="00653C11"/>
    <w:rsid w:val="00653C93"/>
    <w:rsid w:val="00653F03"/>
    <w:rsid w:val="0065443B"/>
    <w:rsid w:val="0065453B"/>
    <w:rsid w:val="006551DC"/>
    <w:rsid w:val="00655F7A"/>
    <w:rsid w:val="00660886"/>
    <w:rsid w:val="00660C43"/>
    <w:rsid w:val="00660EB5"/>
    <w:rsid w:val="0066101F"/>
    <w:rsid w:val="00661858"/>
    <w:rsid w:val="00661D49"/>
    <w:rsid w:val="00662244"/>
    <w:rsid w:val="0066224E"/>
    <w:rsid w:val="00662F2F"/>
    <w:rsid w:val="006634E8"/>
    <w:rsid w:val="00663B6C"/>
    <w:rsid w:val="0066414E"/>
    <w:rsid w:val="00664DC6"/>
    <w:rsid w:val="00665442"/>
    <w:rsid w:val="0066550F"/>
    <w:rsid w:val="00665754"/>
    <w:rsid w:val="00665AA5"/>
    <w:rsid w:val="00666015"/>
    <w:rsid w:val="0066664E"/>
    <w:rsid w:val="00667573"/>
    <w:rsid w:val="0066767B"/>
    <w:rsid w:val="006678BE"/>
    <w:rsid w:val="00670325"/>
    <w:rsid w:val="006703F6"/>
    <w:rsid w:val="0067043D"/>
    <w:rsid w:val="00670FED"/>
    <w:rsid w:val="00671556"/>
    <w:rsid w:val="00672328"/>
    <w:rsid w:val="006729B5"/>
    <w:rsid w:val="00672A75"/>
    <w:rsid w:val="006732DE"/>
    <w:rsid w:val="006746CA"/>
    <w:rsid w:val="006748C4"/>
    <w:rsid w:val="0067694A"/>
    <w:rsid w:val="00676A0F"/>
    <w:rsid w:val="00676A44"/>
    <w:rsid w:val="0067792B"/>
    <w:rsid w:val="00677B33"/>
    <w:rsid w:val="00677CDD"/>
    <w:rsid w:val="00680711"/>
    <w:rsid w:val="00680BD0"/>
    <w:rsid w:val="006810DC"/>
    <w:rsid w:val="00681954"/>
    <w:rsid w:val="00681ED9"/>
    <w:rsid w:val="00682294"/>
    <w:rsid w:val="00682AD2"/>
    <w:rsid w:val="00683D31"/>
    <w:rsid w:val="0068443A"/>
    <w:rsid w:val="00684473"/>
    <w:rsid w:val="00684772"/>
    <w:rsid w:val="00684A8D"/>
    <w:rsid w:val="00684AB3"/>
    <w:rsid w:val="00685C55"/>
    <w:rsid w:val="006861A5"/>
    <w:rsid w:val="00686941"/>
    <w:rsid w:val="00687159"/>
    <w:rsid w:val="00687241"/>
    <w:rsid w:val="00687410"/>
    <w:rsid w:val="00687431"/>
    <w:rsid w:val="00687EBC"/>
    <w:rsid w:val="00690266"/>
    <w:rsid w:val="00690CB2"/>
    <w:rsid w:val="00691973"/>
    <w:rsid w:val="00691C03"/>
    <w:rsid w:val="006920B0"/>
    <w:rsid w:val="00693C1D"/>
    <w:rsid w:val="006941D1"/>
    <w:rsid w:val="00694FD7"/>
    <w:rsid w:val="00695DC2"/>
    <w:rsid w:val="00695E66"/>
    <w:rsid w:val="00697358"/>
    <w:rsid w:val="00697912"/>
    <w:rsid w:val="00697D35"/>
    <w:rsid w:val="006A0961"/>
    <w:rsid w:val="006A0CA6"/>
    <w:rsid w:val="006A1418"/>
    <w:rsid w:val="006A1494"/>
    <w:rsid w:val="006A2D2C"/>
    <w:rsid w:val="006A34AE"/>
    <w:rsid w:val="006A3C27"/>
    <w:rsid w:val="006A3FA4"/>
    <w:rsid w:val="006A4CB8"/>
    <w:rsid w:val="006A4D44"/>
    <w:rsid w:val="006A51A8"/>
    <w:rsid w:val="006A636F"/>
    <w:rsid w:val="006A6E2D"/>
    <w:rsid w:val="006A7483"/>
    <w:rsid w:val="006A74CA"/>
    <w:rsid w:val="006B054A"/>
    <w:rsid w:val="006B0A89"/>
    <w:rsid w:val="006B14AA"/>
    <w:rsid w:val="006B2B70"/>
    <w:rsid w:val="006B3528"/>
    <w:rsid w:val="006B3638"/>
    <w:rsid w:val="006B4767"/>
    <w:rsid w:val="006B4900"/>
    <w:rsid w:val="006B54F6"/>
    <w:rsid w:val="006B5A6A"/>
    <w:rsid w:val="006B5F3F"/>
    <w:rsid w:val="006B5FAF"/>
    <w:rsid w:val="006B603C"/>
    <w:rsid w:val="006B63F6"/>
    <w:rsid w:val="006B64A3"/>
    <w:rsid w:val="006B6DCF"/>
    <w:rsid w:val="006B7625"/>
    <w:rsid w:val="006B765E"/>
    <w:rsid w:val="006B79FC"/>
    <w:rsid w:val="006B7C0A"/>
    <w:rsid w:val="006C00AE"/>
    <w:rsid w:val="006C1087"/>
    <w:rsid w:val="006C10AC"/>
    <w:rsid w:val="006C1C84"/>
    <w:rsid w:val="006C2208"/>
    <w:rsid w:val="006C24E5"/>
    <w:rsid w:val="006C35FF"/>
    <w:rsid w:val="006C3E77"/>
    <w:rsid w:val="006C4575"/>
    <w:rsid w:val="006C48AC"/>
    <w:rsid w:val="006C4DED"/>
    <w:rsid w:val="006C5B21"/>
    <w:rsid w:val="006C63FA"/>
    <w:rsid w:val="006C6EBD"/>
    <w:rsid w:val="006C777A"/>
    <w:rsid w:val="006C798A"/>
    <w:rsid w:val="006D12D7"/>
    <w:rsid w:val="006D201C"/>
    <w:rsid w:val="006D2579"/>
    <w:rsid w:val="006D2C07"/>
    <w:rsid w:val="006D2EE4"/>
    <w:rsid w:val="006D3428"/>
    <w:rsid w:val="006D4195"/>
    <w:rsid w:val="006D43BF"/>
    <w:rsid w:val="006D4BDD"/>
    <w:rsid w:val="006D4CCA"/>
    <w:rsid w:val="006D5C3B"/>
    <w:rsid w:val="006D625A"/>
    <w:rsid w:val="006D68E0"/>
    <w:rsid w:val="006D6B44"/>
    <w:rsid w:val="006D6BBF"/>
    <w:rsid w:val="006E01F5"/>
    <w:rsid w:val="006E03A6"/>
    <w:rsid w:val="006E0939"/>
    <w:rsid w:val="006E0964"/>
    <w:rsid w:val="006E0EE9"/>
    <w:rsid w:val="006E11B1"/>
    <w:rsid w:val="006E151E"/>
    <w:rsid w:val="006E17B7"/>
    <w:rsid w:val="006E1B5F"/>
    <w:rsid w:val="006E253A"/>
    <w:rsid w:val="006E36D5"/>
    <w:rsid w:val="006E3F2A"/>
    <w:rsid w:val="006E4577"/>
    <w:rsid w:val="006E4F22"/>
    <w:rsid w:val="006E52F9"/>
    <w:rsid w:val="006E57A1"/>
    <w:rsid w:val="006E6393"/>
    <w:rsid w:val="006E67B3"/>
    <w:rsid w:val="006E6AC3"/>
    <w:rsid w:val="006E6BE4"/>
    <w:rsid w:val="006E6D38"/>
    <w:rsid w:val="006E79F7"/>
    <w:rsid w:val="006E7BA5"/>
    <w:rsid w:val="006F036E"/>
    <w:rsid w:val="006F08DA"/>
    <w:rsid w:val="006F1448"/>
    <w:rsid w:val="006F168E"/>
    <w:rsid w:val="006F1727"/>
    <w:rsid w:val="006F24D8"/>
    <w:rsid w:val="006F33C5"/>
    <w:rsid w:val="006F5D81"/>
    <w:rsid w:val="006F5ED7"/>
    <w:rsid w:val="006F78ED"/>
    <w:rsid w:val="00700932"/>
    <w:rsid w:val="00700969"/>
    <w:rsid w:val="007022F7"/>
    <w:rsid w:val="00702C5C"/>
    <w:rsid w:val="007038C1"/>
    <w:rsid w:val="0070440D"/>
    <w:rsid w:val="00704795"/>
    <w:rsid w:val="00705C6C"/>
    <w:rsid w:val="00705E0F"/>
    <w:rsid w:val="00705F86"/>
    <w:rsid w:val="00706376"/>
    <w:rsid w:val="00706C51"/>
    <w:rsid w:val="00707E96"/>
    <w:rsid w:val="007100D7"/>
    <w:rsid w:val="007102DE"/>
    <w:rsid w:val="00710CBE"/>
    <w:rsid w:val="00710E9F"/>
    <w:rsid w:val="00711070"/>
    <w:rsid w:val="0071170E"/>
    <w:rsid w:val="00711718"/>
    <w:rsid w:val="00711850"/>
    <w:rsid w:val="007124EE"/>
    <w:rsid w:val="0071291C"/>
    <w:rsid w:val="00712DFA"/>
    <w:rsid w:val="007132B5"/>
    <w:rsid w:val="0071418E"/>
    <w:rsid w:val="007148D7"/>
    <w:rsid w:val="00714E64"/>
    <w:rsid w:val="00715216"/>
    <w:rsid w:val="007168FC"/>
    <w:rsid w:val="00717452"/>
    <w:rsid w:val="00717A77"/>
    <w:rsid w:val="00717C4C"/>
    <w:rsid w:val="00720133"/>
    <w:rsid w:val="00720580"/>
    <w:rsid w:val="0072095A"/>
    <w:rsid w:val="007209CF"/>
    <w:rsid w:val="00720DA4"/>
    <w:rsid w:val="00721333"/>
    <w:rsid w:val="007226B3"/>
    <w:rsid w:val="007228BF"/>
    <w:rsid w:val="00722973"/>
    <w:rsid w:val="0072329C"/>
    <w:rsid w:val="0072345F"/>
    <w:rsid w:val="0072362E"/>
    <w:rsid w:val="007246B7"/>
    <w:rsid w:val="00724850"/>
    <w:rsid w:val="00724881"/>
    <w:rsid w:val="00724BC5"/>
    <w:rsid w:val="00725148"/>
    <w:rsid w:val="0072577F"/>
    <w:rsid w:val="00725A3C"/>
    <w:rsid w:val="007266F3"/>
    <w:rsid w:val="007269F4"/>
    <w:rsid w:val="00726E61"/>
    <w:rsid w:val="0072731C"/>
    <w:rsid w:val="00727F53"/>
    <w:rsid w:val="00730602"/>
    <w:rsid w:val="00730934"/>
    <w:rsid w:val="00730A2E"/>
    <w:rsid w:val="00731016"/>
    <w:rsid w:val="007312EE"/>
    <w:rsid w:val="007319A1"/>
    <w:rsid w:val="00732077"/>
    <w:rsid w:val="007339D6"/>
    <w:rsid w:val="007346D1"/>
    <w:rsid w:val="00735061"/>
    <w:rsid w:val="0073568B"/>
    <w:rsid w:val="0073582E"/>
    <w:rsid w:val="0073651E"/>
    <w:rsid w:val="0074011D"/>
    <w:rsid w:val="007409B6"/>
    <w:rsid w:val="00740BA4"/>
    <w:rsid w:val="007415B1"/>
    <w:rsid w:val="007415DB"/>
    <w:rsid w:val="0074177C"/>
    <w:rsid w:val="00741B92"/>
    <w:rsid w:val="00742817"/>
    <w:rsid w:val="00743007"/>
    <w:rsid w:val="0074324D"/>
    <w:rsid w:val="007438A2"/>
    <w:rsid w:val="00744048"/>
    <w:rsid w:val="00744EA3"/>
    <w:rsid w:val="0074507F"/>
    <w:rsid w:val="007450AD"/>
    <w:rsid w:val="00745170"/>
    <w:rsid w:val="00745A8A"/>
    <w:rsid w:val="00746974"/>
    <w:rsid w:val="007471CD"/>
    <w:rsid w:val="00747C90"/>
    <w:rsid w:val="00750083"/>
    <w:rsid w:val="00750090"/>
    <w:rsid w:val="00751382"/>
    <w:rsid w:val="00752325"/>
    <w:rsid w:val="00752362"/>
    <w:rsid w:val="00752449"/>
    <w:rsid w:val="007527D6"/>
    <w:rsid w:val="00753C2B"/>
    <w:rsid w:val="00753F4E"/>
    <w:rsid w:val="0075400C"/>
    <w:rsid w:val="00754078"/>
    <w:rsid w:val="00754359"/>
    <w:rsid w:val="0075464A"/>
    <w:rsid w:val="00754662"/>
    <w:rsid w:val="00754EF2"/>
    <w:rsid w:val="007551E0"/>
    <w:rsid w:val="00755419"/>
    <w:rsid w:val="00756BEB"/>
    <w:rsid w:val="00756DCA"/>
    <w:rsid w:val="007576FC"/>
    <w:rsid w:val="00757C4E"/>
    <w:rsid w:val="00757F4B"/>
    <w:rsid w:val="007603AD"/>
    <w:rsid w:val="007604DA"/>
    <w:rsid w:val="0076055D"/>
    <w:rsid w:val="007607B6"/>
    <w:rsid w:val="00760EE4"/>
    <w:rsid w:val="00761314"/>
    <w:rsid w:val="00761988"/>
    <w:rsid w:val="0076239E"/>
    <w:rsid w:val="00762C7B"/>
    <w:rsid w:val="00763E96"/>
    <w:rsid w:val="0076407D"/>
    <w:rsid w:val="007641CA"/>
    <w:rsid w:val="00765451"/>
    <w:rsid w:val="007654BD"/>
    <w:rsid w:val="00765B84"/>
    <w:rsid w:val="00766373"/>
    <w:rsid w:val="00766F79"/>
    <w:rsid w:val="0076709A"/>
    <w:rsid w:val="007672EE"/>
    <w:rsid w:val="0076756C"/>
    <w:rsid w:val="00767601"/>
    <w:rsid w:val="007676B7"/>
    <w:rsid w:val="00767AFC"/>
    <w:rsid w:val="00767E17"/>
    <w:rsid w:val="00767E84"/>
    <w:rsid w:val="00771668"/>
    <w:rsid w:val="00771A56"/>
    <w:rsid w:val="0077201F"/>
    <w:rsid w:val="00772E27"/>
    <w:rsid w:val="0077313A"/>
    <w:rsid w:val="007736FD"/>
    <w:rsid w:val="00773C26"/>
    <w:rsid w:val="0077475D"/>
    <w:rsid w:val="00774FAC"/>
    <w:rsid w:val="0077578A"/>
    <w:rsid w:val="00775DD8"/>
    <w:rsid w:val="00775E6A"/>
    <w:rsid w:val="007760A3"/>
    <w:rsid w:val="00776758"/>
    <w:rsid w:val="007770A6"/>
    <w:rsid w:val="00777468"/>
    <w:rsid w:val="00777CED"/>
    <w:rsid w:val="00777E94"/>
    <w:rsid w:val="00781DC3"/>
    <w:rsid w:val="00783BB4"/>
    <w:rsid w:val="00784BE1"/>
    <w:rsid w:val="0078558E"/>
    <w:rsid w:val="007861DD"/>
    <w:rsid w:val="00786707"/>
    <w:rsid w:val="00786DF1"/>
    <w:rsid w:val="00787887"/>
    <w:rsid w:val="007910D7"/>
    <w:rsid w:val="007913FA"/>
    <w:rsid w:val="00791853"/>
    <w:rsid w:val="00792CB1"/>
    <w:rsid w:val="00792F37"/>
    <w:rsid w:val="00793F04"/>
    <w:rsid w:val="00794190"/>
    <w:rsid w:val="0079532B"/>
    <w:rsid w:val="007959AA"/>
    <w:rsid w:val="0079766B"/>
    <w:rsid w:val="00797737"/>
    <w:rsid w:val="007A0A01"/>
    <w:rsid w:val="007A0C5D"/>
    <w:rsid w:val="007A14FB"/>
    <w:rsid w:val="007A1D03"/>
    <w:rsid w:val="007A1E59"/>
    <w:rsid w:val="007A2082"/>
    <w:rsid w:val="007A228D"/>
    <w:rsid w:val="007A24DA"/>
    <w:rsid w:val="007A24EA"/>
    <w:rsid w:val="007A2CA8"/>
    <w:rsid w:val="007A2D13"/>
    <w:rsid w:val="007A3134"/>
    <w:rsid w:val="007A39CE"/>
    <w:rsid w:val="007A39D7"/>
    <w:rsid w:val="007A3BEF"/>
    <w:rsid w:val="007A4187"/>
    <w:rsid w:val="007A4991"/>
    <w:rsid w:val="007A4BCA"/>
    <w:rsid w:val="007A4C9E"/>
    <w:rsid w:val="007A4DA3"/>
    <w:rsid w:val="007A6A13"/>
    <w:rsid w:val="007A7272"/>
    <w:rsid w:val="007A792B"/>
    <w:rsid w:val="007B032B"/>
    <w:rsid w:val="007B0D68"/>
    <w:rsid w:val="007B2EC3"/>
    <w:rsid w:val="007B2EE0"/>
    <w:rsid w:val="007B2FA5"/>
    <w:rsid w:val="007B2FEA"/>
    <w:rsid w:val="007B3533"/>
    <w:rsid w:val="007B3F00"/>
    <w:rsid w:val="007B4B33"/>
    <w:rsid w:val="007B5920"/>
    <w:rsid w:val="007B6D61"/>
    <w:rsid w:val="007B7D5C"/>
    <w:rsid w:val="007C032E"/>
    <w:rsid w:val="007C0FEF"/>
    <w:rsid w:val="007C1448"/>
    <w:rsid w:val="007C1457"/>
    <w:rsid w:val="007C204A"/>
    <w:rsid w:val="007C20D2"/>
    <w:rsid w:val="007C27A9"/>
    <w:rsid w:val="007C3A35"/>
    <w:rsid w:val="007C43F3"/>
    <w:rsid w:val="007C443C"/>
    <w:rsid w:val="007C46F7"/>
    <w:rsid w:val="007C5130"/>
    <w:rsid w:val="007C55B4"/>
    <w:rsid w:val="007C58E1"/>
    <w:rsid w:val="007C5BAD"/>
    <w:rsid w:val="007C5E9D"/>
    <w:rsid w:val="007C6228"/>
    <w:rsid w:val="007C6265"/>
    <w:rsid w:val="007C70D3"/>
    <w:rsid w:val="007C79F3"/>
    <w:rsid w:val="007C7ADA"/>
    <w:rsid w:val="007C7C1D"/>
    <w:rsid w:val="007C7FD4"/>
    <w:rsid w:val="007D0189"/>
    <w:rsid w:val="007D2BB3"/>
    <w:rsid w:val="007D32BE"/>
    <w:rsid w:val="007D41B0"/>
    <w:rsid w:val="007D4635"/>
    <w:rsid w:val="007D50B4"/>
    <w:rsid w:val="007D52DD"/>
    <w:rsid w:val="007D55BA"/>
    <w:rsid w:val="007D66B0"/>
    <w:rsid w:val="007D66CE"/>
    <w:rsid w:val="007D755F"/>
    <w:rsid w:val="007D77E3"/>
    <w:rsid w:val="007E027B"/>
    <w:rsid w:val="007E03CF"/>
    <w:rsid w:val="007E0B75"/>
    <w:rsid w:val="007E0CB4"/>
    <w:rsid w:val="007E18EA"/>
    <w:rsid w:val="007E2CAD"/>
    <w:rsid w:val="007E321C"/>
    <w:rsid w:val="007E3D14"/>
    <w:rsid w:val="007E4698"/>
    <w:rsid w:val="007E4F2F"/>
    <w:rsid w:val="007E5D6F"/>
    <w:rsid w:val="007E6A3E"/>
    <w:rsid w:val="007E7646"/>
    <w:rsid w:val="007E79AF"/>
    <w:rsid w:val="007F0732"/>
    <w:rsid w:val="007F0A51"/>
    <w:rsid w:val="007F1C33"/>
    <w:rsid w:val="007F1E23"/>
    <w:rsid w:val="007F3190"/>
    <w:rsid w:val="007F3E38"/>
    <w:rsid w:val="007F4199"/>
    <w:rsid w:val="007F44A5"/>
    <w:rsid w:val="007F4704"/>
    <w:rsid w:val="007F47EA"/>
    <w:rsid w:val="007F4E75"/>
    <w:rsid w:val="007F57FB"/>
    <w:rsid w:val="007F6325"/>
    <w:rsid w:val="007F644A"/>
    <w:rsid w:val="007F6693"/>
    <w:rsid w:val="007F6BDA"/>
    <w:rsid w:val="007F6D40"/>
    <w:rsid w:val="007F6E38"/>
    <w:rsid w:val="007F7716"/>
    <w:rsid w:val="007F79AE"/>
    <w:rsid w:val="00800707"/>
    <w:rsid w:val="00800D7B"/>
    <w:rsid w:val="008010D6"/>
    <w:rsid w:val="008014E6"/>
    <w:rsid w:val="00801605"/>
    <w:rsid w:val="0080168C"/>
    <w:rsid w:val="00801D6D"/>
    <w:rsid w:val="008021D1"/>
    <w:rsid w:val="00802827"/>
    <w:rsid w:val="008034FF"/>
    <w:rsid w:val="0080405A"/>
    <w:rsid w:val="008044D2"/>
    <w:rsid w:val="00805F95"/>
    <w:rsid w:val="00806819"/>
    <w:rsid w:val="008075BF"/>
    <w:rsid w:val="00807CFE"/>
    <w:rsid w:val="00810642"/>
    <w:rsid w:val="00810E1B"/>
    <w:rsid w:val="00811B3F"/>
    <w:rsid w:val="00813B29"/>
    <w:rsid w:val="00813C78"/>
    <w:rsid w:val="00813FAC"/>
    <w:rsid w:val="008148D8"/>
    <w:rsid w:val="00814E60"/>
    <w:rsid w:val="00814FB3"/>
    <w:rsid w:val="0081628C"/>
    <w:rsid w:val="00821248"/>
    <w:rsid w:val="008217F3"/>
    <w:rsid w:val="00821813"/>
    <w:rsid w:val="00821B1C"/>
    <w:rsid w:val="008236BC"/>
    <w:rsid w:val="00824899"/>
    <w:rsid w:val="008259D8"/>
    <w:rsid w:val="00826003"/>
    <w:rsid w:val="00826545"/>
    <w:rsid w:val="0082661C"/>
    <w:rsid w:val="008267D0"/>
    <w:rsid w:val="00826B41"/>
    <w:rsid w:val="00826B9C"/>
    <w:rsid w:val="00826EC0"/>
    <w:rsid w:val="00827152"/>
    <w:rsid w:val="00827CEF"/>
    <w:rsid w:val="008314C2"/>
    <w:rsid w:val="0083195D"/>
    <w:rsid w:val="008319AA"/>
    <w:rsid w:val="00831D57"/>
    <w:rsid w:val="00832859"/>
    <w:rsid w:val="0083289F"/>
    <w:rsid w:val="00832A16"/>
    <w:rsid w:val="00832AC6"/>
    <w:rsid w:val="00833029"/>
    <w:rsid w:val="00834060"/>
    <w:rsid w:val="00834665"/>
    <w:rsid w:val="00835C0F"/>
    <w:rsid w:val="00836870"/>
    <w:rsid w:val="00836ADE"/>
    <w:rsid w:val="0083782A"/>
    <w:rsid w:val="00837977"/>
    <w:rsid w:val="0084034F"/>
    <w:rsid w:val="008409DC"/>
    <w:rsid w:val="0084152B"/>
    <w:rsid w:val="00842480"/>
    <w:rsid w:val="00842B38"/>
    <w:rsid w:val="00842D66"/>
    <w:rsid w:val="008432E7"/>
    <w:rsid w:val="00843433"/>
    <w:rsid w:val="0084356B"/>
    <w:rsid w:val="008438C8"/>
    <w:rsid w:val="008441C5"/>
    <w:rsid w:val="00844A00"/>
    <w:rsid w:val="008451F8"/>
    <w:rsid w:val="00845547"/>
    <w:rsid w:val="00845549"/>
    <w:rsid w:val="00846762"/>
    <w:rsid w:val="00846D0E"/>
    <w:rsid w:val="00846FB1"/>
    <w:rsid w:val="00847C6B"/>
    <w:rsid w:val="008507B1"/>
    <w:rsid w:val="00850A60"/>
    <w:rsid w:val="0085146A"/>
    <w:rsid w:val="0085255C"/>
    <w:rsid w:val="008531F1"/>
    <w:rsid w:val="0085442D"/>
    <w:rsid w:val="00854AAD"/>
    <w:rsid w:val="0085563D"/>
    <w:rsid w:val="00855A0C"/>
    <w:rsid w:val="00856386"/>
    <w:rsid w:val="00856DBF"/>
    <w:rsid w:val="00856EA7"/>
    <w:rsid w:val="00857C7D"/>
    <w:rsid w:val="00857DA3"/>
    <w:rsid w:val="008601A1"/>
    <w:rsid w:val="00860732"/>
    <w:rsid w:val="00860CB9"/>
    <w:rsid w:val="0086151A"/>
    <w:rsid w:val="008615A6"/>
    <w:rsid w:val="00861D0A"/>
    <w:rsid w:val="00862091"/>
    <w:rsid w:val="00862F63"/>
    <w:rsid w:val="008630B3"/>
    <w:rsid w:val="00863144"/>
    <w:rsid w:val="00863E20"/>
    <w:rsid w:val="0086455D"/>
    <w:rsid w:val="008649CD"/>
    <w:rsid w:val="00866238"/>
    <w:rsid w:val="00866539"/>
    <w:rsid w:val="0086760F"/>
    <w:rsid w:val="008676A0"/>
    <w:rsid w:val="00871387"/>
    <w:rsid w:val="00871570"/>
    <w:rsid w:val="00871D40"/>
    <w:rsid w:val="008720FF"/>
    <w:rsid w:val="008728CF"/>
    <w:rsid w:val="00873C8A"/>
    <w:rsid w:val="00874B00"/>
    <w:rsid w:val="00874B6A"/>
    <w:rsid w:val="00874DDF"/>
    <w:rsid w:val="00875151"/>
    <w:rsid w:val="008751BB"/>
    <w:rsid w:val="008753DB"/>
    <w:rsid w:val="00875F49"/>
    <w:rsid w:val="00876020"/>
    <w:rsid w:val="00876189"/>
    <w:rsid w:val="0087666A"/>
    <w:rsid w:val="0087726C"/>
    <w:rsid w:val="00877558"/>
    <w:rsid w:val="008778F0"/>
    <w:rsid w:val="008779AC"/>
    <w:rsid w:val="008807B4"/>
    <w:rsid w:val="00880C37"/>
    <w:rsid w:val="00881253"/>
    <w:rsid w:val="008819FB"/>
    <w:rsid w:val="00882405"/>
    <w:rsid w:val="008833DD"/>
    <w:rsid w:val="008835E9"/>
    <w:rsid w:val="00883DE0"/>
    <w:rsid w:val="00884127"/>
    <w:rsid w:val="00884965"/>
    <w:rsid w:val="00885A85"/>
    <w:rsid w:val="008867F5"/>
    <w:rsid w:val="00887087"/>
    <w:rsid w:val="00887F90"/>
    <w:rsid w:val="0089046F"/>
    <w:rsid w:val="008907FD"/>
    <w:rsid w:val="008913FD"/>
    <w:rsid w:val="00891742"/>
    <w:rsid w:val="008918F1"/>
    <w:rsid w:val="00891A71"/>
    <w:rsid w:val="00891CF3"/>
    <w:rsid w:val="00892160"/>
    <w:rsid w:val="00892A1F"/>
    <w:rsid w:val="00892E67"/>
    <w:rsid w:val="00893F3B"/>
    <w:rsid w:val="00894001"/>
    <w:rsid w:val="0089450B"/>
    <w:rsid w:val="00894A21"/>
    <w:rsid w:val="00894BE2"/>
    <w:rsid w:val="008954D9"/>
    <w:rsid w:val="008955D5"/>
    <w:rsid w:val="00895E29"/>
    <w:rsid w:val="008961E4"/>
    <w:rsid w:val="00896F76"/>
    <w:rsid w:val="008979A2"/>
    <w:rsid w:val="00897A8A"/>
    <w:rsid w:val="008A0378"/>
    <w:rsid w:val="008A0AEA"/>
    <w:rsid w:val="008A0DEB"/>
    <w:rsid w:val="008A100A"/>
    <w:rsid w:val="008A173A"/>
    <w:rsid w:val="008A1DA3"/>
    <w:rsid w:val="008A243E"/>
    <w:rsid w:val="008A271E"/>
    <w:rsid w:val="008A276E"/>
    <w:rsid w:val="008A2C27"/>
    <w:rsid w:val="008A2D4D"/>
    <w:rsid w:val="008A2E81"/>
    <w:rsid w:val="008A3254"/>
    <w:rsid w:val="008A331C"/>
    <w:rsid w:val="008A3884"/>
    <w:rsid w:val="008A39B3"/>
    <w:rsid w:val="008A4896"/>
    <w:rsid w:val="008A48DB"/>
    <w:rsid w:val="008A4CBD"/>
    <w:rsid w:val="008A4DE3"/>
    <w:rsid w:val="008A6547"/>
    <w:rsid w:val="008A65F7"/>
    <w:rsid w:val="008A6FDA"/>
    <w:rsid w:val="008A70B4"/>
    <w:rsid w:val="008A747C"/>
    <w:rsid w:val="008A7DB4"/>
    <w:rsid w:val="008B0411"/>
    <w:rsid w:val="008B0AC9"/>
    <w:rsid w:val="008B0CC7"/>
    <w:rsid w:val="008B149C"/>
    <w:rsid w:val="008B229E"/>
    <w:rsid w:val="008B23A5"/>
    <w:rsid w:val="008B24BD"/>
    <w:rsid w:val="008B2D2B"/>
    <w:rsid w:val="008B3320"/>
    <w:rsid w:val="008B3617"/>
    <w:rsid w:val="008B3F73"/>
    <w:rsid w:val="008B4934"/>
    <w:rsid w:val="008B4E99"/>
    <w:rsid w:val="008B5082"/>
    <w:rsid w:val="008B50E7"/>
    <w:rsid w:val="008B511C"/>
    <w:rsid w:val="008B59EF"/>
    <w:rsid w:val="008B5C89"/>
    <w:rsid w:val="008B6775"/>
    <w:rsid w:val="008B6FB4"/>
    <w:rsid w:val="008B79E2"/>
    <w:rsid w:val="008B7E45"/>
    <w:rsid w:val="008C04BB"/>
    <w:rsid w:val="008C09F8"/>
    <w:rsid w:val="008C1AEB"/>
    <w:rsid w:val="008C1F1A"/>
    <w:rsid w:val="008C201B"/>
    <w:rsid w:val="008C232B"/>
    <w:rsid w:val="008C2586"/>
    <w:rsid w:val="008C3AAD"/>
    <w:rsid w:val="008C4800"/>
    <w:rsid w:val="008C4BE3"/>
    <w:rsid w:val="008C56C6"/>
    <w:rsid w:val="008C5C12"/>
    <w:rsid w:val="008C7924"/>
    <w:rsid w:val="008C7C57"/>
    <w:rsid w:val="008D046F"/>
    <w:rsid w:val="008D04D0"/>
    <w:rsid w:val="008D1C40"/>
    <w:rsid w:val="008D1EDD"/>
    <w:rsid w:val="008D234E"/>
    <w:rsid w:val="008D2E0D"/>
    <w:rsid w:val="008D3094"/>
    <w:rsid w:val="008D3390"/>
    <w:rsid w:val="008D34F8"/>
    <w:rsid w:val="008D37E7"/>
    <w:rsid w:val="008D3CE2"/>
    <w:rsid w:val="008D4056"/>
    <w:rsid w:val="008D4239"/>
    <w:rsid w:val="008D445D"/>
    <w:rsid w:val="008D502C"/>
    <w:rsid w:val="008D50A6"/>
    <w:rsid w:val="008D52C8"/>
    <w:rsid w:val="008D54F4"/>
    <w:rsid w:val="008D55C8"/>
    <w:rsid w:val="008D5A25"/>
    <w:rsid w:val="008D5DB1"/>
    <w:rsid w:val="008D6072"/>
    <w:rsid w:val="008D60AD"/>
    <w:rsid w:val="008D74B5"/>
    <w:rsid w:val="008D7A46"/>
    <w:rsid w:val="008D7B7E"/>
    <w:rsid w:val="008D7DE1"/>
    <w:rsid w:val="008E01EB"/>
    <w:rsid w:val="008E0391"/>
    <w:rsid w:val="008E1A6E"/>
    <w:rsid w:val="008E1EDC"/>
    <w:rsid w:val="008E2FA8"/>
    <w:rsid w:val="008E34EE"/>
    <w:rsid w:val="008E39E9"/>
    <w:rsid w:val="008E4AA0"/>
    <w:rsid w:val="008E52F9"/>
    <w:rsid w:val="008E5D2F"/>
    <w:rsid w:val="008E7DDC"/>
    <w:rsid w:val="008F05C1"/>
    <w:rsid w:val="008F0D85"/>
    <w:rsid w:val="008F0F21"/>
    <w:rsid w:val="008F1067"/>
    <w:rsid w:val="008F1C1B"/>
    <w:rsid w:val="008F21F5"/>
    <w:rsid w:val="008F255C"/>
    <w:rsid w:val="008F2588"/>
    <w:rsid w:val="008F2ACE"/>
    <w:rsid w:val="008F300B"/>
    <w:rsid w:val="008F4220"/>
    <w:rsid w:val="008F4CFD"/>
    <w:rsid w:val="008F505A"/>
    <w:rsid w:val="008F53A5"/>
    <w:rsid w:val="008F5CE1"/>
    <w:rsid w:val="008F65FA"/>
    <w:rsid w:val="008F684B"/>
    <w:rsid w:val="008F6E07"/>
    <w:rsid w:val="008F745A"/>
    <w:rsid w:val="008F782F"/>
    <w:rsid w:val="008F7C73"/>
    <w:rsid w:val="00900227"/>
    <w:rsid w:val="00900301"/>
    <w:rsid w:val="00900322"/>
    <w:rsid w:val="0090100D"/>
    <w:rsid w:val="00901395"/>
    <w:rsid w:val="0090238D"/>
    <w:rsid w:val="009028A0"/>
    <w:rsid w:val="00902AD9"/>
    <w:rsid w:val="00902AEF"/>
    <w:rsid w:val="00902F9D"/>
    <w:rsid w:val="00903C93"/>
    <w:rsid w:val="00903CF0"/>
    <w:rsid w:val="00904073"/>
    <w:rsid w:val="00904D4D"/>
    <w:rsid w:val="00905872"/>
    <w:rsid w:val="0090594B"/>
    <w:rsid w:val="009059BE"/>
    <w:rsid w:val="00905A11"/>
    <w:rsid w:val="00905DC5"/>
    <w:rsid w:val="00906705"/>
    <w:rsid w:val="00906E48"/>
    <w:rsid w:val="009070D0"/>
    <w:rsid w:val="00907A28"/>
    <w:rsid w:val="00907C51"/>
    <w:rsid w:val="00907E13"/>
    <w:rsid w:val="00910F58"/>
    <w:rsid w:val="00911062"/>
    <w:rsid w:val="009116D4"/>
    <w:rsid w:val="00912F69"/>
    <w:rsid w:val="009145D7"/>
    <w:rsid w:val="009148A2"/>
    <w:rsid w:val="0091561A"/>
    <w:rsid w:val="00915CCB"/>
    <w:rsid w:val="00916325"/>
    <w:rsid w:val="00916624"/>
    <w:rsid w:val="00916CFE"/>
    <w:rsid w:val="00916E96"/>
    <w:rsid w:val="00917859"/>
    <w:rsid w:val="009200F5"/>
    <w:rsid w:val="009205E1"/>
    <w:rsid w:val="00920725"/>
    <w:rsid w:val="00920D13"/>
    <w:rsid w:val="009215E0"/>
    <w:rsid w:val="009218D7"/>
    <w:rsid w:val="009218DC"/>
    <w:rsid w:val="00921973"/>
    <w:rsid w:val="00922306"/>
    <w:rsid w:val="00922722"/>
    <w:rsid w:val="009234D7"/>
    <w:rsid w:val="00925046"/>
    <w:rsid w:val="00925875"/>
    <w:rsid w:val="00925892"/>
    <w:rsid w:val="00925BA8"/>
    <w:rsid w:val="00925C11"/>
    <w:rsid w:val="00926343"/>
    <w:rsid w:val="00926EB4"/>
    <w:rsid w:val="00927B10"/>
    <w:rsid w:val="00927D3E"/>
    <w:rsid w:val="0093052A"/>
    <w:rsid w:val="00931A08"/>
    <w:rsid w:val="00931E11"/>
    <w:rsid w:val="00932068"/>
    <w:rsid w:val="00932157"/>
    <w:rsid w:val="00933432"/>
    <w:rsid w:val="00933C7B"/>
    <w:rsid w:val="00934C2B"/>
    <w:rsid w:val="009361F6"/>
    <w:rsid w:val="009364FD"/>
    <w:rsid w:val="00937559"/>
    <w:rsid w:val="00937A5D"/>
    <w:rsid w:val="00940666"/>
    <w:rsid w:val="00941016"/>
    <w:rsid w:val="009414E7"/>
    <w:rsid w:val="00942060"/>
    <w:rsid w:val="00942772"/>
    <w:rsid w:val="00942F09"/>
    <w:rsid w:val="00943344"/>
    <w:rsid w:val="009433A4"/>
    <w:rsid w:val="00943491"/>
    <w:rsid w:val="009434FD"/>
    <w:rsid w:val="00944354"/>
    <w:rsid w:val="009447E7"/>
    <w:rsid w:val="00944A36"/>
    <w:rsid w:val="00944EBE"/>
    <w:rsid w:val="00945069"/>
    <w:rsid w:val="00945A25"/>
    <w:rsid w:val="00946585"/>
    <w:rsid w:val="00946D6B"/>
    <w:rsid w:val="00946E5E"/>
    <w:rsid w:val="0094786D"/>
    <w:rsid w:val="00947EEF"/>
    <w:rsid w:val="00951265"/>
    <w:rsid w:val="00951C82"/>
    <w:rsid w:val="0095340C"/>
    <w:rsid w:val="00953487"/>
    <w:rsid w:val="00953AC8"/>
    <w:rsid w:val="00953D58"/>
    <w:rsid w:val="00954465"/>
    <w:rsid w:val="00954880"/>
    <w:rsid w:val="0095489E"/>
    <w:rsid w:val="00954972"/>
    <w:rsid w:val="00955D42"/>
    <w:rsid w:val="009563FF"/>
    <w:rsid w:val="00956723"/>
    <w:rsid w:val="0095726D"/>
    <w:rsid w:val="00957F00"/>
    <w:rsid w:val="009606C4"/>
    <w:rsid w:val="00960DE7"/>
    <w:rsid w:val="0096131E"/>
    <w:rsid w:val="00961648"/>
    <w:rsid w:val="00961B4F"/>
    <w:rsid w:val="009635E3"/>
    <w:rsid w:val="009651B3"/>
    <w:rsid w:val="009666A3"/>
    <w:rsid w:val="00966832"/>
    <w:rsid w:val="00966915"/>
    <w:rsid w:val="0096694C"/>
    <w:rsid w:val="009675A6"/>
    <w:rsid w:val="0097047D"/>
    <w:rsid w:val="0097234D"/>
    <w:rsid w:val="0097513A"/>
    <w:rsid w:val="0097585F"/>
    <w:rsid w:val="00975BD2"/>
    <w:rsid w:val="00976230"/>
    <w:rsid w:val="00976A23"/>
    <w:rsid w:val="00976AD4"/>
    <w:rsid w:val="00977102"/>
    <w:rsid w:val="00977CDE"/>
    <w:rsid w:val="00980142"/>
    <w:rsid w:val="0098026D"/>
    <w:rsid w:val="009805AB"/>
    <w:rsid w:val="009806B7"/>
    <w:rsid w:val="0098075E"/>
    <w:rsid w:val="00981356"/>
    <w:rsid w:val="0098144B"/>
    <w:rsid w:val="0098242A"/>
    <w:rsid w:val="00982C5D"/>
    <w:rsid w:val="00982EE6"/>
    <w:rsid w:val="00983233"/>
    <w:rsid w:val="00983925"/>
    <w:rsid w:val="009844DA"/>
    <w:rsid w:val="00985B56"/>
    <w:rsid w:val="00985EA0"/>
    <w:rsid w:val="00986150"/>
    <w:rsid w:val="0098698F"/>
    <w:rsid w:val="00986BAD"/>
    <w:rsid w:val="00986F12"/>
    <w:rsid w:val="00987327"/>
    <w:rsid w:val="009900BC"/>
    <w:rsid w:val="009903FD"/>
    <w:rsid w:val="0099075B"/>
    <w:rsid w:val="00990891"/>
    <w:rsid w:val="00990F61"/>
    <w:rsid w:val="0099154D"/>
    <w:rsid w:val="00992936"/>
    <w:rsid w:val="00992B71"/>
    <w:rsid w:val="00993298"/>
    <w:rsid w:val="00993C44"/>
    <w:rsid w:val="00994EBC"/>
    <w:rsid w:val="00994F29"/>
    <w:rsid w:val="0099612A"/>
    <w:rsid w:val="0099689B"/>
    <w:rsid w:val="0099724A"/>
    <w:rsid w:val="00997A44"/>
    <w:rsid w:val="009A0297"/>
    <w:rsid w:val="009A052F"/>
    <w:rsid w:val="009A0553"/>
    <w:rsid w:val="009A05F8"/>
    <w:rsid w:val="009A0AE9"/>
    <w:rsid w:val="009A0E45"/>
    <w:rsid w:val="009A185A"/>
    <w:rsid w:val="009A1AC9"/>
    <w:rsid w:val="009A22DC"/>
    <w:rsid w:val="009A28A1"/>
    <w:rsid w:val="009A2F16"/>
    <w:rsid w:val="009A2FF8"/>
    <w:rsid w:val="009A3377"/>
    <w:rsid w:val="009A366A"/>
    <w:rsid w:val="009A39DA"/>
    <w:rsid w:val="009A4993"/>
    <w:rsid w:val="009A5BE0"/>
    <w:rsid w:val="009A699B"/>
    <w:rsid w:val="009A6C38"/>
    <w:rsid w:val="009A7706"/>
    <w:rsid w:val="009A77DF"/>
    <w:rsid w:val="009A79FB"/>
    <w:rsid w:val="009B01B6"/>
    <w:rsid w:val="009B045B"/>
    <w:rsid w:val="009B07E9"/>
    <w:rsid w:val="009B16C5"/>
    <w:rsid w:val="009B2ED4"/>
    <w:rsid w:val="009B3B6A"/>
    <w:rsid w:val="009B3E82"/>
    <w:rsid w:val="009B4527"/>
    <w:rsid w:val="009B4CF0"/>
    <w:rsid w:val="009B4F42"/>
    <w:rsid w:val="009B53D3"/>
    <w:rsid w:val="009B6407"/>
    <w:rsid w:val="009B7132"/>
    <w:rsid w:val="009B788A"/>
    <w:rsid w:val="009C141E"/>
    <w:rsid w:val="009C1811"/>
    <w:rsid w:val="009C1914"/>
    <w:rsid w:val="009C1AA1"/>
    <w:rsid w:val="009C2026"/>
    <w:rsid w:val="009C2516"/>
    <w:rsid w:val="009C2689"/>
    <w:rsid w:val="009C407C"/>
    <w:rsid w:val="009C4EEF"/>
    <w:rsid w:val="009C505D"/>
    <w:rsid w:val="009C52A5"/>
    <w:rsid w:val="009C54EE"/>
    <w:rsid w:val="009C59BD"/>
    <w:rsid w:val="009C5E4D"/>
    <w:rsid w:val="009C747D"/>
    <w:rsid w:val="009C76F6"/>
    <w:rsid w:val="009C7A61"/>
    <w:rsid w:val="009D011A"/>
    <w:rsid w:val="009D0462"/>
    <w:rsid w:val="009D0BAA"/>
    <w:rsid w:val="009D0E57"/>
    <w:rsid w:val="009D106A"/>
    <w:rsid w:val="009D2D16"/>
    <w:rsid w:val="009D361D"/>
    <w:rsid w:val="009D3FFE"/>
    <w:rsid w:val="009D4269"/>
    <w:rsid w:val="009D46BC"/>
    <w:rsid w:val="009D49AC"/>
    <w:rsid w:val="009D4AC1"/>
    <w:rsid w:val="009D4CF8"/>
    <w:rsid w:val="009D5621"/>
    <w:rsid w:val="009D5B34"/>
    <w:rsid w:val="009D5B6E"/>
    <w:rsid w:val="009D6323"/>
    <w:rsid w:val="009D6520"/>
    <w:rsid w:val="009D6625"/>
    <w:rsid w:val="009D6D68"/>
    <w:rsid w:val="009D6FDB"/>
    <w:rsid w:val="009D786A"/>
    <w:rsid w:val="009E1522"/>
    <w:rsid w:val="009E27DB"/>
    <w:rsid w:val="009E29CD"/>
    <w:rsid w:val="009E2BFF"/>
    <w:rsid w:val="009E3C60"/>
    <w:rsid w:val="009E428D"/>
    <w:rsid w:val="009E50D3"/>
    <w:rsid w:val="009E58EB"/>
    <w:rsid w:val="009E61B0"/>
    <w:rsid w:val="009E762A"/>
    <w:rsid w:val="009E784B"/>
    <w:rsid w:val="009F0CCC"/>
    <w:rsid w:val="009F108D"/>
    <w:rsid w:val="009F1AB0"/>
    <w:rsid w:val="009F1B07"/>
    <w:rsid w:val="009F3D88"/>
    <w:rsid w:val="009F47E8"/>
    <w:rsid w:val="009F4BED"/>
    <w:rsid w:val="009F50E8"/>
    <w:rsid w:val="009F5848"/>
    <w:rsid w:val="009F595F"/>
    <w:rsid w:val="009F5BB8"/>
    <w:rsid w:val="009F5D35"/>
    <w:rsid w:val="009F5F6E"/>
    <w:rsid w:val="009F6959"/>
    <w:rsid w:val="009F6B1C"/>
    <w:rsid w:val="00A00029"/>
    <w:rsid w:val="00A000D0"/>
    <w:rsid w:val="00A00C67"/>
    <w:rsid w:val="00A01211"/>
    <w:rsid w:val="00A0180A"/>
    <w:rsid w:val="00A0344B"/>
    <w:rsid w:val="00A03CB4"/>
    <w:rsid w:val="00A03D10"/>
    <w:rsid w:val="00A03DEE"/>
    <w:rsid w:val="00A04131"/>
    <w:rsid w:val="00A04562"/>
    <w:rsid w:val="00A04EC2"/>
    <w:rsid w:val="00A05AC7"/>
    <w:rsid w:val="00A06E6C"/>
    <w:rsid w:val="00A06F66"/>
    <w:rsid w:val="00A070DB"/>
    <w:rsid w:val="00A07553"/>
    <w:rsid w:val="00A07C6C"/>
    <w:rsid w:val="00A10475"/>
    <w:rsid w:val="00A1047D"/>
    <w:rsid w:val="00A10FD0"/>
    <w:rsid w:val="00A10FEC"/>
    <w:rsid w:val="00A11179"/>
    <w:rsid w:val="00A12355"/>
    <w:rsid w:val="00A123BA"/>
    <w:rsid w:val="00A13406"/>
    <w:rsid w:val="00A136F8"/>
    <w:rsid w:val="00A1451B"/>
    <w:rsid w:val="00A14F96"/>
    <w:rsid w:val="00A1567B"/>
    <w:rsid w:val="00A15778"/>
    <w:rsid w:val="00A168D1"/>
    <w:rsid w:val="00A1705C"/>
    <w:rsid w:val="00A177A1"/>
    <w:rsid w:val="00A20197"/>
    <w:rsid w:val="00A208C3"/>
    <w:rsid w:val="00A20A5C"/>
    <w:rsid w:val="00A216C4"/>
    <w:rsid w:val="00A21FD1"/>
    <w:rsid w:val="00A2232E"/>
    <w:rsid w:val="00A224B6"/>
    <w:rsid w:val="00A22846"/>
    <w:rsid w:val="00A23027"/>
    <w:rsid w:val="00A23392"/>
    <w:rsid w:val="00A23687"/>
    <w:rsid w:val="00A24107"/>
    <w:rsid w:val="00A2449A"/>
    <w:rsid w:val="00A250C7"/>
    <w:rsid w:val="00A25BD9"/>
    <w:rsid w:val="00A267F2"/>
    <w:rsid w:val="00A27676"/>
    <w:rsid w:val="00A30059"/>
    <w:rsid w:val="00A30E13"/>
    <w:rsid w:val="00A316AD"/>
    <w:rsid w:val="00A3189F"/>
    <w:rsid w:val="00A31A15"/>
    <w:rsid w:val="00A32143"/>
    <w:rsid w:val="00A32A0C"/>
    <w:rsid w:val="00A32A3B"/>
    <w:rsid w:val="00A32C7B"/>
    <w:rsid w:val="00A337BF"/>
    <w:rsid w:val="00A33977"/>
    <w:rsid w:val="00A33EA1"/>
    <w:rsid w:val="00A33F99"/>
    <w:rsid w:val="00A34F0A"/>
    <w:rsid w:val="00A34F63"/>
    <w:rsid w:val="00A3531B"/>
    <w:rsid w:val="00A353BB"/>
    <w:rsid w:val="00A35745"/>
    <w:rsid w:val="00A35D51"/>
    <w:rsid w:val="00A3686C"/>
    <w:rsid w:val="00A40B29"/>
    <w:rsid w:val="00A41014"/>
    <w:rsid w:val="00A41E6D"/>
    <w:rsid w:val="00A430AB"/>
    <w:rsid w:val="00A43504"/>
    <w:rsid w:val="00A43F02"/>
    <w:rsid w:val="00A45BDE"/>
    <w:rsid w:val="00A4625F"/>
    <w:rsid w:val="00A4637D"/>
    <w:rsid w:val="00A500A6"/>
    <w:rsid w:val="00A5034C"/>
    <w:rsid w:val="00A50585"/>
    <w:rsid w:val="00A509FD"/>
    <w:rsid w:val="00A50CEB"/>
    <w:rsid w:val="00A50F2B"/>
    <w:rsid w:val="00A515C2"/>
    <w:rsid w:val="00A52A09"/>
    <w:rsid w:val="00A54CE2"/>
    <w:rsid w:val="00A5555D"/>
    <w:rsid w:val="00A555E9"/>
    <w:rsid w:val="00A55BBB"/>
    <w:rsid w:val="00A5707E"/>
    <w:rsid w:val="00A570C2"/>
    <w:rsid w:val="00A57E5A"/>
    <w:rsid w:val="00A60339"/>
    <w:rsid w:val="00A6047A"/>
    <w:rsid w:val="00A60674"/>
    <w:rsid w:val="00A60B91"/>
    <w:rsid w:val="00A610A0"/>
    <w:rsid w:val="00A6162A"/>
    <w:rsid w:val="00A617EC"/>
    <w:rsid w:val="00A6204A"/>
    <w:rsid w:val="00A62050"/>
    <w:rsid w:val="00A62E67"/>
    <w:rsid w:val="00A63294"/>
    <w:rsid w:val="00A6354E"/>
    <w:rsid w:val="00A6386C"/>
    <w:rsid w:val="00A63C67"/>
    <w:rsid w:val="00A63D14"/>
    <w:rsid w:val="00A63D5F"/>
    <w:rsid w:val="00A640F9"/>
    <w:rsid w:val="00A654D4"/>
    <w:rsid w:val="00A6564B"/>
    <w:rsid w:val="00A65B29"/>
    <w:rsid w:val="00A65DC6"/>
    <w:rsid w:val="00A6611E"/>
    <w:rsid w:val="00A6681B"/>
    <w:rsid w:val="00A673F3"/>
    <w:rsid w:val="00A705B3"/>
    <w:rsid w:val="00A71767"/>
    <w:rsid w:val="00A72423"/>
    <w:rsid w:val="00A72532"/>
    <w:rsid w:val="00A72638"/>
    <w:rsid w:val="00A72BA4"/>
    <w:rsid w:val="00A736A0"/>
    <w:rsid w:val="00A73B2D"/>
    <w:rsid w:val="00A74E80"/>
    <w:rsid w:val="00A75D31"/>
    <w:rsid w:val="00A76588"/>
    <w:rsid w:val="00A76AAF"/>
    <w:rsid w:val="00A76BC8"/>
    <w:rsid w:val="00A76BE2"/>
    <w:rsid w:val="00A77166"/>
    <w:rsid w:val="00A7749B"/>
    <w:rsid w:val="00A7784F"/>
    <w:rsid w:val="00A7788E"/>
    <w:rsid w:val="00A8035B"/>
    <w:rsid w:val="00A806E0"/>
    <w:rsid w:val="00A808A0"/>
    <w:rsid w:val="00A80EFD"/>
    <w:rsid w:val="00A80F74"/>
    <w:rsid w:val="00A81130"/>
    <w:rsid w:val="00A812E1"/>
    <w:rsid w:val="00A81423"/>
    <w:rsid w:val="00A81E0F"/>
    <w:rsid w:val="00A82252"/>
    <w:rsid w:val="00A82779"/>
    <w:rsid w:val="00A848EF"/>
    <w:rsid w:val="00A8503D"/>
    <w:rsid w:val="00A8535C"/>
    <w:rsid w:val="00A859FE"/>
    <w:rsid w:val="00A86405"/>
    <w:rsid w:val="00A86AAF"/>
    <w:rsid w:val="00A86ED5"/>
    <w:rsid w:val="00A87160"/>
    <w:rsid w:val="00A878A8"/>
    <w:rsid w:val="00A9053C"/>
    <w:rsid w:val="00A9079D"/>
    <w:rsid w:val="00A90CCF"/>
    <w:rsid w:val="00A916C3"/>
    <w:rsid w:val="00A91791"/>
    <w:rsid w:val="00A91FFD"/>
    <w:rsid w:val="00A92C73"/>
    <w:rsid w:val="00A939CC"/>
    <w:rsid w:val="00A94925"/>
    <w:rsid w:val="00A95051"/>
    <w:rsid w:val="00A951B2"/>
    <w:rsid w:val="00A9529A"/>
    <w:rsid w:val="00A95968"/>
    <w:rsid w:val="00A95F8D"/>
    <w:rsid w:val="00A96149"/>
    <w:rsid w:val="00A96C49"/>
    <w:rsid w:val="00A96C80"/>
    <w:rsid w:val="00A96D1B"/>
    <w:rsid w:val="00A97818"/>
    <w:rsid w:val="00A97E64"/>
    <w:rsid w:val="00AA01EB"/>
    <w:rsid w:val="00AA028F"/>
    <w:rsid w:val="00AA1128"/>
    <w:rsid w:val="00AA1341"/>
    <w:rsid w:val="00AA2AAA"/>
    <w:rsid w:val="00AA32B9"/>
    <w:rsid w:val="00AA3571"/>
    <w:rsid w:val="00AA3702"/>
    <w:rsid w:val="00AA4084"/>
    <w:rsid w:val="00AA4150"/>
    <w:rsid w:val="00AA455F"/>
    <w:rsid w:val="00AA51B5"/>
    <w:rsid w:val="00AA5EB5"/>
    <w:rsid w:val="00AA5F3A"/>
    <w:rsid w:val="00AA5FCD"/>
    <w:rsid w:val="00AA63C0"/>
    <w:rsid w:val="00AA6D5D"/>
    <w:rsid w:val="00AA6E96"/>
    <w:rsid w:val="00AA7CE2"/>
    <w:rsid w:val="00AB0C49"/>
    <w:rsid w:val="00AB1439"/>
    <w:rsid w:val="00AB21DD"/>
    <w:rsid w:val="00AB248C"/>
    <w:rsid w:val="00AB2ECE"/>
    <w:rsid w:val="00AB364F"/>
    <w:rsid w:val="00AB4279"/>
    <w:rsid w:val="00AB4C7A"/>
    <w:rsid w:val="00AB4EAA"/>
    <w:rsid w:val="00AB5427"/>
    <w:rsid w:val="00AB5C57"/>
    <w:rsid w:val="00AB5D39"/>
    <w:rsid w:val="00AB6056"/>
    <w:rsid w:val="00AB6259"/>
    <w:rsid w:val="00AB6383"/>
    <w:rsid w:val="00AB6950"/>
    <w:rsid w:val="00AB6A91"/>
    <w:rsid w:val="00AB74E9"/>
    <w:rsid w:val="00AB757C"/>
    <w:rsid w:val="00AB75DA"/>
    <w:rsid w:val="00AB7AE9"/>
    <w:rsid w:val="00AB7FCA"/>
    <w:rsid w:val="00AC09F7"/>
    <w:rsid w:val="00AC171D"/>
    <w:rsid w:val="00AC1810"/>
    <w:rsid w:val="00AC1EAC"/>
    <w:rsid w:val="00AC2065"/>
    <w:rsid w:val="00AC2236"/>
    <w:rsid w:val="00AC2A10"/>
    <w:rsid w:val="00AC361F"/>
    <w:rsid w:val="00AC387B"/>
    <w:rsid w:val="00AC3F8E"/>
    <w:rsid w:val="00AC482A"/>
    <w:rsid w:val="00AC4FC7"/>
    <w:rsid w:val="00AC51D3"/>
    <w:rsid w:val="00AC6DD9"/>
    <w:rsid w:val="00AC6E41"/>
    <w:rsid w:val="00AC7931"/>
    <w:rsid w:val="00AD09C7"/>
    <w:rsid w:val="00AD178B"/>
    <w:rsid w:val="00AD1950"/>
    <w:rsid w:val="00AD1D4A"/>
    <w:rsid w:val="00AD2191"/>
    <w:rsid w:val="00AD227B"/>
    <w:rsid w:val="00AD35E7"/>
    <w:rsid w:val="00AD3758"/>
    <w:rsid w:val="00AD3769"/>
    <w:rsid w:val="00AD4256"/>
    <w:rsid w:val="00AD43B4"/>
    <w:rsid w:val="00AD4BC7"/>
    <w:rsid w:val="00AD5486"/>
    <w:rsid w:val="00AD5B1C"/>
    <w:rsid w:val="00AD67EB"/>
    <w:rsid w:val="00AD69B1"/>
    <w:rsid w:val="00AD6B12"/>
    <w:rsid w:val="00AD7156"/>
    <w:rsid w:val="00AD7953"/>
    <w:rsid w:val="00AE0CFE"/>
    <w:rsid w:val="00AE10D3"/>
    <w:rsid w:val="00AE12FB"/>
    <w:rsid w:val="00AE159B"/>
    <w:rsid w:val="00AE32D3"/>
    <w:rsid w:val="00AE39CE"/>
    <w:rsid w:val="00AE3AC0"/>
    <w:rsid w:val="00AE3B6D"/>
    <w:rsid w:val="00AE3F00"/>
    <w:rsid w:val="00AE4EBF"/>
    <w:rsid w:val="00AE5A2D"/>
    <w:rsid w:val="00AE5DE4"/>
    <w:rsid w:val="00AE6059"/>
    <w:rsid w:val="00AE6EAC"/>
    <w:rsid w:val="00AE72C3"/>
    <w:rsid w:val="00AE7518"/>
    <w:rsid w:val="00AE751E"/>
    <w:rsid w:val="00AE7AFB"/>
    <w:rsid w:val="00AF0D83"/>
    <w:rsid w:val="00AF2630"/>
    <w:rsid w:val="00AF396C"/>
    <w:rsid w:val="00AF3C63"/>
    <w:rsid w:val="00AF3F15"/>
    <w:rsid w:val="00AF3F5F"/>
    <w:rsid w:val="00AF489A"/>
    <w:rsid w:val="00AF5466"/>
    <w:rsid w:val="00AF57A3"/>
    <w:rsid w:val="00AF5EF3"/>
    <w:rsid w:val="00AF7617"/>
    <w:rsid w:val="00AF7A18"/>
    <w:rsid w:val="00AF7B61"/>
    <w:rsid w:val="00AF7C29"/>
    <w:rsid w:val="00B00CC2"/>
    <w:rsid w:val="00B018C2"/>
    <w:rsid w:val="00B01A62"/>
    <w:rsid w:val="00B02375"/>
    <w:rsid w:val="00B02535"/>
    <w:rsid w:val="00B02906"/>
    <w:rsid w:val="00B0349F"/>
    <w:rsid w:val="00B035A0"/>
    <w:rsid w:val="00B035B5"/>
    <w:rsid w:val="00B0462A"/>
    <w:rsid w:val="00B04782"/>
    <w:rsid w:val="00B04873"/>
    <w:rsid w:val="00B0576C"/>
    <w:rsid w:val="00B064B3"/>
    <w:rsid w:val="00B06C70"/>
    <w:rsid w:val="00B06FF7"/>
    <w:rsid w:val="00B07A41"/>
    <w:rsid w:val="00B07BD7"/>
    <w:rsid w:val="00B07FEC"/>
    <w:rsid w:val="00B101AB"/>
    <w:rsid w:val="00B1099E"/>
    <w:rsid w:val="00B111E4"/>
    <w:rsid w:val="00B11831"/>
    <w:rsid w:val="00B120D3"/>
    <w:rsid w:val="00B125EA"/>
    <w:rsid w:val="00B13A8F"/>
    <w:rsid w:val="00B13B47"/>
    <w:rsid w:val="00B14777"/>
    <w:rsid w:val="00B14860"/>
    <w:rsid w:val="00B14CAD"/>
    <w:rsid w:val="00B1520C"/>
    <w:rsid w:val="00B15275"/>
    <w:rsid w:val="00B159FB"/>
    <w:rsid w:val="00B15B1A"/>
    <w:rsid w:val="00B15CD1"/>
    <w:rsid w:val="00B165BB"/>
    <w:rsid w:val="00B1665F"/>
    <w:rsid w:val="00B16D55"/>
    <w:rsid w:val="00B17046"/>
    <w:rsid w:val="00B170D8"/>
    <w:rsid w:val="00B17325"/>
    <w:rsid w:val="00B20A8F"/>
    <w:rsid w:val="00B223D4"/>
    <w:rsid w:val="00B22C44"/>
    <w:rsid w:val="00B22F92"/>
    <w:rsid w:val="00B23334"/>
    <w:rsid w:val="00B238E9"/>
    <w:rsid w:val="00B2447E"/>
    <w:rsid w:val="00B247C5"/>
    <w:rsid w:val="00B2510F"/>
    <w:rsid w:val="00B274B5"/>
    <w:rsid w:val="00B278B4"/>
    <w:rsid w:val="00B27A6F"/>
    <w:rsid w:val="00B27E1A"/>
    <w:rsid w:val="00B30339"/>
    <w:rsid w:val="00B3065F"/>
    <w:rsid w:val="00B3083E"/>
    <w:rsid w:val="00B3119C"/>
    <w:rsid w:val="00B31B94"/>
    <w:rsid w:val="00B321C6"/>
    <w:rsid w:val="00B32B6F"/>
    <w:rsid w:val="00B331EE"/>
    <w:rsid w:val="00B33771"/>
    <w:rsid w:val="00B3432B"/>
    <w:rsid w:val="00B34868"/>
    <w:rsid w:val="00B34A9E"/>
    <w:rsid w:val="00B359B3"/>
    <w:rsid w:val="00B37BC3"/>
    <w:rsid w:val="00B40649"/>
    <w:rsid w:val="00B406C2"/>
    <w:rsid w:val="00B412EC"/>
    <w:rsid w:val="00B43233"/>
    <w:rsid w:val="00B439BB"/>
    <w:rsid w:val="00B43F6E"/>
    <w:rsid w:val="00B44A99"/>
    <w:rsid w:val="00B44B02"/>
    <w:rsid w:val="00B4524D"/>
    <w:rsid w:val="00B457A3"/>
    <w:rsid w:val="00B45A4C"/>
    <w:rsid w:val="00B45EC6"/>
    <w:rsid w:val="00B45F61"/>
    <w:rsid w:val="00B4641B"/>
    <w:rsid w:val="00B46573"/>
    <w:rsid w:val="00B47461"/>
    <w:rsid w:val="00B47A6C"/>
    <w:rsid w:val="00B47C88"/>
    <w:rsid w:val="00B50107"/>
    <w:rsid w:val="00B50875"/>
    <w:rsid w:val="00B50D62"/>
    <w:rsid w:val="00B50F35"/>
    <w:rsid w:val="00B51C24"/>
    <w:rsid w:val="00B520AB"/>
    <w:rsid w:val="00B52319"/>
    <w:rsid w:val="00B52823"/>
    <w:rsid w:val="00B52C83"/>
    <w:rsid w:val="00B53403"/>
    <w:rsid w:val="00B5344C"/>
    <w:rsid w:val="00B53BFF"/>
    <w:rsid w:val="00B53CC8"/>
    <w:rsid w:val="00B546E5"/>
    <w:rsid w:val="00B54C51"/>
    <w:rsid w:val="00B54C86"/>
    <w:rsid w:val="00B54D3A"/>
    <w:rsid w:val="00B55940"/>
    <w:rsid w:val="00B55A0B"/>
    <w:rsid w:val="00B56CB5"/>
    <w:rsid w:val="00B57F04"/>
    <w:rsid w:val="00B60DA5"/>
    <w:rsid w:val="00B60E60"/>
    <w:rsid w:val="00B616F1"/>
    <w:rsid w:val="00B619D5"/>
    <w:rsid w:val="00B61AF2"/>
    <w:rsid w:val="00B62DB6"/>
    <w:rsid w:val="00B62F4F"/>
    <w:rsid w:val="00B63450"/>
    <w:rsid w:val="00B6509C"/>
    <w:rsid w:val="00B651EC"/>
    <w:rsid w:val="00B65749"/>
    <w:rsid w:val="00B669C1"/>
    <w:rsid w:val="00B67631"/>
    <w:rsid w:val="00B700B0"/>
    <w:rsid w:val="00B70321"/>
    <w:rsid w:val="00B708DA"/>
    <w:rsid w:val="00B709D5"/>
    <w:rsid w:val="00B70D7F"/>
    <w:rsid w:val="00B711CC"/>
    <w:rsid w:val="00B715BF"/>
    <w:rsid w:val="00B737E8"/>
    <w:rsid w:val="00B73A96"/>
    <w:rsid w:val="00B7490F"/>
    <w:rsid w:val="00B7578D"/>
    <w:rsid w:val="00B7591D"/>
    <w:rsid w:val="00B76178"/>
    <w:rsid w:val="00B768B7"/>
    <w:rsid w:val="00B768C9"/>
    <w:rsid w:val="00B76C59"/>
    <w:rsid w:val="00B76DE6"/>
    <w:rsid w:val="00B80008"/>
    <w:rsid w:val="00B80DE6"/>
    <w:rsid w:val="00B80EF0"/>
    <w:rsid w:val="00B8105B"/>
    <w:rsid w:val="00B81DE6"/>
    <w:rsid w:val="00B82D82"/>
    <w:rsid w:val="00B839D8"/>
    <w:rsid w:val="00B83BA3"/>
    <w:rsid w:val="00B83F6D"/>
    <w:rsid w:val="00B8520C"/>
    <w:rsid w:val="00B85A9B"/>
    <w:rsid w:val="00B86752"/>
    <w:rsid w:val="00B86B44"/>
    <w:rsid w:val="00B86E73"/>
    <w:rsid w:val="00B873A3"/>
    <w:rsid w:val="00B87496"/>
    <w:rsid w:val="00B87DD6"/>
    <w:rsid w:val="00B90473"/>
    <w:rsid w:val="00B905D4"/>
    <w:rsid w:val="00B913E8"/>
    <w:rsid w:val="00B91682"/>
    <w:rsid w:val="00B91AC5"/>
    <w:rsid w:val="00B929EF"/>
    <w:rsid w:val="00B9330B"/>
    <w:rsid w:val="00B935C7"/>
    <w:rsid w:val="00B93BD1"/>
    <w:rsid w:val="00B94960"/>
    <w:rsid w:val="00B94A65"/>
    <w:rsid w:val="00B95293"/>
    <w:rsid w:val="00B954B3"/>
    <w:rsid w:val="00B95AA7"/>
    <w:rsid w:val="00B96D36"/>
    <w:rsid w:val="00B97613"/>
    <w:rsid w:val="00B97A76"/>
    <w:rsid w:val="00B97F74"/>
    <w:rsid w:val="00B97FAA"/>
    <w:rsid w:val="00BA0412"/>
    <w:rsid w:val="00BA0935"/>
    <w:rsid w:val="00BA192C"/>
    <w:rsid w:val="00BA270D"/>
    <w:rsid w:val="00BA2B51"/>
    <w:rsid w:val="00BA3291"/>
    <w:rsid w:val="00BA32D0"/>
    <w:rsid w:val="00BA3958"/>
    <w:rsid w:val="00BA3E8A"/>
    <w:rsid w:val="00BA42BC"/>
    <w:rsid w:val="00BA45A1"/>
    <w:rsid w:val="00BA482B"/>
    <w:rsid w:val="00BA4B74"/>
    <w:rsid w:val="00BA50A1"/>
    <w:rsid w:val="00BA533E"/>
    <w:rsid w:val="00BA5A20"/>
    <w:rsid w:val="00BA6AA7"/>
    <w:rsid w:val="00BA6DDC"/>
    <w:rsid w:val="00BA7064"/>
    <w:rsid w:val="00BA7838"/>
    <w:rsid w:val="00BA7E2D"/>
    <w:rsid w:val="00BB0D4E"/>
    <w:rsid w:val="00BB0D52"/>
    <w:rsid w:val="00BB1DA2"/>
    <w:rsid w:val="00BB1F10"/>
    <w:rsid w:val="00BB20BA"/>
    <w:rsid w:val="00BB2C22"/>
    <w:rsid w:val="00BB3EC3"/>
    <w:rsid w:val="00BB3F84"/>
    <w:rsid w:val="00BB4244"/>
    <w:rsid w:val="00BB43EB"/>
    <w:rsid w:val="00BB4645"/>
    <w:rsid w:val="00BB574E"/>
    <w:rsid w:val="00BB58C6"/>
    <w:rsid w:val="00BB5AB5"/>
    <w:rsid w:val="00BB6888"/>
    <w:rsid w:val="00BB74D9"/>
    <w:rsid w:val="00BB788D"/>
    <w:rsid w:val="00BB7CB9"/>
    <w:rsid w:val="00BB7EF1"/>
    <w:rsid w:val="00BC0072"/>
    <w:rsid w:val="00BC00FB"/>
    <w:rsid w:val="00BC0238"/>
    <w:rsid w:val="00BC0C54"/>
    <w:rsid w:val="00BC0E77"/>
    <w:rsid w:val="00BC15FB"/>
    <w:rsid w:val="00BC2732"/>
    <w:rsid w:val="00BC2D76"/>
    <w:rsid w:val="00BC33BD"/>
    <w:rsid w:val="00BC3B65"/>
    <w:rsid w:val="00BC4186"/>
    <w:rsid w:val="00BC4D4E"/>
    <w:rsid w:val="00BC4D6A"/>
    <w:rsid w:val="00BC4DDF"/>
    <w:rsid w:val="00BC4EB8"/>
    <w:rsid w:val="00BC5A9E"/>
    <w:rsid w:val="00BC5DDF"/>
    <w:rsid w:val="00BC6017"/>
    <w:rsid w:val="00BC736E"/>
    <w:rsid w:val="00BD0000"/>
    <w:rsid w:val="00BD0378"/>
    <w:rsid w:val="00BD05E3"/>
    <w:rsid w:val="00BD061D"/>
    <w:rsid w:val="00BD0B9B"/>
    <w:rsid w:val="00BD0C77"/>
    <w:rsid w:val="00BD0E76"/>
    <w:rsid w:val="00BD10F1"/>
    <w:rsid w:val="00BD1454"/>
    <w:rsid w:val="00BD21E6"/>
    <w:rsid w:val="00BD3990"/>
    <w:rsid w:val="00BD445F"/>
    <w:rsid w:val="00BD4F3A"/>
    <w:rsid w:val="00BD5223"/>
    <w:rsid w:val="00BD5620"/>
    <w:rsid w:val="00BD5FEC"/>
    <w:rsid w:val="00BE08C5"/>
    <w:rsid w:val="00BE0CD4"/>
    <w:rsid w:val="00BE0E14"/>
    <w:rsid w:val="00BE0E94"/>
    <w:rsid w:val="00BE0FC5"/>
    <w:rsid w:val="00BE2083"/>
    <w:rsid w:val="00BE2327"/>
    <w:rsid w:val="00BE2785"/>
    <w:rsid w:val="00BE2BD6"/>
    <w:rsid w:val="00BE2FD8"/>
    <w:rsid w:val="00BE3C26"/>
    <w:rsid w:val="00BE3F91"/>
    <w:rsid w:val="00BE47A8"/>
    <w:rsid w:val="00BE4E03"/>
    <w:rsid w:val="00BE4EAB"/>
    <w:rsid w:val="00BE5B71"/>
    <w:rsid w:val="00BE60C5"/>
    <w:rsid w:val="00BE6442"/>
    <w:rsid w:val="00BE6A88"/>
    <w:rsid w:val="00BE6FCA"/>
    <w:rsid w:val="00BE7D19"/>
    <w:rsid w:val="00BE7FA4"/>
    <w:rsid w:val="00BF077B"/>
    <w:rsid w:val="00BF1953"/>
    <w:rsid w:val="00BF1DD0"/>
    <w:rsid w:val="00BF2448"/>
    <w:rsid w:val="00BF26E1"/>
    <w:rsid w:val="00BF2827"/>
    <w:rsid w:val="00BF293B"/>
    <w:rsid w:val="00BF2948"/>
    <w:rsid w:val="00BF2FD6"/>
    <w:rsid w:val="00BF32E2"/>
    <w:rsid w:val="00BF3618"/>
    <w:rsid w:val="00BF39B1"/>
    <w:rsid w:val="00BF3A98"/>
    <w:rsid w:val="00BF40AB"/>
    <w:rsid w:val="00BF41BE"/>
    <w:rsid w:val="00BF4239"/>
    <w:rsid w:val="00BF4613"/>
    <w:rsid w:val="00BF4E71"/>
    <w:rsid w:val="00BF5CEF"/>
    <w:rsid w:val="00BF6D38"/>
    <w:rsid w:val="00BF6DF7"/>
    <w:rsid w:val="00BF71E5"/>
    <w:rsid w:val="00BF74D1"/>
    <w:rsid w:val="00BF7560"/>
    <w:rsid w:val="00BF77B3"/>
    <w:rsid w:val="00C00216"/>
    <w:rsid w:val="00C00B1E"/>
    <w:rsid w:val="00C01019"/>
    <w:rsid w:val="00C01138"/>
    <w:rsid w:val="00C0244A"/>
    <w:rsid w:val="00C024B4"/>
    <w:rsid w:val="00C036A2"/>
    <w:rsid w:val="00C039F5"/>
    <w:rsid w:val="00C042B9"/>
    <w:rsid w:val="00C04A48"/>
    <w:rsid w:val="00C052F0"/>
    <w:rsid w:val="00C053DF"/>
    <w:rsid w:val="00C0540F"/>
    <w:rsid w:val="00C055AE"/>
    <w:rsid w:val="00C0575A"/>
    <w:rsid w:val="00C05D09"/>
    <w:rsid w:val="00C061DE"/>
    <w:rsid w:val="00C06EB7"/>
    <w:rsid w:val="00C073EF"/>
    <w:rsid w:val="00C07413"/>
    <w:rsid w:val="00C07459"/>
    <w:rsid w:val="00C077F6"/>
    <w:rsid w:val="00C10134"/>
    <w:rsid w:val="00C105EB"/>
    <w:rsid w:val="00C10BCA"/>
    <w:rsid w:val="00C111FE"/>
    <w:rsid w:val="00C11881"/>
    <w:rsid w:val="00C1225B"/>
    <w:rsid w:val="00C12356"/>
    <w:rsid w:val="00C12421"/>
    <w:rsid w:val="00C130BD"/>
    <w:rsid w:val="00C14622"/>
    <w:rsid w:val="00C15749"/>
    <w:rsid w:val="00C15903"/>
    <w:rsid w:val="00C15BA9"/>
    <w:rsid w:val="00C16E17"/>
    <w:rsid w:val="00C16F01"/>
    <w:rsid w:val="00C175E3"/>
    <w:rsid w:val="00C17BE3"/>
    <w:rsid w:val="00C17FE1"/>
    <w:rsid w:val="00C21BBF"/>
    <w:rsid w:val="00C221D8"/>
    <w:rsid w:val="00C22B57"/>
    <w:rsid w:val="00C23D3E"/>
    <w:rsid w:val="00C24AE7"/>
    <w:rsid w:val="00C25AD1"/>
    <w:rsid w:val="00C25C11"/>
    <w:rsid w:val="00C25E70"/>
    <w:rsid w:val="00C2685F"/>
    <w:rsid w:val="00C26EEE"/>
    <w:rsid w:val="00C3042F"/>
    <w:rsid w:val="00C30E78"/>
    <w:rsid w:val="00C319CE"/>
    <w:rsid w:val="00C31F60"/>
    <w:rsid w:val="00C322C9"/>
    <w:rsid w:val="00C34595"/>
    <w:rsid w:val="00C34EF5"/>
    <w:rsid w:val="00C35926"/>
    <w:rsid w:val="00C36182"/>
    <w:rsid w:val="00C36D5A"/>
    <w:rsid w:val="00C374F8"/>
    <w:rsid w:val="00C375C7"/>
    <w:rsid w:val="00C40785"/>
    <w:rsid w:val="00C40D12"/>
    <w:rsid w:val="00C40F43"/>
    <w:rsid w:val="00C41076"/>
    <w:rsid w:val="00C41323"/>
    <w:rsid w:val="00C414DA"/>
    <w:rsid w:val="00C41F66"/>
    <w:rsid w:val="00C4212E"/>
    <w:rsid w:val="00C42423"/>
    <w:rsid w:val="00C42B8D"/>
    <w:rsid w:val="00C42C6D"/>
    <w:rsid w:val="00C42DCA"/>
    <w:rsid w:val="00C432A3"/>
    <w:rsid w:val="00C43407"/>
    <w:rsid w:val="00C435D0"/>
    <w:rsid w:val="00C43BC7"/>
    <w:rsid w:val="00C43D4B"/>
    <w:rsid w:val="00C43E9D"/>
    <w:rsid w:val="00C44104"/>
    <w:rsid w:val="00C4468B"/>
    <w:rsid w:val="00C44872"/>
    <w:rsid w:val="00C44938"/>
    <w:rsid w:val="00C44E5B"/>
    <w:rsid w:val="00C44F02"/>
    <w:rsid w:val="00C4596B"/>
    <w:rsid w:val="00C4597E"/>
    <w:rsid w:val="00C45CEC"/>
    <w:rsid w:val="00C4604E"/>
    <w:rsid w:val="00C460AD"/>
    <w:rsid w:val="00C4682D"/>
    <w:rsid w:val="00C47565"/>
    <w:rsid w:val="00C47615"/>
    <w:rsid w:val="00C47F82"/>
    <w:rsid w:val="00C505A3"/>
    <w:rsid w:val="00C508D5"/>
    <w:rsid w:val="00C50E5F"/>
    <w:rsid w:val="00C51C0C"/>
    <w:rsid w:val="00C51F8F"/>
    <w:rsid w:val="00C52351"/>
    <w:rsid w:val="00C53369"/>
    <w:rsid w:val="00C53762"/>
    <w:rsid w:val="00C53C40"/>
    <w:rsid w:val="00C53C7D"/>
    <w:rsid w:val="00C53CCD"/>
    <w:rsid w:val="00C54E3B"/>
    <w:rsid w:val="00C55191"/>
    <w:rsid w:val="00C562EE"/>
    <w:rsid w:val="00C571AA"/>
    <w:rsid w:val="00C579E1"/>
    <w:rsid w:val="00C6010A"/>
    <w:rsid w:val="00C60450"/>
    <w:rsid w:val="00C60BB7"/>
    <w:rsid w:val="00C6167F"/>
    <w:rsid w:val="00C61EF0"/>
    <w:rsid w:val="00C62098"/>
    <w:rsid w:val="00C6211A"/>
    <w:rsid w:val="00C62B8D"/>
    <w:rsid w:val="00C62E7C"/>
    <w:rsid w:val="00C62F17"/>
    <w:rsid w:val="00C638DD"/>
    <w:rsid w:val="00C63A4F"/>
    <w:rsid w:val="00C64224"/>
    <w:rsid w:val="00C6594B"/>
    <w:rsid w:val="00C65FBE"/>
    <w:rsid w:val="00C66150"/>
    <w:rsid w:val="00C66A6F"/>
    <w:rsid w:val="00C6744F"/>
    <w:rsid w:val="00C67FC3"/>
    <w:rsid w:val="00C703F1"/>
    <w:rsid w:val="00C704CB"/>
    <w:rsid w:val="00C70A5B"/>
    <w:rsid w:val="00C7108E"/>
    <w:rsid w:val="00C7185B"/>
    <w:rsid w:val="00C71E88"/>
    <w:rsid w:val="00C72462"/>
    <w:rsid w:val="00C7279A"/>
    <w:rsid w:val="00C729C6"/>
    <w:rsid w:val="00C736E5"/>
    <w:rsid w:val="00C73781"/>
    <w:rsid w:val="00C73885"/>
    <w:rsid w:val="00C74D65"/>
    <w:rsid w:val="00C74FF8"/>
    <w:rsid w:val="00C75835"/>
    <w:rsid w:val="00C76408"/>
    <w:rsid w:val="00C769F9"/>
    <w:rsid w:val="00C77116"/>
    <w:rsid w:val="00C77E04"/>
    <w:rsid w:val="00C80409"/>
    <w:rsid w:val="00C80753"/>
    <w:rsid w:val="00C80C6C"/>
    <w:rsid w:val="00C815BC"/>
    <w:rsid w:val="00C81B9F"/>
    <w:rsid w:val="00C823E4"/>
    <w:rsid w:val="00C8267C"/>
    <w:rsid w:val="00C8420E"/>
    <w:rsid w:val="00C84AAE"/>
    <w:rsid w:val="00C850DB"/>
    <w:rsid w:val="00C851A5"/>
    <w:rsid w:val="00C85599"/>
    <w:rsid w:val="00C858A4"/>
    <w:rsid w:val="00C87867"/>
    <w:rsid w:val="00C87980"/>
    <w:rsid w:val="00C87B4D"/>
    <w:rsid w:val="00C90160"/>
    <w:rsid w:val="00C91891"/>
    <w:rsid w:val="00C922A2"/>
    <w:rsid w:val="00C92329"/>
    <w:rsid w:val="00C9293B"/>
    <w:rsid w:val="00C92C5F"/>
    <w:rsid w:val="00C939F8"/>
    <w:rsid w:val="00C93A89"/>
    <w:rsid w:val="00C93D6C"/>
    <w:rsid w:val="00C9437E"/>
    <w:rsid w:val="00C95202"/>
    <w:rsid w:val="00C95437"/>
    <w:rsid w:val="00C959C0"/>
    <w:rsid w:val="00C95AD0"/>
    <w:rsid w:val="00C9681B"/>
    <w:rsid w:val="00C9713B"/>
    <w:rsid w:val="00CA0130"/>
    <w:rsid w:val="00CA0360"/>
    <w:rsid w:val="00CA0364"/>
    <w:rsid w:val="00CA0CD2"/>
    <w:rsid w:val="00CA0D1C"/>
    <w:rsid w:val="00CA0DC4"/>
    <w:rsid w:val="00CA1278"/>
    <w:rsid w:val="00CA168A"/>
    <w:rsid w:val="00CA2476"/>
    <w:rsid w:val="00CA278C"/>
    <w:rsid w:val="00CA3CC2"/>
    <w:rsid w:val="00CA3E76"/>
    <w:rsid w:val="00CA4AD0"/>
    <w:rsid w:val="00CA4AE2"/>
    <w:rsid w:val="00CA693F"/>
    <w:rsid w:val="00CA7628"/>
    <w:rsid w:val="00CA7B27"/>
    <w:rsid w:val="00CB0B69"/>
    <w:rsid w:val="00CB0EC4"/>
    <w:rsid w:val="00CB0F7C"/>
    <w:rsid w:val="00CB149D"/>
    <w:rsid w:val="00CB1796"/>
    <w:rsid w:val="00CB3002"/>
    <w:rsid w:val="00CB3188"/>
    <w:rsid w:val="00CB31FF"/>
    <w:rsid w:val="00CB3557"/>
    <w:rsid w:val="00CB4001"/>
    <w:rsid w:val="00CB4B8F"/>
    <w:rsid w:val="00CB5AEF"/>
    <w:rsid w:val="00CB62AD"/>
    <w:rsid w:val="00CB62CC"/>
    <w:rsid w:val="00CB636A"/>
    <w:rsid w:val="00CB682C"/>
    <w:rsid w:val="00CB6868"/>
    <w:rsid w:val="00CB6ADD"/>
    <w:rsid w:val="00CB6C95"/>
    <w:rsid w:val="00CB7231"/>
    <w:rsid w:val="00CB7C5A"/>
    <w:rsid w:val="00CB7EC2"/>
    <w:rsid w:val="00CB7EE1"/>
    <w:rsid w:val="00CB7F23"/>
    <w:rsid w:val="00CC0062"/>
    <w:rsid w:val="00CC010F"/>
    <w:rsid w:val="00CC169B"/>
    <w:rsid w:val="00CC1902"/>
    <w:rsid w:val="00CC21CE"/>
    <w:rsid w:val="00CC270E"/>
    <w:rsid w:val="00CC307D"/>
    <w:rsid w:val="00CC3265"/>
    <w:rsid w:val="00CC3817"/>
    <w:rsid w:val="00CC39C8"/>
    <w:rsid w:val="00CC3A4B"/>
    <w:rsid w:val="00CC3BE3"/>
    <w:rsid w:val="00CC3F44"/>
    <w:rsid w:val="00CC6826"/>
    <w:rsid w:val="00CC68E3"/>
    <w:rsid w:val="00CC6A46"/>
    <w:rsid w:val="00CC6D0B"/>
    <w:rsid w:val="00CC78B2"/>
    <w:rsid w:val="00CC7F0A"/>
    <w:rsid w:val="00CD0107"/>
    <w:rsid w:val="00CD07CA"/>
    <w:rsid w:val="00CD1454"/>
    <w:rsid w:val="00CD20CC"/>
    <w:rsid w:val="00CD259C"/>
    <w:rsid w:val="00CD25DC"/>
    <w:rsid w:val="00CD26F4"/>
    <w:rsid w:val="00CD2AF5"/>
    <w:rsid w:val="00CD3302"/>
    <w:rsid w:val="00CD37F6"/>
    <w:rsid w:val="00CD412A"/>
    <w:rsid w:val="00CD43CB"/>
    <w:rsid w:val="00CD4545"/>
    <w:rsid w:val="00CD46A5"/>
    <w:rsid w:val="00CD4EED"/>
    <w:rsid w:val="00CD5FB9"/>
    <w:rsid w:val="00CD6199"/>
    <w:rsid w:val="00CD658D"/>
    <w:rsid w:val="00CD70A7"/>
    <w:rsid w:val="00CD7A29"/>
    <w:rsid w:val="00CE042A"/>
    <w:rsid w:val="00CE0F6E"/>
    <w:rsid w:val="00CE10E2"/>
    <w:rsid w:val="00CE119F"/>
    <w:rsid w:val="00CE1590"/>
    <w:rsid w:val="00CE15C0"/>
    <w:rsid w:val="00CE1903"/>
    <w:rsid w:val="00CE1DAB"/>
    <w:rsid w:val="00CE3884"/>
    <w:rsid w:val="00CE38D7"/>
    <w:rsid w:val="00CE46FB"/>
    <w:rsid w:val="00CE4781"/>
    <w:rsid w:val="00CE4943"/>
    <w:rsid w:val="00CE4BF3"/>
    <w:rsid w:val="00CE4CE1"/>
    <w:rsid w:val="00CE4E77"/>
    <w:rsid w:val="00CE5A08"/>
    <w:rsid w:val="00CE60D8"/>
    <w:rsid w:val="00CE6326"/>
    <w:rsid w:val="00CE7030"/>
    <w:rsid w:val="00CE7046"/>
    <w:rsid w:val="00CE7263"/>
    <w:rsid w:val="00CE7960"/>
    <w:rsid w:val="00CF0684"/>
    <w:rsid w:val="00CF11EF"/>
    <w:rsid w:val="00CF1B38"/>
    <w:rsid w:val="00CF1F5A"/>
    <w:rsid w:val="00CF2A1F"/>
    <w:rsid w:val="00CF310F"/>
    <w:rsid w:val="00CF33B1"/>
    <w:rsid w:val="00CF3821"/>
    <w:rsid w:val="00CF3EFA"/>
    <w:rsid w:val="00CF47DF"/>
    <w:rsid w:val="00CF52DB"/>
    <w:rsid w:val="00CF5497"/>
    <w:rsid w:val="00CF5E07"/>
    <w:rsid w:val="00CF65D9"/>
    <w:rsid w:val="00CF6D13"/>
    <w:rsid w:val="00CF6DDF"/>
    <w:rsid w:val="00CF7008"/>
    <w:rsid w:val="00CF714E"/>
    <w:rsid w:val="00CF736E"/>
    <w:rsid w:val="00D002AC"/>
    <w:rsid w:val="00D007C6"/>
    <w:rsid w:val="00D008CE"/>
    <w:rsid w:val="00D012B5"/>
    <w:rsid w:val="00D0172E"/>
    <w:rsid w:val="00D02308"/>
    <w:rsid w:val="00D030E8"/>
    <w:rsid w:val="00D03C2A"/>
    <w:rsid w:val="00D065D8"/>
    <w:rsid w:val="00D06954"/>
    <w:rsid w:val="00D069C5"/>
    <w:rsid w:val="00D06EDB"/>
    <w:rsid w:val="00D07994"/>
    <w:rsid w:val="00D07DE4"/>
    <w:rsid w:val="00D07F03"/>
    <w:rsid w:val="00D1000C"/>
    <w:rsid w:val="00D10204"/>
    <w:rsid w:val="00D10408"/>
    <w:rsid w:val="00D1079D"/>
    <w:rsid w:val="00D1086C"/>
    <w:rsid w:val="00D108C5"/>
    <w:rsid w:val="00D1094B"/>
    <w:rsid w:val="00D10BCB"/>
    <w:rsid w:val="00D10F35"/>
    <w:rsid w:val="00D12D5B"/>
    <w:rsid w:val="00D1323F"/>
    <w:rsid w:val="00D13D30"/>
    <w:rsid w:val="00D158C7"/>
    <w:rsid w:val="00D16382"/>
    <w:rsid w:val="00D165DC"/>
    <w:rsid w:val="00D16985"/>
    <w:rsid w:val="00D17F6F"/>
    <w:rsid w:val="00D17FB1"/>
    <w:rsid w:val="00D20626"/>
    <w:rsid w:val="00D20633"/>
    <w:rsid w:val="00D20736"/>
    <w:rsid w:val="00D20A8A"/>
    <w:rsid w:val="00D21447"/>
    <w:rsid w:val="00D22876"/>
    <w:rsid w:val="00D232DD"/>
    <w:rsid w:val="00D2355C"/>
    <w:rsid w:val="00D235F4"/>
    <w:rsid w:val="00D23F1B"/>
    <w:rsid w:val="00D24970"/>
    <w:rsid w:val="00D24C7C"/>
    <w:rsid w:val="00D25A0C"/>
    <w:rsid w:val="00D2628B"/>
    <w:rsid w:val="00D268E0"/>
    <w:rsid w:val="00D279F6"/>
    <w:rsid w:val="00D27B35"/>
    <w:rsid w:val="00D27C22"/>
    <w:rsid w:val="00D3013A"/>
    <w:rsid w:val="00D30295"/>
    <w:rsid w:val="00D30E49"/>
    <w:rsid w:val="00D31307"/>
    <w:rsid w:val="00D31446"/>
    <w:rsid w:val="00D3168C"/>
    <w:rsid w:val="00D32E2E"/>
    <w:rsid w:val="00D34308"/>
    <w:rsid w:val="00D35865"/>
    <w:rsid w:val="00D359F8"/>
    <w:rsid w:val="00D35D07"/>
    <w:rsid w:val="00D35DCA"/>
    <w:rsid w:val="00D36FB3"/>
    <w:rsid w:val="00D37662"/>
    <w:rsid w:val="00D40BEA"/>
    <w:rsid w:val="00D40EF2"/>
    <w:rsid w:val="00D41E69"/>
    <w:rsid w:val="00D42EE1"/>
    <w:rsid w:val="00D4307E"/>
    <w:rsid w:val="00D43937"/>
    <w:rsid w:val="00D43B3F"/>
    <w:rsid w:val="00D4403F"/>
    <w:rsid w:val="00D44A05"/>
    <w:rsid w:val="00D45261"/>
    <w:rsid w:val="00D45538"/>
    <w:rsid w:val="00D455FC"/>
    <w:rsid w:val="00D46125"/>
    <w:rsid w:val="00D4659A"/>
    <w:rsid w:val="00D4668F"/>
    <w:rsid w:val="00D46706"/>
    <w:rsid w:val="00D47816"/>
    <w:rsid w:val="00D50194"/>
    <w:rsid w:val="00D50340"/>
    <w:rsid w:val="00D5066B"/>
    <w:rsid w:val="00D50842"/>
    <w:rsid w:val="00D50AED"/>
    <w:rsid w:val="00D5114D"/>
    <w:rsid w:val="00D5155C"/>
    <w:rsid w:val="00D51DC1"/>
    <w:rsid w:val="00D51F57"/>
    <w:rsid w:val="00D52C74"/>
    <w:rsid w:val="00D53972"/>
    <w:rsid w:val="00D53F62"/>
    <w:rsid w:val="00D54814"/>
    <w:rsid w:val="00D54A6A"/>
    <w:rsid w:val="00D54F0A"/>
    <w:rsid w:val="00D5547B"/>
    <w:rsid w:val="00D55790"/>
    <w:rsid w:val="00D55D21"/>
    <w:rsid w:val="00D5605F"/>
    <w:rsid w:val="00D568D7"/>
    <w:rsid w:val="00D56BBC"/>
    <w:rsid w:val="00D56C3B"/>
    <w:rsid w:val="00D5703B"/>
    <w:rsid w:val="00D577A7"/>
    <w:rsid w:val="00D578BD"/>
    <w:rsid w:val="00D57E26"/>
    <w:rsid w:val="00D60F19"/>
    <w:rsid w:val="00D62C29"/>
    <w:rsid w:val="00D62C51"/>
    <w:rsid w:val="00D63160"/>
    <w:rsid w:val="00D63385"/>
    <w:rsid w:val="00D63703"/>
    <w:rsid w:val="00D63D69"/>
    <w:rsid w:val="00D645EF"/>
    <w:rsid w:val="00D64B53"/>
    <w:rsid w:val="00D657E6"/>
    <w:rsid w:val="00D66447"/>
    <w:rsid w:val="00D66581"/>
    <w:rsid w:val="00D67820"/>
    <w:rsid w:val="00D6791C"/>
    <w:rsid w:val="00D70294"/>
    <w:rsid w:val="00D709C6"/>
    <w:rsid w:val="00D70E92"/>
    <w:rsid w:val="00D70EF9"/>
    <w:rsid w:val="00D71048"/>
    <w:rsid w:val="00D714F4"/>
    <w:rsid w:val="00D719C9"/>
    <w:rsid w:val="00D72545"/>
    <w:rsid w:val="00D725A3"/>
    <w:rsid w:val="00D72B7C"/>
    <w:rsid w:val="00D72BE7"/>
    <w:rsid w:val="00D73B70"/>
    <w:rsid w:val="00D73F5F"/>
    <w:rsid w:val="00D74C08"/>
    <w:rsid w:val="00D75BE6"/>
    <w:rsid w:val="00D76200"/>
    <w:rsid w:val="00D77195"/>
    <w:rsid w:val="00D806FE"/>
    <w:rsid w:val="00D810A8"/>
    <w:rsid w:val="00D81339"/>
    <w:rsid w:val="00D81A67"/>
    <w:rsid w:val="00D8252E"/>
    <w:rsid w:val="00D83012"/>
    <w:rsid w:val="00D838C2"/>
    <w:rsid w:val="00D83C85"/>
    <w:rsid w:val="00D8405B"/>
    <w:rsid w:val="00D84870"/>
    <w:rsid w:val="00D84F20"/>
    <w:rsid w:val="00D86BB7"/>
    <w:rsid w:val="00D86D9A"/>
    <w:rsid w:val="00D86F0C"/>
    <w:rsid w:val="00D873CD"/>
    <w:rsid w:val="00D87ACA"/>
    <w:rsid w:val="00D87E6F"/>
    <w:rsid w:val="00D91001"/>
    <w:rsid w:val="00D92012"/>
    <w:rsid w:val="00D922D0"/>
    <w:rsid w:val="00D9279B"/>
    <w:rsid w:val="00D927BF"/>
    <w:rsid w:val="00D9306D"/>
    <w:rsid w:val="00D931ED"/>
    <w:rsid w:val="00D9352B"/>
    <w:rsid w:val="00D93956"/>
    <w:rsid w:val="00D94448"/>
    <w:rsid w:val="00D9481E"/>
    <w:rsid w:val="00D94D07"/>
    <w:rsid w:val="00D94E35"/>
    <w:rsid w:val="00D95898"/>
    <w:rsid w:val="00D95C92"/>
    <w:rsid w:val="00D95E08"/>
    <w:rsid w:val="00D95F29"/>
    <w:rsid w:val="00D96755"/>
    <w:rsid w:val="00D9694A"/>
    <w:rsid w:val="00D977DA"/>
    <w:rsid w:val="00DA0518"/>
    <w:rsid w:val="00DA0DCA"/>
    <w:rsid w:val="00DA1034"/>
    <w:rsid w:val="00DA105B"/>
    <w:rsid w:val="00DA2279"/>
    <w:rsid w:val="00DA29E4"/>
    <w:rsid w:val="00DA3679"/>
    <w:rsid w:val="00DA371F"/>
    <w:rsid w:val="00DA419B"/>
    <w:rsid w:val="00DA42CF"/>
    <w:rsid w:val="00DA565A"/>
    <w:rsid w:val="00DA5709"/>
    <w:rsid w:val="00DA6698"/>
    <w:rsid w:val="00DA6808"/>
    <w:rsid w:val="00DB0E1F"/>
    <w:rsid w:val="00DB1A4B"/>
    <w:rsid w:val="00DB2066"/>
    <w:rsid w:val="00DB2158"/>
    <w:rsid w:val="00DB252F"/>
    <w:rsid w:val="00DB2C23"/>
    <w:rsid w:val="00DB3012"/>
    <w:rsid w:val="00DB3086"/>
    <w:rsid w:val="00DB3411"/>
    <w:rsid w:val="00DB37EF"/>
    <w:rsid w:val="00DB44B3"/>
    <w:rsid w:val="00DB4776"/>
    <w:rsid w:val="00DB541F"/>
    <w:rsid w:val="00DB58A8"/>
    <w:rsid w:val="00DB5A03"/>
    <w:rsid w:val="00DB5DE0"/>
    <w:rsid w:val="00DB62DC"/>
    <w:rsid w:val="00DB654A"/>
    <w:rsid w:val="00DB6DF8"/>
    <w:rsid w:val="00DB763D"/>
    <w:rsid w:val="00DB77CA"/>
    <w:rsid w:val="00DB7BA9"/>
    <w:rsid w:val="00DC0029"/>
    <w:rsid w:val="00DC0035"/>
    <w:rsid w:val="00DC05D4"/>
    <w:rsid w:val="00DC2EC1"/>
    <w:rsid w:val="00DC30B7"/>
    <w:rsid w:val="00DC3531"/>
    <w:rsid w:val="00DC3B6B"/>
    <w:rsid w:val="00DC3C65"/>
    <w:rsid w:val="00DC3D03"/>
    <w:rsid w:val="00DC4657"/>
    <w:rsid w:val="00DC48DF"/>
    <w:rsid w:val="00DC4C50"/>
    <w:rsid w:val="00DC6F5C"/>
    <w:rsid w:val="00DC73DD"/>
    <w:rsid w:val="00DD00DA"/>
    <w:rsid w:val="00DD0342"/>
    <w:rsid w:val="00DD16EF"/>
    <w:rsid w:val="00DD17EA"/>
    <w:rsid w:val="00DD1834"/>
    <w:rsid w:val="00DD20E3"/>
    <w:rsid w:val="00DD21BB"/>
    <w:rsid w:val="00DD25E0"/>
    <w:rsid w:val="00DD2612"/>
    <w:rsid w:val="00DD2D4F"/>
    <w:rsid w:val="00DD3247"/>
    <w:rsid w:val="00DD3346"/>
    <w:rsid w:val="00DD3F86"/>
    <w:rsid w:val="00DD40AF"/>
    <w:rsid w:val="00DD4411"/>
    <w:rsid w:val="00DD4F1A"/>
    <w:rsid w:val="00DD5A1F"/>
    <w:rsid w:val="00DD604C"/>
    <w:rsid w:val="00DD632E"/>
    <w:rsid w:val="00DD73EE"/>
    <w:rsid w:val="00DD7D6A"/>
    <w:rsid w:val="00DD7F90"/>
    <w:rsid w:val="00DE0002"/>
    <w:rsid w:val="00DE0362"/>
    <w:rsid w:val="00DE0B7A"/>
    <w:rsid w:val="00DE1781"/>
    <w:rsid w:val="00DE1C9C"/>
    <w:rsid w:val="00DE2DC0"/>
    <w:rsid w:val="00DE3069"/>
    <w:rsid w:val="00DE3164"/>
    <w:rsid w:val="00DE323B"/>
    <w:rsid w:val="00DE363B"/>
    <w:rsid w:val="00DE4586"/>
    <w:rsid w:val="00DE4C1D"/>
    <w:rsid w:val="00DE5536"/>
    <w:rsid w:val="00DE598E"/>
    <w:rsid w:val="00DE5B31"/>
    <w:rsid w:val="00DE5FFA"/>
    <w:rsid w:val="00DE6AE7"/>
    <w:rsid w:val="00DF02CE"/>
    <w:rsid w:val="00DF0400"/>
    <w:rsid w:val="00DF0687"/>
    <w:rsid w:val="00DF0827"/>
    <w:rsid w:val="00DF0FF3"/>
    <w:rsid w:val="00DF10BF"/>
    <w:rsid w:val="00DF15BB"/>
    <w:rsid w:val="00DF1EB7"/>
    <w:rsid w:val="00DF24FC"/>
    <w:rsid w:val="00DF385B"/>
    <w:rsid w:val="00DF3C55"/>
    <w:rsid w:val="00DF4131"/>
    <w:rsid w:val="00DF41B4"/>
    <w:rsid w:val="00DF4401"/>
    <w:rsid w:val="00DF444E"/>
    <w:rsid w:val="00DF4513"/>
    <w:rsid w:val="00DF521D"/>
    <w:rsid w:val="00DF5325"/>
    <w:rsid w:val="00DF532A"/>
    <w:rsid w:val="00DF60D3"/>
    <w:rsid w:val="00DF61C7"/>
    <w:rsid w:val="00DF6515"/>
    <w:rsid w:val="00DF656F"/>
    <w:rsid w:val="00DF7996"/>
    <w:rsid w:val="00DF7BED"/>
    <w:rsid w:val="00DF7E50"/>
    <w:rsid w:val="00E004B6"/>
    <w:rsid w:val="00E00A48"/>
    <w:rsid w:val="00E01357"/>
    <w:rsid w:val="00E021A4"/>
    <w:rsid w:val="00E03223"/>
    <w:rsid w:val="00E03553"/>
    <w:rsid w:val="00E03B27"/>
    <w:rsid w:val="00E03B7D"/>
    <w:rsid w:val="00E03DCB"/>
    <w:rsid w:val="00E03ED2"/>
    <w:rsid w:val="00E044BB"/>
    <w:rsid w:val="00E05098"/>
    <w:rsid w:val="00E054C8"/>
    <w:rsid w:val="00E05577"/>
    <w:rsid w:val="00E05A46"/>
    <w:rsid w:val="00E07D67"/>
    <w:rsid w:val="00E10763"/>
    <w:rsid w:val="00E10AB8"/>
    <w:rsid w:val="00E11776"/>
    <w:rsid w:val="00E129A7"/>
    <w:rsid w:val="00E12B49"/>
    <w:rsid w:val="00E12C64"/>
    <w:rsid w:val="00E12E0D"/>
    <w:rsid w:val="00E1379D"/>
    <w:rsid w:val="00E13858"/>
    <w:rsid w:val="00E1433D"/>
    <w:rsid w:val="00E154F0"/>
    <w:rsid w:val="00E155FE"/>
    <w:rsid w:val="00E16065"/>
    <w:rsid w:val="00E16930"/>
    <w:rsid w:val="00E17F91"/>
    <w:rsid w:val="00E20852"/>
    <w:rsid w:val="00E20979"/>
    <w:rsid w:val="00E210EE"/>
    <w:rsid w:val="00E2136F"/>
    <w:rsid w:val="00E2254A"/>
    <w:rsid w:val="00E235D1"/>
    <w:rsid w:val="00E23654"/>
    <w:rsid w:val="00E248AE"/>
    <w:rsid w:val="00E24906"/>
    <w:rsid w:val="00E2508F"/>
    <w:rsid w:val="00E25608"/>
    <w:rsid w:val="00E25765"/>
    <w:rsid w:val="00E25C84"/>
    <w:rsid w:val="00E2636E"/>
    <w:rsid w:val="00E27186"/>
    <w:rsid w:val="00E27A8F"/>
    <w:rsid w:val="00E30586"/>
    <w:rsid w:val="00E309A0"/>
    <w:rsid w:val="00E317F0"/>
    <w:rsid w:val="00E31ADE"/>
    <w:rsid w:val="00E321CA"/>
    <w:rsid w:val="00E323F3"/>
    <w:rsid w:val="00E32D72"/>
    <w:rsid w:val="00E331DD"/>
    <w:rsid w:val="00E33592"/>
    <w:rsid w:val="00E339DE"/>
    <w:rsid w:val="00E34489"/>
    <w:rsid w:val="00E34AA1"/>
    <w:rsid w:val="00E3512D"/>
    <w:rsid w:val="00E352EE"/>
    <w:rsid w:val="00E35468"/>
    <w:rsid w:val="00E36130"/>
    <w:rsid w:val="00E3646F"/>
    <w:rsid w:val="00E3651B"/>
    <w:rsid w:val="00E3669B"/>
    <w:rsid w:val="00E372F3"/>
    <w:rsid w:val="00E37307"/>
    <w:rsid w:val="00E3795D"/>
    <w:rsid w:val="00E37D3D"/>
    <w:rsid w:val="00E37D7A"/>
    <w:rsid w:val="00E417C1"/>
    <w:rsid w:val="00E418A3"/>
    <w:rsid w:val="00E423B7"/>
    <w:rsid w:val="00E4278E"/>
    <w:rsid w:val="00E42EC5"/>
    <w:rsid w:val="00E4407D"/>
    <w:rsid w:val="00E44C2A"/>
    <w:rsid w:val="00E45824"/>
    <w:rsid w:val="00E4598D"/>
    <w:rsid w:val="00E45E69"/>
    <w:rsid w:val="00E464F2"/>
    <w:rsid w:val="00E474F5"/>
    <w:rsid w:val="00E501A8"/>
    <w:rsid w:val="00E50949"/>
    <w:rsid w:val="00E50D4D"/>
    <w:rsid w:val="00E5163C"/>
    <w:rsid w:val="00E51982"/>
    <w:rsid w:val="00E521F1"/>
    <w:rsid w:val="00E53368"/>
    <w:rsid w:val="00E53CE8"/>
    <w:rsid w:val="00E5416E"/>
    <w:rsid w:val="00E5458C"/>
    <w:rsid w:val="00E546D8"/>
    <w:rsid w:val="00E54AC2"/>
    <w:rsid w:val="00E56373"/>
    <w:rsid w:val="00E57912"/>
    <w:rsid w:val="00E6064B"/>
    <w:rsid w:val="00E60A29"/>
    <w:rsid w:val="00E60DFD"/>
    <w:rsid w:val="00E626BD"/>
    <w:rsid w:val="00E629CD"/>
    <w:rsid w:val="00E63A4D"/>
    <w:rsid w:val="00E6437C"/>
    <w:rsid w:val="00E645E7"/>
    <w:rsid w:val="00E64652"/>
    <w:rsid w:val="00E6475D"/>
    <w:rsid w:val="00E64E45"/>
    <w:rsid w:val="00E65700"/>
    <w:rsid w:val="00E657BC"/>
    <w:rsid w:val="00E66BA0"/>
    <w:rsid w:val="00E66C6F"/>
    <w:rsid w:val="00E67D33"/>
    <w:rsid w:val="00E701D1"/>
    <w:rsid w:val="00E708BC"/>
    <w:rsid w:val="00E70BD2"/>
    <w:rsid w:val="00E70C9D"/>
    <w:rsid w:val="00E70D34"/>
    <w:rsid w:val="00E70F89"/>
    <w:rsid w:val="00E71367"/>
    <w:rsid w:val="00E7205B"/>
    <w:rsid w:val="00E72168"/>
    <w:rsid w:val="00E72A8F"/>
    <w:rsid w:val="00E72BD4"/>
    <w:rsid w:val="00E744DD"/>
    <w:rsid w:val="00E749B5"/>
    <w:rsid w:val="00E74F02"/>
    <w:rsid w:val="00E74F32"/>
    <w:rsid w:val="00E751FA"/>
    <w:rsid w:val="00E752FD"/>
    <w:rsid w:val="00E7560B"/>
    <w:rsid w:val="00E75B8D"/>
    <w:rsid w:val="00E75DE2"/>
    <w:rsid w:val="00E7650D"/>
    <w:rsid w:val="00E768BA"/>
    <w:rsid w:val="00E7787D"/>
    <w:rsid w:val="00E77A08"/>
    <w:rsid w:val="00E80059"/>
    <w:rsid w:val="00E80590"/>
    <w:rsid w:val="00E8089D"/>
    <w:rsid w:val="00E80BC7"/>
    <w:rsid w:val="00E80F72"/>
    <w:rsid w:val="00E81043"/>
    <w:rsid w:val="00E81F50"/>
    <w:rsid w:val="00E82562"/>
    <w:rsid w:val="00E82AE3"/>
    <w:rsid w:val="00E82B44"/>
    <w:rsid w:val="00E83585"/>
    <w:rsid w:val="00E837C9"/>
    <w:rsid w:val="00E83A6B"/>
    <w:rsid w:val="00E8445F"/>
    <w:rsid w:val="00E84BBA"/>
    <w:rsid w:val="00E84FF8"/>
    <w:rsid w:val="00E851AA"/>
    <w:rsid w:val="00E851DE"/>
    <w:rsid w:val="00E85605"/>
    <w:rsid w:val="00E85CAE"/>
    <w:rsid w:val="00E868DF"/>
    <w:rsid w:val="00E86992"/>
    <w:rsid w:val="00E873FE"/>
    <w:rsid w:val="00E87EF1"/>
    <w:rsid w:val="00E902B3"/>
    <w:rsid w:val="00E90756"/>
    <w:rsid w:val="00E91742"/>
    <w:rsid w:val="00E9195A"/>
    <w:rsid w:val="00E91A93"/>
    <w:rsid w:val="00E91C21"/>
    <w:rsid w:val="00E9258F"/>
    <w:rsid w:val="00E951CB"/>
    <w:rsid w:val="00E95806"/>
    <w:rsid w:val="00E95E6A"/>
    <w:rsid w:val="00E96226"/>
    <w:rsid w:val="00E96DBB"/>
    <w:rsid w:val="00E97370"/>
    <w:rsid w:val="00E97408"/>
    <w:rsid w:val="00E97C07"/>
    <w:rsid w:val="00EA03DA"/>
    <w:rsid w:val="00EA05A6"/>
    <w:rsid w:val="00EA0A33"/>
    <w:rsid w:val="00EA1186"/>
    <w:rsid w:val="00EA1245"/>
    <w:rsid w:val="00EA214E"/>
    <w:rsid w:val="00EA3052"/>
    <w:rsid w:val="00EA31E3"/>
    <w:rsid w:val="00EA33E6"/>
    <w:rsid w:val="00EA4AB9"/>
    <w:rsid w:val="00EA4E50"/>
    <w:rsid w:val="00EA5859"/>
    <w:rsid w:val="00EA59F2"/>
    <w:rsid w:val="00EA5C23"/>
    <w:rsid w:val="00EA6B63"/>
    <w:rsid w:val="00EA6CE3"/>
    <w:rsid w:val="00EA787E"/>
    <w:rsid w:val="00EA7979"/>
    <w:rsid w:val="00EA7E04"/>
    <w:rsid w:val="00EA7EA2"/>
    <w:rsid w:val="00EB0187"/>
    <w:rsid w:val="00EB082A"/>
    <w:rsid w:val="00EB0F77"/>
    <w:rsid w:val="00EB1BB3"/>
    <w:rsid w:val="00EB2396"/>
    <w:rsid w:val="00EB23AF"/>
    <w:rsid w:val="00EB3EBB"/>
    <w:rsid w:val="00EB42D4"/>
    <w:rsid w:val="00EB445D"/>
    <w:rsid w:val="00EB4CA1"/>
    <w:rsid w:val="00EB5E33"/>
    <w:rsid w:val="00EB643B"/>
    <w:rsid w:val="00EB723B"/>
    <w:rsid w:val="00EC0558"/>
    <w:rsid w:val="00EC1DC7"/>
    <w:rsid w:val="00EC23DB"/>
    <w:rsid w:val="00EC2688"/>
    <w:rsid w:val="00EC2738"/>
    <w:rsid w:val="00EC2799"/>
    <w:rsid w:val="00EC2ABD"/>
    <w:rsid w:val="00EC2E80"/>
    <w:rsid w:val="00EC33F4"/>
    <w:rsid w:val="00EC35FC"/>
    <w:rsid w:val="00EC3F1F"/>
    <w:rsid w:val="00EC4868"/>
    <w:rsid w:val="00EC5384"/>
    <w:rsid w:val="00EC5920"/>
    <w:rsid w:val="00EC5C5F"/>
    <w:rsid w:val="00EC5D1B"/>
    <w:rsid w:val="00EC5E81"/>
    <w:rsid w:val="00EC6493"/>
    <w:rsid w:val="00EC7716"/>
    <w:rsid w:val="00EC7A66"/>
    <w:rsid w:val="00EC7D4A"/>
    <w:rsid w:val="00ED078B"/>
    <w:rsid w:val="00ED0E3E"/>
    <w:rsid w:val="00ED117B"/>
    <w:rsid w:val="00ED215C"/>
    <w:rsid w:val="00ED21E0"/>
    <w:rsid w:val="00ED2894"/>
    <w:rsid w:val="00ED4BA5"/>
    <w:rsid w:val="00ED4DC3"/>
    <w:rsid w:val="00ED53A9"/>
    <w:rsid w:val="00ED5477"/>
    <w:rsid w:val="00ED605E"/>
    <w:rsid w:val="00ED6400"/>
    <w:rsid w:val="00ED66AA"/>
    <w:rsid w:val="00ED7051"/>
    <w:rsid w:val="00ED7112"/>
    <w:rsid w:val="00ED76E5"/>
    <w:rsid w:val="00ED7C66"/>
    <w:rsid w:val="00ED7FA5"/>
    <w:rsid w:val="00EE021C"/>
    <w:rsid w:val="00EE0221"/>
    <w:rsid w:val="00EE1DC8"/>
    <w:rsid w:val="00EE1E37"/>
    <w:rsid w:val="00EE218B"/>
    <w:rsid w:val="00EE237F"/>
    <w:rsid w:val="00EE3472"/>
    <w:rsid w:val="00EE4C14"/>
    <w:rsid w:val="00EE4F87"/>
    <w:rsid w:val="00EE5962"/>
    <w:rsid w:val="00EE6624"/>
    <w:rsid w:val="00EE68A7"/>
    <w:rsid w:val="00EE6F51"/>
    <w:rsid w:val="00EE71DD"/>
    <w:rsid w:val="00EE7329"/>
    <w:rsid w:val="00EE73BA"/>
    <w:rsid w:val="00EF14ED"/>
    <w:rsid w:val="00EF264E"/>
    <w:rsid w:val="00EF2BB6"/>
    <w:rsid w:val="00EF334B"/>
    <w:rsid w:val="00EF3E19"/>
    <w:rsid w:val="00EF4270"/>
    <w:rsid w:val="00EF4420"/>
    <w:rsid w:val="00EF4A59"/>
    <w:rsid w:val="00EF4A5E"/>
    <w:rsid w:val="00EF4E30"/>
    <w:rsid w:val="00EF52F2"/>
    <w:rsid w:val="00EF59ED"/>
    <w:rsid w:val="00EF5C14"/>
    <w:rsid w:val="00EF5DD5"/>
    <w:rsid w:val="00EF6CCC"/>
    <w:rsid w:val="00EF7796"/>
    <w:rsid w:val="00EF7B73"/>
    <w:rsid w:val="00EF7DA4"/>
    <w:rsid w:val="00EF7EEC"/>
    <w:rsid w:val="00F006B5"/>
    <w:rsid w:val="00F00B7E"/>
    <w:rsid w:val="00F01379"/>
    <w:rsid w:val="00F01698"/>
    <w:rsid w:val="00F026F6"/>
    <w:rsid w:val="00F0290A"/>
    <w:rsid w:val="00F035B3"/>
    <w:rsid w:val="00F03BB9"/>
    <w:rsid w:val="00F04F66"/>
    <w:rsid w:val="00F05214"/>
    <w:rsid w:val="00F05E0A"/>
    <w:rsid w:val="00F05F56"/>
    <w:rsid w:val="00F06569"/>
    <w:rsid w:val="00F06F00"/>
    <w:rsid w:val="00F11219"/>
    <w:rsid w:val="00F11FBD"/>
    <w:rsid w:val="00F1220E"/>
    <w:rsid w:val="00F1235C"/>
    <w:rsid w:val="00F132E8"/>
    <w:rsid w:val="00F133AE"/>
    <w:rsid w:val="00F13A0C"/>
    <w:rsid w:val="00F14387"/>
    <w:rsid w:val="00F1494C"/>
    <w:rsid w:val="00F15529"/>
    <w:rsid w:val="00F16099"/>
    <w:rsid w:val="00F16119"/>
    <w:rsid w:val="00F1639C"/>
    <w:rsid w:val="00F166CD"/>
    <w:rsid w:val="00F171C0"/>
    <w:rsid w:val="00F179EB"/>
    <w:rsid w:val="00F17E2A"/>
    <w:rsid w:val="00F20470"/>
    <w:rsid w:val="00F212D5"/>
    <w:rsid w:val="00F21AE1"/>
    <w:rsid w:val="00F21DD3"/>
    <w:rsid w:val="00F22604"/>
    <w:rsid w:val="00F22620"/>
    <w:rsid w:val="00F22E21"/>
    <w:rsid w:val="00F22E53"/>
    <w:rsid w:val="00F22F14"/>
    <w:rsid w:val="00F23866"/>
    <w:rsid w:val="00F23D7C"/>
    <w:rsid w:val="00F24759"/>
    <w:rsid w:val="00F255C8"/>
    <w:rsid w:val="00F260F4"/>
    <w:rsid w:val="00F267A6"/>
    <w:rsid w:val="00F26C7F"/>
    <w:rsid w:val="00F26FA2"/>
    <w:rsid w:val="00F270EA"/>
    <w:rsid w:val="00F27AAF"/>
    <w:rsid w:val="00F27E8C"/>
    <w:rsid w:val="00F30392"/>
    <w:rsid w:val="00F306A8"/>
    <w:rsid w:val="00F307A1"/>
    <w:rsid w:val="00F30FE1"/>
    <w:rsid w:val="00F31543"/>
    <w:rsid w:val="00F31DCF"/>
    <w:rsid w:val="00F31FDB"/>
    <w:rsid w:val="00F325D2"/>
    <w:rsid w:val="00F329E7"/>
    <w:rsid w:val="00F32A71"/>
    <w:rsid w:val="00F32DC5"/>
    <w:rsid w:val="00F33E04"/>
    <w:rsid w:val="00F34214"/>
    <w:rsid w:val="00F349F4"/>
    <w:rsid w:val="00F34CF3"/>
    <w:rsid w:val="00F34FF3"/>
    <w:rsid w:val="00F35034"/>
    <w:rsid w:val="00F35EE9"/>
    <w:rsid w:val="00F36169"/>
    <w:rsid w:val="00F3679B"/>
    <w:rsid w:val="00F369CF"/>
    <w:rsid w:val="00F36C6E"/>
    <w:rsid w:val="00F37DFE"/>
    <w:rsid w:val="00F4011A"/>
    <w:rsid w:val="00F40EB2"/>
    <w:rsid w:val="00F41264"/>
    <w:rsid w:val="00F413FF"/>
    <w:rsid w:val="00F421BA"/>
    <w:rsid w:val="00F421C8"/>
    <w:rsid w:val="00F425A6"/>
    <w:rsid w:val="00F42620"/>
    <w:rsid w:val="00F42751"/>
    <w:rsid w:val="00F42CD7"/>
    <w:rsid w:val="00F43A4A"/>
    <w:rsid w:val="00F43BD5"/>
    <w:rsid w:val="00F44009"/>
    <w:rsid w:val="00F44379"/>
    <w:rsid w:val="00F444CB"/>
    <w:rsid w:val="00F446B1"/>
    <w:rsid w:val="00F44820"/>
    <w:rsid w:val="00F45836"/>
    <w:rsid w:val="00F45E5F"/>
    <w:rsid w:val="00F45FBF"/>
    <w:rsid w:val="00F46197"/>
    <w:rsid w:val="00F462FD"/>
    <w:rsid w:val="00F46CD7"/>
    <w:rsid w:val="00F46FEE"/>
    <w:rsid w:val="00F4767B"/>
    <w:rsid w:val="00F502BE"/>
    <w:rsid w:val="00F50670"/>
    <w:rsid w:val="00F50834"/>
    <w:rsid w:val="00F50ECF"/>
    <w:rsid w:val="00F520B8"/>
    <w:rsid w:val="00F52136"/>
    <w:rsid w:val="00F522B7"/>
    <w:rsid w:val="00F52781"/>
    <w:rsid w:val="00F52955"/>
    <w:rsid w:val="00F550F9"/>
    <w:rsid w:val="00F551D5"/>
    <w:rsid w:val="00F55C9B"/>
    <w:rsid w:val="00F56C9A"/>
    <w:rsid w:val="00F57AEC"/>
    <w:rsid w:val="00F6033D"/>
    <w:rsid w:val="00F607AD"/>
    <w:rsid w:val="00F60C5B"/>
    <w:rsid w:val="00F60E99"/>
    <w:rsid w:val="00F62783"/>
    <w:rsid w:val="00F6279F"/>
    <w:rsid w:val="00F62C51"/>
    <w:rsid w:val="00F631CF"/>
    <w:rsid w:val="00F636CF"/>
    <w:rsid w:val="00F636ED"/>
    <w:rsid w:val="00F63B5A"/>
    <w:rsid w:val="00F63E3F"/>
    <w:rsid w:val="00F65C2B"/>
    <w:rsid w:val="00F65E4E"/>
    <w:rsid w:val="00F70021"/>
    <w:rsid w:val="00F7035E"/>
    <w:rsid w:val="00F71227"/>
    <w:rsid w:val="00F71D6D"/>
    <w:rsid w:val="00F71F54"/>
    <w:rsid w:val="00F72476"/>
    <w:rsid w:val="00F725B8"/>
    <w:rsid w:val="00F731C4"/>
    <w:rsid w:val="00F7396E"/>
    <w:rsid w:val="00F73B55"/>
    <w:rsid w:val="00F73E8F"/>
    <w:rsid w:val="00F759CF"/>
    <w:rsid w:val="00F75EE7"/>
    <w:rsid w:val="00F760D4"/>
    <w:rsid w:val="00F77709"/>
    <w:rsid w:val="00F777FA"/>
    <w:rsid w:val="00F8024F"/>
    <w:rsid w:val="00F810E5"/>
    <w:rsid w:val="00F812DA"/>
    <w:rsid w:val="00F8171D"/>
    <w:rsid w:val="00F81ABF"/>
    <w:rsid w:val="00F82633"/>
    <w:rsid w:val="00F82734"/>
    <w:rsid w:val="00F8285C"/>
    <w:rsid w:val="00F82948"/>
    <w:rsid w:val="00F82D07"/>
    <w:rsid w:val="00F82EA2"/>
    <w:rsid w:val="00F830DA"/>
    <w:rsid w:val="00F83CA8"/>
    <w:rsid w:val="00F841D8"/>
    <w:rsid w:val="00F847E4"/>
    <w:rsid w:val="00F84C76"/>
    <w:rsid w:val="00F84D48"/>
    <w:rsid w:val="00F85CF3"/>
    <w:rsid w:val="00F86DBB"/>
    <w:rsid w:val="00F86DBE"/>
    <w:rsid w:val="00F8719B"/>
    <w:rsid w:val="00F90693"/>
    <w:rsid w:val="00F9075F"/>
    <w:rsid w:val="00F919F5"/>
    <w:rsid w:val="00F91D92"/>
    <w:rsid w:val="00F91E99"/>
    <w:rsid w:val="00F92796"/>
    <w:rsid w:val="00F92F52"/>
    <w:rsid w:val="00F9388B"/>
    <w:rsid w:val="00F9482D"/>
    <w:rsid w:val="00F94E3A"/>
    <w:rsid w:val="00F952B1"/>
    <w:rsid w:val="00F9735B"/>
    <w:rsid w:val="00F97CDF"/>
    <w:rsid w:val="00FA050D"/>
    <w:rsid w:val="00FA08A6"/>
    <w:rsid w:val="00FA095F"/>
    <w:rsid w:val="00FA0DC0"/>
    <w:rsid w:val="00FA1508"/>
    <w:rsid w:val="00FA2C95"/>
    <w:rsid w:val="00FA2DB8"/>
    <w:rsid w:val="00FA30E1"/>
    <w:rsid w:val="00FA3489"/>
    <w:rsid w:val="00FA36B1"/>
    <w:rsid w:val="00FA3E89"/>
    <w:rsid w:val="00FA44D0"/>
    <w:rsid w:val="00FA6974"/>
    <w:rsid w:val="00FA6CCF"/>
    <w:rsid w:val="00FA6E98"/>
    <w:rsid w:val="00FA76AA"/>
    <w:rsid w:val="00FA7742"/>
    <w:rsid w:val="00FB004D"/>
    <w:rsid w:val="00FB08EC"/>
    <w:rsid w:val="00FB0C1E"/>
    <w:rsid w:val="00FB2084"/>
    <w:rsid w:val="00FB2424"/>
    <w:rsid w:val="00FB3874"/>
    <w:rsid w:val="00FB40EA"/>
    <w:rsid w:val="00FB46A0"/>
    <w:rsid w:val="00FB496A"/>
    <w:rsid w:val="00FB4D21"/>
    <w:rsid w:val="00FB57C1"/>
    <w:rsid w:val="00FB5A54"/>
    <w:rsid w:val="00FB625F"/>
    <w:rsid w:val="00FB68D8"/>
    <w:rsid w:val="00FB77D7"/>
    <w:rsid w:val="00FB7A55"/>
    <w:rsid w:val="00FB7AB2"/>
    <w:rsid w:val="00FC0B90"/>
    <w:rsid w:val="00FC13EE"/>
    <w:rsid w:val="00FC14CB"/>
    <w:rsid w:val="00FC15A4"/>
    <w:rsid w:val="00FC1625"/>
    <w:rsid w:val="00FC2185"/>
    <w:rsid w:val="00FC3541"/>
    <w:rsid w:val="00FC3A06"/>
    <w:rsid w:val="00FC4D8A"/>
    <w:rsid w:val="00FC52A8"/>
    <w:rsid w:val="00FC54CD"/>
    <w:rsid w:val="00FC5892"/>
    <w:rsid w:val="00FC64BF"/>
    <w:rsid w:val="00FC67AB"/>
    <w:rsid w:val="00FC7302"/>
    <w:rsid w:val="00FC745C"/>
    <w:rsid w:val="00FC7CD0"/>
    <w:rsid w:val="00FC7FDE"/>
    <w:rsid w:val="00FD0364"/>
    <w:rsid w:val="00FD072E"/>
    <w:rsid w:val="00FD0A7D"/>
    <w:rsid w:val="00FD1151"/>
    <w:rsid w:val="00FD134F"/>
    <w:rsid w:val="00FD2350"/>
    <w:rsid w:val="00FD287D"/>
    <w:rsid w:val="00FD4107"/>
    <w:rsid w:val="00FD464A"/>
    <w:rsid w:val="00FD5947"/>
    <w:rsid w:val="00FD5FC0"/>
    <w:rsid w:val="00FD5FCF"/>
    <w:rsid w:val="00FD7010"/>
    <w:rsid w:val="00FD7215"/>
    <w:rsid w:val="00FE0A6C"/>
    <w:rsid w:val="00FE0D09"/>
    <w:rsid w:val="00FE0DFD"/>
    <w:rsid w:val="00FE2A34"/>
    <w:rsid w:val="00FE2E2D"/>
    <w:rsid w:val="00FE2EEC"/>
    <w:rsid w:val="00FE3135"/>
    <w:rsid w:val="00FE35F3"/>
    <w:rsid w:val="00FE3EDD"/>
    <w:rsid w:val="00FE436E"/>
    <w:rsid w:val="00FE4D08"/>
    <w:rsid w:val="00FE4F3D"/>
    <w:rsid w:val="00FE5949"/>
    <w:rsid w:val="00FE691C"/>
    <w:rsid w:val="00FE6B5E"/>
    <w:rsid w:val="00FE7109"/>
    <w:rsid w:val="00FF04C6"/>
    <w:rsid w:val="00FF067E"/>
    <w:rsid w:val="00FF08BD"/>
    <w:rsid w:val="00FF0BA0"/>
    <w:rsid w:val="00FF0DCD"/>
    <w:rsid w:val="00FF15C5"/>
    <w:rsid w:val="00FF19CE"/>
    <w:rsid w:val="00FF1BE3"/>
    <w:rsid w:val="00FF23A8"/>
    <w:rsid w:val="00FF31B3"/>
    <w:rsid w:val="00FF3715"/>
    <w:rsid w:val="00FF467A"/>
    <w:rsid w:val="00FF4B3B"/>
    <w:rsid w:val="00FF4DFA"/>
    <w:rsid w:val="00FF512C"/>
    <w:rsid w:val="00FF55BB"/>
    <w:rsid w:val="00FF7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14CC8BA-412A-4050-899E-FD75FC61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03"/>
    <w:pPr>
      <w:spacing w:line="288" w:lineRule="auto"/>
      <w:jc w:val="both"/>
    </w:pPr>
    <w:rPr>
      <w:rFonts w:ascii="Georgia" w:hAnsi="Georgia"/>
      <w:sz w:val="22"/>
      <w:szCs w:val="24"/>
    </w:rPr>
  </w:style>
  <w:style w:type="paragraph" w:styleId="Heading1">
    <w:name w:val="heading 1"/>
    <w:basedOn w:val="Normal"/>
    <w:next w:val="Normal"/>
    <w:qFormat/>
    <w:rsid w:val="00CB7EE1"/>
    <w:pPr>
      <w:keepNext/>
      <w:spacing w:before="240" w:after="60"/>
      <w:outlineLvl w:val="0"/>
    </w:pPr>
    <w:rPr>
      <w:rFonts w:cs="Arial"/>
      <w:b/>
      <w:bCs/>
      <w:kern w:val="32"/>
      <w:sz w:val="32"/>
      <w:szCs w:val="32"/>
    </w:rPr>
  </w:style>
  <w:style w:type="paragraph" w:styleId="Heading2">
    <w:name w:val="heading 2"/>
    <w:basedOn w:val="Normal"/>
    <w:next w:val="Normal"/>
    <w:qFormat/>
    <w:rsid w:val="00CB7EE1"/>
    <w:pPr>
      <w:keepNext/>
      <w:spacing w:before="240" w:after="60"/>
      <w:outlineLvl w:val="1"/>
    </w:pPr>
    <w:rPr>
      <w:rFonts w:cs="Arial"/>
      <w:b/>
      <w:bCs/>
      <w:i/>
      <w:iCs/>
      <w:sz w:val="28"/>
      <w:szCs w:val="28"/>
    </w:rPr>
  </w:style>
  <w:style w:type="paragraph" w:styleId="Heading3">
    <w:name w:val="heading 3"/>
    <w:basedOn w:val="Normal"/>
    <w:next w:val="Normal"/>
    <w:qFormat/>
    <w:rsid w:val="00CB7E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7EE1"/>
    <w:pPr>
      <w:spacing w:before="240" w:after="60"/>
      <w:jc w:val="center"/>
      <w:outlineLvl w:val="0"/>
    </w:pPr>
    <w:rPr>
      <w:rFonts w:cs="Arial"/>
      <w:b/>
      <w:bCs/>
      <w:kern w:val="28"/>
      <w:sz w:val="32"/>
      <w:szCs w:val="32"/>
    </w:rPr>
  </w:style>
  <w:style w:type="paragraph" w:styleId="Header">
    <w:name w:val="header"/>
    <w:basedOn w:val="Normal"/>
    <w:link w:val="HeaderChar"/>
    <w:uiPriority w:val="99"/>
    <w:rsid w:val="002E4083"/>
    <w:pPr>
      <w:tabs>
        <w:tab w:val="center" w:pos="4320"/>
        <w:tab w:val="right" w:pos="8640"/>
      </w:tabs>
      <w:spacing w:line="240" w:lineRule="auto"/>
    </w:pPr>
  </w:style>
  <w:style w:type="character" w:customStyle="1" w:styleId="HeaderChar">
    <w:name w:val="Header Char"/>
    <w:link w:val="Header"/>
    <w:uiPriority w:val="99"/>
    <w:locked/>
    <w:rsid w:val="002E4083"/>
    <w:rPr>
      <w:rFonts w:ascii="Georgia" w:hAnsi="Georgia"/>
      <w:sz w:val="22"/>
      <w:szCs w:val="24"/>
      <w:lang w:val="en-US" w:eastAsia="en-US" w:bidi="ar-SA"/>
    </w:rPr>
  </w:style>
  <w:style w:type="paragraph" w:styleId="Footer">
    <w:name w:val="footer"/>
    <w:basedOn w:val="Normal"/>
    <w:link w:val="FooterChar"/>
    <w:uiPriority w:val="99"/>
    <w:rsid w:val="002E4083"/>
    <w:pPr>
      <w:tabs>
        <w:tab w:val="center" w:pos="4320"/>
        <w:tab w:val="right" w:pos="8640"/>
      </w:tabs>
      <w:spacing w:line="240" w:lineRule="auto"/>
    </w:pPr>
    <w:rPr>
      <w:sz w:val="20"/>
    </w:rPr>
  </w:style>
  <w:style w:type="character" w:customStyle="1" w:styleId="FooterChar">
    <w:name w:val="Footer Char"/>
    <w:link w:val="Footer"/>
    <w:uiPriority w:val="99"/>
    <w:locked/>
    <w:rsid w:val="002E4083"/>
    <w:rPr>
      <w:rFonts w:ascii="Georgia" w:hAnsi="Georgia"/>
      <w:szCs w:val="24"/>
      <w:lang w:val="en-US" w:eastAsia="en-US" w:bidi="ar-SA"/>
    </w:rPr>
  </w:style>
  <w:style w:type="character" w:styleId="PageNumber">
    <w:name w:val="page number"/>
    <w:basedOn w:val="DefaultParagraphFont"/>
    <w:rsid w:val="002E4083"/>
  </w:style>
  <w:style w:type="character" w:styleId="Hyperlink">
    <w:name w:val="Hyperlink"/>
    <w:uiPriority w:val="99"/>
    <w:rsid w:val="00A848EF"/>
    <w:rPr>
      <w:color w:val="0000FF"/>
      <w:u w:val="single"/>
    </w:rPr>
  </w:style>
  <w:style w:type="paragraph" w:styleId="ListParagraph">
    <w:name w:val="List Paragraph"/>
    <w:basedOn w:val="Normal"/>
    <w:link w:val="ListParagraphChar"/>
    <w:uiPriority w:val="34"/>
    <w:qFormat/>
    <w:rsid w:val="004200A1"/>
    <w:pPr>
      <w:spacing w:after="200" w:line="276" w:lineRule="auto"/>
      <w:ind w:left="720"/>
      <w:contextualSpacing/>
      <w:jc w:val="left"/>
    </w:pPr>
    <w:rPr>
      <w:rFonts w:ascii="Calibri" w:hAnsi="Calibri"/>
      <w:szCs w:val="22"/>
      <w:lang w:val="x-none" w:eastAsia="x-none"/>
    </w:rPr>
  </w:style>
  <w:style w:type="character" w:customStyle="1" w:styleId="ListParagraphChar">
    <w:name w:val="List Paragraph Char"/>
    <w:link w:val="ListParagraph"/>
    <w:uiPriority w:val="34"/>
    <w:rsid w:val="00C769F9"/>
    <w:rPr>
      <w:rFonts w:ascii="Calibri" w:hAnsi="Calibri"/>
      <w:sz w:val="22"/>
      <w:szCs w:val="22"/>
    </w:rPr>
  </w:style>
  <w:style w:type="paragraph" w:styleId="NoSpacing">
    <w:name w:val="No Spacing"/>
    <w:uiPriority w:val="99"/>
    <w:qFormat/>
    <w:rsid w:val="00C12421"/>
    <w:rPr>
      <w:rFonts w:ascii="Calibri" w:eastAsia="Calibri" w:hAnsi="Calibri" w:cs="Calibri"/>
      <w:sz w:val="22"/>
      <w:szCs w:val="22"/>
    </w:rPr>
  </w:style>
  <w:style w:type="paragraph" w:styleId="NormalWeb">
    <w:name w:val="Normal (Web)"/>
    <w:basedOn w:val="Normal"/>
    <w:uiPriority w:val="99"/>
    <w:rsid w:val="00C12421"/>
    <w:pPr>
      <w:spacing w:before="100" w:beforeAutospacing="1" w:after="100" w:afterAutospacing="1" w:line="240" w:lineRule="auto"/>
      <w:jc w:val="left"/>
    </w:pPr>
    <w:rPr>
      <w:rFonts w:ascii="Times New Roman" w:hAnsi="Times New Roman"/>
      <w:sz w:val="24"/>
    </w:rPr>
  </w:style>
  <w:style w:type="paragraph" w:styleId="BalloonText">
    <w:name w:val="Balloon Text"/>
    <w:basedOn w:val="Normal"/>
    <w:link w:val="BalloonTextChar"/>
    <w:uiPriority w:val="99"/>
    <w:semiHidden/>
    <w:rsid w:val="00FB68D8"/>
    <w:rPr>
      <w:rFonts w:ascii="Tahoma" w:hAnsi="Tahoma"/>
      <w:sz w:val="16"/>
      <w:szCs w:val="16"/>
      <w:lang w:val="sq-AL" w:eastAsia="x-none"/>
    </w:rPr>
  </w:style>
  <w:style w:type="character" w:customStyle="1" w:styleId="BalloonTextChar">
    <w:name w:val="Balloon Text Char"/>
    <w:link w:val="BalloonText"/>
    <w:uiPriority w:val="99"/>
    <w:semiHidden/>
    <w:rsid w:val="00E84FF8"/>
    <w:rPr>
      <w:rFonts w:ascii="Tahoma" w:hAnsi="Tahoma" w:cs="Tahoma"/>
      <w:sz w:val="16"/>
      <w:szCs w:val="16"/>
      <w:lang w:val="sq-AL"/>
    </w:rPr>
  </w:style>
  <w:style w:type="character" w:styleId="CommentReference">
    <w:name w:val="annotation reference"/>
    <w:semiHidden/>
    <w:rsid w:val="00191638"/>
    <w:rPr>
      <w:sz w:val="16"/>
      <w:szCs w:val="16"/>
    </w:rPr>
  </w:style>
  <w:style w:type="paragraph" w:styleId="CommentText">
    <w:name w:val="annotation text"/>
    <w:basedOn w:val="Normal"/>
    <w:link w:val="CommentTextChar"/>
    <w:rsid w:val="00191638"/>
    <w:rPr>
      <w:sz w:val="20"/>
      <w:szCs w:val="20"/>
      <w:lang w:val="sq-AL" w:eastAsia="x-none"/>
    </w:rPr>
  </w:style>
  <w:style w:type="character" w:customStyle="1" w:styleId="CommentTextChar">
    <w:name w:val="Comment Text Char"/>
    <w:link w:val="CommentText"/>
    <w:rsid w:val="00EF4A59"/>
    <w:rPr>
      <w:rFonts w:ascii="Georgia" w:hAnsi="Georgia"/>
      <w:lang w:val="sq-AL"/>
    </w:rPr>
  </w:style>
  <w:style w:type="paragraph" w:styleId="CommentSubject">
    <w:name w:val="annotation subject"/>
    <w:basedOn w:val="CommentText"/>
    <w:next w:val="CommentText"/>
    <w:link w:val="CommentSubjectChar"/>
    <w:uiPriority w:val="99"/>
    <w:semiHidden/>
    <w:rsid w:val="00191638"/>
    <w:rPr>
      <w:b/>
      <w:bCs/>
    </w:rPr>
  </w:style>
  <w:style w:type="character" w:customStyle="1" w:styleId="CommentSubjectChar">
    <w:name w:val="Comment Subject Char"/>
    <w:link w:val="CommentSubject"/>
    <w:uiPriority w:val="99"/>
    <w:semiHidden/>
    <w:rsid w:val="00E84FF8"/>
    <w:rPr>
      <w:rFonts w:ascii="Georgia" w:hAnsi="Georgia"/>
      <w:b/>
      <w:bCs/>
      <w:lang w:val="sq-AL"/>
    </w:rPr>
  </w:style>
  <w:style w:type="paragraph" w:customStyle="1" w:styleId="Default">
    <w:name w:val="Default"/>
    <w:rsid w:val="00A35745"/>
    <w:pPr>
      <w:autoSpaceDE w:val="0"/>
      <w:autoSpaceDN w:val="0"/>
      <w:adjustRightInd w:val="0"/>
    </w:pPr>
    <w:rPr>
      <w:rFonts w:ascii="Fd3144" w:hAnsi="Fd3144" w:cs="Fd3144"/>
      <w:color w:val="000000"/>
      <w:sz w:val="24"/>
      <w:szCs w:val="24"/>
    </w:rPr>
  </w:style>
  <w:style w:type="character" w:styleId="FootnoteReference">
    <w:name w:val="footnote reference"/>
    <w:semiHidden/>
    <w:rsid w:val="00B31B94"/>
    <w:rPr>
      <w:vertAlign w:val="superscript"/>
    </w:rPr>
  </w:style>
  <w:style w:type="paragraph" w:styleId="FootnoteText">
    <w:name w:val="footnote text"/>
    <w:basedOn w:val="Normal"/>
    <w:semiHidden/>
    <w:rsid w:val="00B31B94"/>
    <w:rPr>
      <w:sz w:val="20"/>
      <w:szCs w:val="20"/>
    </w:rPr>
  </w:style>
  <w:style w:type="paragraph" w:customStyle="1" w:styleId="ju-005fpara">
    <w:name w:val="ju-005fpara"/>
    <w:basedOn w:val="Normal"/>
    <w:rsid w:val="0072095A"/>
    <w:pPr>
      <w:spacing w:before="100" w:beforeAutospacing="1" w:after="100" w:afterAutospacing="1" w:line="240" w:lineRule="auto"/>
      <w:jc w:val="left"/>
    </w:pPr>
    <w:rPr>
      <w:rFonts w:ascii="Times New Roman" w:hAnsi="Times New Roman"/>
      <w:sz w:val="24"/>
    </w:rPr>
  </w:style>
  <w:style w:type="character" w:customStyle="1" w:styleId="ju-005fpara--char">
    <w:name w:val="ju-005fpara--char"/>
    <w:basedOn w:val="DefaultParagraphFont"/>
    <w:rsid w:val="0072095A"/>
  </w:style>
  <w:style w:type="character" w:customStyle="1" w:styleId="hps">
    <w:name w:val="hps"/>
    <w:basedOn w:val="DefaultParagraphFont"/>
    <w:rsid w:val="00750090"/>
  </w:style>
  <w:style w:type="character" w:customStyle="1" w:styleId="atn">
    <w:name w:val="atn"/>
    <w:basedOn w:val="DefaultParagraphFont"/>
    <w:rsid w:val="00871D40"/>
  </w:style>
  <w:style w:type="paragraph" w:customStyle="1" w:styleId="JuPara">
    <w:name w:val="Ju_Para"/>
    <w:basedOn w:val="Normal"/>
    <w:rsid w:val="00C052F0"/>
    <w:pPr>
      <w:suppressAutoHyphens/>
      <w:spacing w:line="240" w:lineRule="auto"/>
      <w:ind w:firstLine="284"/>
    </w:pPr>
    <w:rPr>
      <w:rFonts w:ascii="Times New Roman" w:hAnsi="Times New Roman"/>
      <w:sz w:val="24"/>
      <w:szCs w:val="20"/>
      <w:lang w:val="en-GB" w:eastAsia="fr-FR"/>
    </w:rPr>
  </w:style>
  <w:style w:type="table" w:styleId="TableGrid">
    <w:name w:val="Table Grid"/>
    <w:basedOn w:val="TableNormal"/>
    <w:rsid w:val="00102D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6808"/>
    <w:pPr>
      <w:spacing w:after="120" w:line="240" w:lineRule="auto"/>
      <w:jc w:val="left"/>
    </w:pPr>
    <w:rPr>
      <w:rFonts w:ascii="Arial" w:eastAsia="Times New Roman" w:hAnsi="Arial"/>
      <w:i/>
      <w:iCs/>
      <w:sz w:val="20"/>
      <w:lang w:val="hr-HR" w:eastAsia="x-none"/>
    </w:rPr>
  </w:style>
  <w:style w:type="character" w:customStyle="1" w:styleId="BodyTextChar">
    <w:name w:val="Body Text Char"/>
    <w:link w:val="BodyText"/>
    <w:rsid w:val="00DA6808"/>
    <w:rPr>
      <w:rFonts w:ascii="Arial" w:eastAsia="Times New Roman" w:hAnsi="Arial"/>
      <w:i/>
      <w:iCs/>
      <w:szCs w:val="24"/>
      <w:lang w:val="hr-HR"/>
    </w:rPr>
  </w:style>
  <w:style w:type="character" w:customStyle="1" w:styleId="normalchar1">
    <w:name w:val="normal__char1"/>
    <w:rsid w:val="00653C93"/>
    <w:rPr>
      <w:rFonts w:ascii="Georgia" w:hAnsi="Georgia" w:cs="Times New Roman"/>
      <w:sz w:val="22"/>
      <w:szCs w:val="22"/>
      <w:u w:val="none"/>
      <w:effect w:val="none"/>
    </w:rPr>
  </w:style>
  <w:style w:type="character" w:customStyle="1" w:styleId="sb8d990e2">
    <w:name w:val="sb8d990e2"/>
    <w:basedOn w:val="DefaultParagraphFont"/>
    <w:rsid w:val="00E80F72"/>
  </w:style>
  <w:style w:type="character" w:customStyle="1" w:styleId="wordhighlighted">
    <w:name w:val="wordhighlighted"/>
    <w:basedOn w:val="DefaultParagraphFont"/>
    <w:rsid w:val="00600A04"/>
  </w:style>
  <w:style w:type="character" w:customStyle="1" w:styleId="s6b621b36">
    <w:name w:val="s6b621b36"/>
    <w:basedOn w:val="DefaultParagraphFont"/>
    <w:rsid w:val="00B159FB"/>
  </w:style>
  <w:style w:type="character" w:styleId="FollowedHyperlink">
    <w:name w:val="FollowedHyperlink"/>
    <w:rsid w:val="00B159FB"/>
    <w:rPr>
      <w:color w:val="800080"/>
      <w:u w:val="single"/>
    </w:rPr>
  </w:style>
  <w:style w:type="paragraph" w:styleId="Revision">
    <w:name w:val="Revision"/>
    <w:hidden/>
    <w:uiPriority w:val="99"/>
    <w:semiHidden/>
    <w:rsid w:val="005C567A"/>
    <w:rPr>
      <w:rFonts w:ascii="Georgia" w:hAnsi="Georgia"/>
      <w:sz w:val="22"/>
      <w:szCs w:val="24"/>
    </w:rPr>
  </w:style>
  <w:style w:type="paragraph" w:customStyle="1" w:styleId="CharCharCarCharCarCharCarCharCar">
    <w:name w:val="Char Char Car Char Car Char Car Char Car"/>
    <w:basedOn w:val="Normal"/>
    <w:rsid w:val="00F425A6"/>
    <w:pPr>
      <w:autoSpaceDE w:val="0"/>
      <w:autoSpaceDN w:val="0"/>
      <w:spacing w:after="160" w:line="240" w:lineRule="exact"/>
      <w:jc w:val="left"/>
    </w:pPr>
    <w:rPr>
      <w:rFonts w:ascii="Arial" w:eastAsia="Times New Roman" w:hAnsi="Arial" w:cs="Arial"/>
      <w:color w:val="112233"/>
      <w:sz w:val="20"/>
      <w:szCs w:val="20"/>
    </w:rPr>
  </w:style>
  <w:style w:type="character" w:customStyle="1" w:styleId="ju-005fpara-0020char--char">
    <w:name w:val="ju-005fpara-0020char--char"/>
    <w:rsid w:val="0036227B"/>
  </w:style>
  <w:style w:type="character" w:customStyle="1" w:styleId="normal--char">
    <w:name w:val="normal--char"/>
    <w:rsid w:val="0036227B"/>
  </w:style>
  <w:style w:type="character" w:customStyle="1" w:styleId="list0020paragraphchar1">
    <w:name w:val="list_0020paragraph__char1"/>
    <w:rsid w:val="005715EA"/>
    <w:rPr>
      <w:rFonts w:ascii="Times New Roman" w:hAnsi="Times New Roman" w:cs="Times New Roman" w:hint="default"/>
      <w:strike w:val="0"/>
      <w:dstrike w:val="0"/>
      <w:sz w:val="24"/>
      <w:szCs w:val="24"/>
      <w:u w:val="none"/>
      <w:effect w:val="none"/>
    </w:rPr>
  </w:style>
  <w:style w:type="character" w:customStyle="1" w:styleId="alt-edited">
    <w:name w:val="alt-edited"/>
    <w:basedOn w:val="DefaultParagraphFont"/>
    <w:rsid w:val="009B01B6"/>
  </w:style>
  <w:style w:type="character" w:customStyle="1" w:styleId="shorttext">
    <w:name w:val="short_text"/>
    <w:rsid w:val="008314C2"/>
  </w:style>
  <w:style w:type="character" w:customStyle="1" w:styleId="italic">
    <w:name w:val="italic"/>
    <w:basedOn w:val="DefaultParagraphFont"/>
    <w:rsid w:val="00A6162A"/>
  </w:style>
  <w:style w:type="character" w:customStyle="1" w:styleId="sb6c4b58f">
    <w:name w:val="sb6c4b58f"/>
    <w:basedOn w:val="DefaultParagraphFont"/>
    <w:rsid w:val="003621F3"/>
  </w:style>
  <w:style w:type="character" w:customStyle="1" w:styleId="s2359e37b">
    <w:name w:val="s2359e37b"/>
    <w:basedOn w:val="DefaultParagraphFont"/>
    <w:rsid w:val="003621F3"/>
  </w:style>
  <w:style w:type="character" w:styleId="Emphasis">
    <w:name w:val="Emphasis"/>
    <w:uiPriority w:val="20"/>
    <w:qFormat/>
    <w:rsid w:val="00B04873"/>
    <w:rPr>
      <w:i/>
      <w:iCs/>
    </w:rPr>
  </w:style>
  <w:style w:type="character" w:customStyle="1" w:styleId="st">
    <w:name w:val="st"/>
    <w:basedOn w:val="DefaultParagraphFont"/>
    <w:rsid w:val="00B04873"/>
  </w:style>
  <w:style w:type="paragraph" w:styleId="HTMLPreformatted">
    <w:name w:val="HTML Preformatted"/>
    <w:basedOn w:val="Normal"/>
    <w:link w:val="HTMLPreformattedChar"/>
    <w:uiPriority w:val="99"/>
    <w:unhideWhenUsed/>
    <w:rsid w:val="008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8259D8"/>
    <w:rPr>
      <w:rFonts w:ascii="Courier New" w:eastAsia="Times New Roman" w:hAnsi="Courier New" w:cs="Courier New"/>
    </w:rPr>
  </w:style>
  <w:style w:type="paragraph" w:customStyle="1" w:styleId="Pa94">
    <w:name w:val="Pa9+4"/>
    <w:basedOn w:val="Default"/>
    <w:next w:val="Default"/>
    <w:uiPriority w:val="99"/>
    <w:rsid w:val="00FD4107"/>
    <w:pPr>
      <w:spacing w:line="181" w:lineRule="atLeast"/>
    </w:pPr>
    <w:rPr>
      <w:rFonts w:ascii="Futura Std" w:hAnsi="Futura Std" w:cs="Times New Roman"/>
      <w:color w:val="auto"/>
    </w:rPr>
  </w:style>
  <w:style w:type="paragraph" w:customStyle="1" w:styleId="Pa104">
    <w:name w:val="Pa10+4"/>
    <w:basedOn w:val="Default"/>
    <w:next w:val="Default"/>
    <w:uiPriority w:val="99"/>
    <w:rsid w:val="00FD4107"/>
    <w:pPr>
      <w:spacing w:line="161" w:lineRule="atLeast"/>
    </w:pPr>
    <w:rPr>
      <w:rFonts w:ascii="Futura Std" w:hAnsi="Futura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85">
      <w:bodyDiv w:val="1"/>
      <w:marLeft w:val="0"/>
      <w:marRight w:val="0"/>
      <w:marTop w:val="0"/>
      <w:marBottom w:val="0"/>
      <w:divBdr>
        <w:top w:val="none" w:sz="0" w:space="0" w:color="auto"/>
        <w:left w:val="none" w:sz="0" w:space="0" w:color="auto"/>
        <w:bottom w:val="none" w:sz="0" w:space="0" w:color="auto"/>
        <w:right w:val="none" w:sz="0" w:space="0" w:color="auto"/>
      </w:divBdr>
    </w:div>
    <w:div w:id="17895448">
      <w:bodyDiv w:val="1"/>
      <w:marLeft w:val="0"/>
      <w:marRight w:val="0"/>
      <w:marTop w:val="0"/>
      <w:marBottom w:val="0"/>
      <w:divBdr>
        <w:top w:val="none" w:sz="0" w:space="0" w:color="auto"/>
        <w:left w:val="none" w:sz="0" w:space="0" w:color="auto"/>
        <w:bottom w:val="none" w:sz="0" w:space="0" w:color="auto"/>
        <w:right w:val="none" w:sz="0" w:space="0" w:color="auto"/>
      </w:divBdr>
    </w:div>
    <w:div w:id="53551619">
      <w:bodyDiv w:val="1"/>
      <w:marLeft w:val="0"/>
      <w:marRight w:val="0"/>
      <w:marTop w:val="0"/>
      <w:marBottom w:val="0"/>
      <w:divBdr>
        <w:top w:val="none" w:sz="0" w:space="0" w:color="auto"/>
        <w:left w:val="none" w:sz="0" w:space="0" w:color="auto"/>
        <w:bottom w:val="none" w:sz="0" w:space="0" w:color="auto"/>
        <w:right w:val="none" w:sz="0" w:space="0" w:color="auto"/>
      </w:divBdr>
    </w:div>
    <w:div w:id="127936793">
      <w:bodyDiv w:val="1"/>
      <w:marLeft w:val="0"/>
      <w:marRight w:val="0"/>
      <w:marTop w:val="0"/>
      <w:marBottom w:val="0"/>
      <w:divBdr>
        <w:top w:val="none" w:sz="0" w:space="0" w:color="auto"/>
        <w:left w:val="none" w:sz="0" w:space="0" w:color="auto"/>
        <w:bottom w:val="none" w:sz="0" w:space="0" w:color="auto"/>
        <w:right w:val="none" w:sz="0" w:space="0" w:color="auto"/>
      </w:divBdr>
    </w:div>
    <w:div w:id="141893704">
      <w:bodyDiv w:val="1"/>
      <w:marLeft w:val="0"/>
      <w:marRight w:val="0"/>
      <w:marTop w:val="0"/>
      <w:marBottom w:val="0"/>
      <w:divBdr>
        <w:top w:val="none" w:sz="0" w:space="0" w:color="auto"/>
        <w:left w:val="none" w:sz="0" w:space="0" w:color="auto"/>
        <w:bottom w:val="none" w:sz="0" w:space="0" w:color="auto"/>
        <w:right w:val="none" w:sz="0" w:space="0" w:color="auto"/>
      </w:divBdr>
    </w:div>
    <w:div w:id="144788091">
      <w:bodyDiv w:val="1"/>
      <w:marLeft w:val="0"/>
      <w:marRight w:val="0"/>
      <w:marTop w:val="0"/>
      <w:marBottom w:val="0"/>
      <w:divBdr>
        <w:top w:val="none" w:sz="0" w:space="0" w:color="auto"/>
        <w:left w:val="none" w:sz="0" w:space="0" w:color="auto"/>
        <w:bottom w:val="none" w:sz="0" w:space="0" w:color="auto"/>
        <w:right w:val="none" w:sz="0" w:space="0" w:color="auto"/>
      </w:divBdr>
    </w:div>
    <w:div w:id="311100085">
      <w:bodyDiv w:val="1"/>
      <w:marLeft w:val="0"/>
      <w:marRight w:val="0"/>
      <w:marTop w:val="0"/>
      <w:marBottom w:val="0"/>
      <w:divBdr>
        <w:top w:val="none" w:sz="0" w:space="0" w:color="auto"/>
        <w:left w:val="none" w:sz="0" w:space="0" w:color="auto"/>
        <w:bottom w:val="none" w:sz="0" w:space="0" w:color="auto"/>
        <w:right w:val="none" w:sz="0" w:space="0" w:color="auto"/>
      </w:divBdr>
      <w:divsChild>
        <w:div w:id="738211575">
          <w:marLeft w:val="0"/>
          <w:marRight w:val="0"/>
          <w:marTop w:val="0"/>
          <w:marBottom w:val="0"/>
          <w:divBdr>
            <w:top w:val="none" w:sz="0" w:space="0" w:color="auto"/>
            <w:left w:val="none" w:sz="0" w:space="0" w:color="auto"/>
            <w:bottom w:val="none" w:sz="0" w:space="0" w:color="auto"/>
            <w:right w:val="none" w:sz="0" w:space="0" w:color="auto"/>
          </w:divBdr>
        </w:div>
        <w:div w:id="906722344">
          <w:marLeft w:val="0"/>
          <w:marRight w:val="0"/>
          <w:marTop w:val="0"/>
          <w:marBottom w:val="0"/>
          <w:divBdr>
            <w:top w:val="none" w:sz="0" w:space="0" w:color="auto"/>
            <w:left w:val="none" w:sz="0" w:space="0" w:color="auto"/>
            <w:bottom w:val="none" w:sz="0" w:space="0" w:color="auto"/>
            <w:right w:val="none" w:sz="0" w:space="0" w:color="auto"/>
          </w:divBdr>
        </w:div>
        <w:div w:id="931357983">
          <w:marLeft w:val="0"/>
          <w:marRight w:val="0"/>
          <w:marTop w:val="0"/>
          <w:marBottom w:val="0"/>
          <w:divBdr>
            <w:top w:val="none" w:sz="0" w:space="0" w:color="auto"/>
            <w:left w:val="none" w:sz="0" w:space="0" w:color="auto"/>
            <w:bottom w:val="none" w:sz="0" w:space="0" w:color="auto"/>
            <w:right w:val="none" w:sz="0" w:space="0" w:color="auto"/>
          </w:divBdr>
        </w:div>
        <w:div w:id="1094982100">
          <w:marLeft w:val="0"/>
          <w:marRight w:val="0"/>
          <w:marTop w:val="0"/>
          <w:marBottom w:val="0"/>
          <w:divBdr>
            <w:top w:val="none" w:sz="0" w:space="0" w:color="auto"/>
            <w:left w:val="none" w:sz="0" w:space="0" w:color="auto"/>
            <w:bottom w:val="none" w:sz="0" w:space="0" w:color="auto"/>
            <w:right w:val="none" w:sz="0" w:space="0" w:color="auto"/>
          </w:divBdr>
        </w:div>
        <w:div w:id="1656958312">
          <w:marLeft w:val="0"/>
          <w:marRight w:val="0"/>
          <w:marTop w:val="0"/>
          <w:marBottom w:val="0"/>
          <w:divBdr>
            <w:top w:val="none" w:sz="0" w:space="0" w:color="auto"/>
            <w:left w:val="none" w:sz="0" w:space="0" w:color="auto"/>
            <w:bottom w:val="none" w:sz="0" w:space="0" w:color="auto"/>
            <w:right w:val="none" w:sz="0" w:space="0" w:color="auto"/>
          </w:divBdr>
        </w:div>
        <w:div w:id="1745109194">
          <w:marLeft w:val="0"/>
          <w:marRight w:val="0"/>
          <w:marTop w:val="0"/>
          <w:marBottom w:val="0"/>
          <w:divBdr>
            <w:top w:val="none" w:sz="0" w:space="0" w:color="auto"/>
            <w:left w:val="none" w:sz="0" w:space="0" w:color="auto"/>
            <w:bottom w:val="none" w:sz="0" w:space="0" w:color="auto"/>
            <w:right w:val="none" w:sz="0" w:space="0" w:color="auto"/>
          </w:divBdr>
        </w:div>
        <w:div w:id="1859345994">
          <w:marLeft w:val="0"/>
          <w:marRight w:val="0"/>
          <w:marTop w:val="0"/>
          <w:marBottom w:val="0"/>
          <w:divBdr>
            <w:top w:val="none" w:sz="0" w:space="0" w:color="auto"/>
            <w:left w:val="none" w:sz="0" w:space="0" w:color="auto"/>
            <w:bottom w:val="none" w:sz="0" w:space="0" w:color="auto"/>
            <w:right w:val="none" w:sz="0" w:space="0" w:color="auto"/>
          </w:divBdr>
        </w:div>
        <w:div w:id="2020351788">
          <w:marLeft w:val="0"/>
          <w:marRight w:val="0"/>
          <w:marTop w:val="0"/>
          <w:marBottom w:val="0"/>
          <w:divBdr>
            <w:top w:val="none" w:sz="0" w:space="0" w:color="auto"/>
            <w:left w:val="none" w:sz="0" w:space="0" w:color="auto"/>
            <w:bottom w:val="none" w:sz="0" w:space="0" w:color="auto"/>
            <w:right w:val="none" w:sz="0" w:space="0" w:color="auto"/>
          </w:divBdr>
        </w:div>
        <w:div w:id="2079133992">
          <w:marLeft w:val="0"/>
          <w:marRight w:val="0"/>
          <w:marTop w:val="0"/>
          <w:marBottom w:val="0"/>
          <w:divBdr>
            <w:top w:val="none" w:sz="0" w:space="0" w:color="auto"/>
            <w:left w:val="none" w:sz="0" w:space="0" w:color="auto"/>
            <w:bottom w:val="none" w:sz="0" w:space="0" w:color="auto"/>
            <w:right w:val="none" w:sz="0" w:space="0" w:color="auto"/>
          </w:divBdr>
        </w:div>
      </w:divsChild>
    </w:div>
    <w:div w:id="401104226">
      <w:bodyDiv w:val="1"/>
      <w:marLeft w:val="0"/>
      <w:marRight w:val="0"/>
      <w:marTop w:val="0"/>
      <w:marBottom w:val="0"/>
      <w:divBdr>
        <w:top w:val="none" w:sz="0" w:space="0" w:color="auto"/>
        <w:left w:val="none" w:sz="0" w:space="0" w:color="auto"/>
        <w:bottom w:val="none" w:sz="0" w:space="0" w:color="auto"/>
        <w:right w:val="none" w:sz="0" w:space="0" w:color="auto"/>
      </w:divBdr>
    </w:div>
    <w:div w:id="535003093">
      <w:bodyDiv w:val="1"/>
      <w:marLeft w:val="0"/>
      <w:marRight w:val="0"/>
      <w:marTop w:val="0"/>
      <w:marBottom w:val="0"/>
      <w:divBdr>
        <w:top w:val="none" w:sz="0" w:space="0" w:color="auto"/>
        <w:left w:val="none" w:sz="0" w:space="0" w:color="auto"/>
        <w:bottom w:val="none" w:sz="0" w:space="0" w:color="auto"/>
        <w:right w:val="none" w:sz="0" w:space="0" w:color="auto"/>
      </w:divBdr>
    </w:div>
    <w:div w:id="588348789">
      <w:bodyDiv w:val="1"/>
      <w:marLeft w:val="0"/>
      <w:marRight w:val="0"/>
      <w:marTop w:val="0"/>
      <w:marBottom w:val="0"/>
      <w:divBdr>
        <w:top w:val="none" w:sz="0" w:space="0" w:color="auto"/>
        <w:left w:val="none" w:sz="0" w:space="0" w:color="auto"/>
        <w:bottom w:val="none" w:sz="0" w:space="0" w:color="auto"/>
        <w:right w:val="none" w:sz="0" w:space="0" w:color="auto"/>
      </w:divBdr>
    </w:div>
    <w:div w:id="676227556">
      <w:bodyDiv w:val="1"/>
      <w:marLeft w:val="0"/>
      <w:marRight w:val="0"/>
      <w:marTop w:val="0"/>
      <w:marBottom w:val="0"/>
      <w:divBdr>
        <w:top w:val="none" w:sz="0" w:space="0" w:color="auto"/>
        <w:left w:val="none" w:sz="0" w:space="0" w:color="auto"/>
        <w:bottom w:val="none" w:sz="0" w:space="0" w:color="auto"/>
        <w:right w:val="none" w:sz="0" w:space="0" w:color="auto"/>
      </w:divBdr>
    </w:div>
    <w:div w:id="772894141">
      <w:bodyDiv w:val="1"/>
      <w:marLeft w:val="0"/>
      <w:marRight w:val="0"/>
      <w:marTop w:val="0"/>
      <w:marBottom w:val="0"/>
      <w:divBdr>
        <w:top w:val="none" w:sz="0" w:space="0" w:color="auto"/>
        <w:left w:val="none" w:sz="0" w:space="0" w:color="auto"/>
        <w:bottom w:val="none" w:sz="0" w:space="0" w:color="auto"/>
        <w:right w:val="none" w:sz="0" w:space="0" w:color="auto"/>
      </w:divBdr>
      <w:divsChild>
        <w:div w:id="462190201">
          <w:marLeft w:val="0"/>
          <w:marRight w:val="0"/>
          <w:marTop w:val="0"/>
          <w:marBottom w:val="0"/>
          <w:divBdr>
            <w:top w:val="none" w:sz="0" w:space="0" w:color="auto"/>
            <w:left w:val="none" w:sz="0" w:space="0" w:color="auto"/>
            <w:bottom w:val="none" w:sz="0" w:space="0" w:color="auto"/>
            <w:right w:val="none" w:sz="0" w:space="0" w:color="auto"/>
          </w:divBdr>
        </w:div>
        <w:div w:id="1185628411">
          <w:marLeft w:val="0"/>
          <w:marRight w:val="0"/>
          <w:marTop w:val="0"/>
          <w:marBottom w:val="0"/>
          <w:divBdr>
            <w:top w:val="none" w:sz="0" w:space="0" w:color="auto"/>
            <w:left w:val="none" w:sz="0" w:space="0" w:color="auto"/>
            <w:bottom w:val="none" w:sz="0" w:space="0" w:color="auto"/>
            <w:right w:val="none" w:sz="0" w:space="0" w:color="auto"/>
          </w:divBdr>
        </w:div>
        <w:div w:id="1342733526">
          <w:marLeft w:val="0"/>
          <w:marRight w:val="0"/>
          <w:marTop w:val="0"/>
          <w:marBottom w:val="0"/>
          <w:divBdr>
            <w:top w:val="none" w:sz="0" w:space="0" w:color="auto"/>
            <w:left w:val="none" w:sz="0" w:space="0" w:color="auto"/>
            <w:bottom w:val="none" w:sz="0" w:space="0" w:color="auto"/>
            <w:right w:val="none" w:sz="0" w:space="0" w:color="auto"/>
          </w:divBdr>
        </w:div>
        <w:div w:id="1731809653">
          <w:marLeft w:val="0"/>
          <w:marRight w:val="0"/>
          <w:marTop w:val="0"/>
          <w:marBottom w:val="0"/>
          <w:divBdr>
            <w:top w:val="none" w:sz="0" w:space="0" w:color="auto"/>
            <w:left w:val="none" w:sz="0" w:space="0" w:color="auto"/>
            <w:bottom w:val="none" w:sz="0" w:space="0" w:color="auto"/>
            <w:right w:val="none" w:sz="0" w:space="0" w:color="auto"/>
          </w:divBdr>
        </w:div>
      </w:divsChild>
    </w:div>
    <w:div w:id="823857934">
      <w:bodyDiv w:val="1"/>
      <w:marLeft w:val="0"/>
      <w:marRight w:val="0"/>
      <w:marTop w:val="0"/>
      <w:marBottom w:val="0"/>
      <w:divBdr>
        <w:top w:val="none" w:sz="0" w:space="0" w:color="auto"/>
        <w:left w:val="none" w:sz="0" w:space="0" w:color="auto"/>
        <w:bottom w:val="none" w:sz="0" w:space="0" w:color="auto"/>
        <w:right w:val="none" w:sz="0" w:space="0" w:color="auto"/>
      </w:divBdr>
      <w:divsChild>
        <w:div w:id="1172112544">
          <w:marLeft w:val="0"/>
          <w:marRight w:val="0"/>
          <w:marTop w:val="0"/>
          <w:marBottom w:val="0"/>
          <w:divBdr>
            <w:top w:val="none" w:sz="0" w:space="0" w:color="auto"/>
            <w:left w:val="none" w:sz="0" w:space="0" w:color="auto"/>
            <w:bottom w:val="none" w:sz="0" w:space="0" w:color="auto"/>
            <w:right w:val="none" w:sz="0" w:space="0" w:color="auto"/>
          </w:divBdr>
        </w:div>
        <w:div w:id="1511988066">
          <w:marLeft w:val="0"/>
          <w:marRight w:val="0"/>
          <w:marTop w:val="0"/>
          <w:marBottom w:val="0"/>
          <w:divBdr>
            <w:top w:val="none" w:sz="0" w:space="0" w:color="auto"/>
            <w:left w:val="none" w:sz="0" w:space="0" w:color="auto"/>
            <w:bottom w:val="none" w:sz="0" w:space="0" w:color="auto"/>
            <w:right w:val="none" w:sz="0" w:space="0" w:color="auto"/>
          </w:divBdr>
        </w:div>
        <w:div w:id="1811628636">
          <w:marLeft w:val="0"/>
          <w:marRight w:val="0"/>
          <w:marTop w:val="0"/>
          <w:marBottom w:val="0"/>
          <w:divBdr>
            <w:top w:val="none" w:sz="0" w:space="0" w:color="auto"/>
            <w:left w:val="none" w:sz="0" w:space="0" w:color="auto"/>
            <w:bottom w:val="none" w:sz="0" w:space="0" w:color="auto"/>
            <w:right w:val="none" w:sz="0" w:space="0" w:color="auto"/>
          </w:divBdr>
        </w:div>
        <w:div w:id="2110538077">
          <w:marLeft w:val="0"/>
          <w:marRight w:val="0"/>
          <w:marTop w:val="0"/>
          <w:marBottom w:val="0"/>
          <w:divBdr>
            <w:top w:val="none" w:sz="0" w:space="0" w:color="auto"/>
            <w:left w:val="none" w:sz="0" w:space="0" w:color="auto"/>
            <w:bottom w:val="none" w:sz="0" w:space="0" w:color="auto"/>
            <w:right w:val="none" w:sz="0" w:space="0" w:color="auto"/>
          </w:divBdr>
        </w:div>
      </w:divsChild>
    </w:div>
    <w:div w:id="831608617">
      <w:bodyDiv w:val="1"/>
      <w:marLeft w:val="0"/>
      <w:marRight w:val="0"/>
      <w:marTop w:val="0"/>
      <w:marBottom w:val="0"/>
      <w:divBdr>
        <w:top w:val="none" w:sz="0" w:space="0" w:color="auto"/>
        <w:left w:val="none" w:sz="0" w:space="0" w:color="auto"/>
        <w:bottom w:val="none" w:sz="0" w:space="0" w:color="auto"/>
        <w:right w:val="none" w:sz="0" w:space="0" w:color="auto"/>
      </w:divBdr>
    </w:div>
    <w:div w:id="857282203">
      <w:bodyDiv w:val="1"/>
      <w:marLeft w:val="0"/>
      <w:marRight w:val="0"/>
      <w:marTop w:val="0"/>
      <w:marBottom w:val="0"/>
      <w:divBdr>
        <w:top w:val="none" w:sz="0" w:space="0" w:color="auto"/>
        <w:left w:val="none" w:sz="0" w:space="0" w:color="auto"/>
        <w:bottom w:val="none" w:sz="0" w:space="0" w:color="auto"/>
        <w:right w:val="none" w:sz="0" w:space="0" w:color="auto"/>
      </w:divBdr>
    </w:div>
    <w:div w:id="953827308">
      <w:bodyDiv w:val="1"/>
      <w:marLeft w:val="0"/>
      <w:marRight w:val="0"/>
      <w:marTop w:val="0"/>
      <w:marBottom w:val="0"/>
      <w:divBdr>
        <w:top w:val="none" w:sz="0" w:space="0" w:color="auto"/>
        <w:left w:val="none" w:sz="0" w:space="0" w:color="auto"/>
        <w:bottom w:val="none" w:sz="0" w:space="0" w:color="auto"/>
        <w:right w:val="none" w:sz="0" w:space="0" w:color="auto"/>
      </w:divBdr>
    </w:div>
    <w:div w:id="960457784">
      <w:bodyDiv w:val="1"/>
      <w:marLeft w:val="0"/>
      <w:marRight w:val="0"/>
      <w:marTop w:val="0"/>
      <w:marBottom w:val="0"/>
      <w:divBdr>
        <w:top w:val="none" w:sz="0" w:space="0" w:color="auto"/>
        <w:left w:val="none" w:sz="0" w:space="0" w:color="auto"/>
        <w:bottom w:val="none" w:sz="0" w:space="0" w:color="auto"/>
        <w:right w:val="none" w:sz="0" w:space="0" w:color="auto"/>
      </w:divBdr>
    </w:div>
    <w:div w:id="996298676">
      <w:bodyDiv w:val="1"/>
      <w:marLeft w:val="0"/>
      <w:marRight w:val="0"/>
      <w:marTop w:val="0"/>
      <w:marBottom w:val="0"/>
      <w:divBdr>
        <w:top w:val="none" w:sz="0" w:space="0" w:color="auto"/>
        <w:left w:val="none" w:sz="0" w:space="0" w:color="auto"/>
        <w:bottom w:val="none" w:sz="0" w:space="0" w:color="auto"/>
        <w:right w:val="none" w:sz="0" w:space="0" w:color="auto"/>
      </w:divBdr>
      <w:divsChild>
        <w:div w:id="12654552">
          <w:marLeft w:val="0"/>
          <w:marRight w:val="0"/>
          <w:marTop w:val="0"/>
          <w:marBottom w:val="0"/>
          <w:divBdr>
            <w:top w:val="none" w:sz="0" w:space="0" w:color="auto"/>
            <w:left w:val="none" w:sz="0" w:space="0" w:color="auto"/>
            <w:bottom w:val="none" w:sz="0" w:space="0" w:color="auto"/>
            <w:right w:val="none" w:sz="0" w:space="0" w:color="auto"/>
          </w:divBdr>
        </w:div>
        <w:div w:id="675571390">
          <w:marLeft w:val="0"/>
          <w:marRight w:val="0"/>
          <w:marTop w:val="0"/>
          <w:marBottom w:val="0"/>
          <w:divBdr>
            <w:top w:val="none" w:sz="0" w:space="0" w:color="auto"/>
            <w:left w:val="none" w:sz="0" w:space="0" w:color="auto"/>
            <w:bottom w:val="none" w:sz="0" w:space="0" w:color="auto"/>
            <w:right w:val="none" w:sz="0" w:space="0" w:color="auto"/>
          </w:divBdr>
        </w:div>
        <w:div w:id="714504884">
          <w:marLeft w:val="0"/>
          <w:marRight w:val="0"/>
          <w:marTop w:val="0"/>
          <w:marBottom w:val="0"/>
          <w:divBdr>
            <w:top w:val="none" w:sz="0" w:space="0" w:color="auto"/>
            <w:left w:val="none" w:sz="0" w:space="0" w:color="auto"/>
            <w:bottom w:val="none" w:sz="0" w:space="0" w:color="auto"/>
            <w:right w:val="none" w:sz="0" w:space="0" w:color="auto"/>
          </w:divBdr>
        </w:div>
        <w:div w:id="905267363">
          <w:marLeft w:val="0"/>
          <w:marRight w:val="0"/>
          <w:marTop w:val="0"/>
          <w:marBottom w:val="0"/>
          <w:divBdr>
            <w:top w:val="none" w:sz="0" w:space="0" w:color="auto"/>
            <w:left w:val="none" w:sz="0" w:space="0" w:color="auto"/>
            <w:bottom w:val="none" w:sz="0" w:space="0" w:color="auto"/>
            <w:right w:val="none" w:sz="0" w:space="0" w:color="auto"/>
          </w:divBdr>
        </w:div>
        <w:div w:id="1366952112">
          <w:marLeft w:val="0"/>
          <w:marRight w:val="0"/>
          <w:marTop w:val="0"/>
          <w:marBottom w:val="0"/>
          <w:divBdr>
            <w:top w:val="none" w:sz="0" w:space="0" w:color="auto"/>
            <w:left w:val="none" w:sz="0" w:space="0" w:color="auto"/>
            <w:bottom w:val="none" w:sz="0" w:space="0" w:color="auto"/>
            <w:right w:val="none" w:sz="0" w:space="0" w:color="auto"/>
          </w:divBdr>
        </w:div>
        <w:div w:id="1423257545">
          <w:marLeft w:val="0"/>
          <w:marRight w:val="0"/>
          <w:marTop w:val="0"/>
          <w:marBottom w:val="0"/>
          <w:divBdr>
            <w:top w:val="none" w:sz="0" w:space="0" w:color="auto"/>
            <w:left w:val="none" w:sz="0" w:space="0" w:color="auto"/>
            <w:bottom w:val="none" w:sz="0" w:space="0" w:color="auto"/>
            <w:right w:val="none" w:sz="0" w:space="0" w:color="auto"/>
          </w:divBdr>
        </w:div>
        <w:div w:id="1432117100">
          <w:marLeft w:val="0"/>
          <w:marRight w:val="0"/>
          <w:marTop w:val="0"/>
          <w:marBottom w:val="0"/>
          <w:divBdr>
            <w:top w:val="none" w:sz="0" w:space="0" w:color="auto"/>
            <w:left w:val="none" w:sz="0" w:space="0" w:color="auto"/>
            <w:bottom w:val="none" w:sz="0" w:space="0" w:color="auto"/>
            <w:right w:val="none" w:sz="0" w:space="0" w:color="auto"/>
          </w:divBdr>
        </w:div>
        <w:div w:id="1742560786">
          <w:marLeft w:val="0"/>
          <w:marRight w:val="0"/>
          <w:marTop w:val="0"/>
          <w:marBottom w:val="0"/>
          <w:divBdr>
            <w:top w:val="none" w:sz="0" w:space="0" w:color="auto"/>
            <w:left w:val="none" w:sz="0" w:space="0" w:color="auto"/>
            <w:bottom w:val="none" w:sz="0" w:space="0" w:color="auto"/>
            <w:right w:val="none" w:sz="0" w:space="0" w:color="auto"/>
          </w:divBdr>
        </w:div>
        <w:div w:id="2016034021">
          <w:marLeft w:val="0"/>
          <w:marRight w:val="0"/>
          <w:marTop w:val="0"/>
          <w:marBottom w:val="0"/>
          <w:divBdr>
            <w:top w:val="none" w:sz="0" w:space="0" w:color="auto"/>
            <w:left w:val="none" w:sz="0" w:space="0" w:color="auto"/>
            <w:bottom w:val="none" w:sz="0" w:space="0" w:color="auto"/>
            <w:right w:val="none" w:sz="0" w:space="0" w:color="auto"/>
          </w:divBdr>
        </w:div>
      </w:divsChild>
    </w:div>
    <w:div w:id="1011026616">
      <w:bodyDiv w:val="1"/>
      <w:marLeft w:val="0"/>
      <w:marRight w:val="0"/>
      <w:marTop w:val="0"/>
      <w:marBottom w:val="0"/>
      <w:divBdr>
        <w:top w:val="none" w:sz="0" w:space="0" w:color="auto"/>
        <w:left w:val="none" w:sz="0" w:space="0" w:color="auto"/>
        <w:bottom w:val="none" w:sz="0" w:space="0" w:color="auto"/>
        <w:right w:val="none" w:sz="0" w:space="0" w:color="auto"/>
      </w:divBdr>
      <w:divsChild>
        <w:div w:id="875309367">
          <w:marLeft w:val="0"/>
          <w:marRight w:val="0"/>
          <w:marTop w:val="0"/>
          <w:marBottom w:val="0"/>
          <w:divBdr>
            <w:top w:val="none" w:sz="0" w:space="0" w:color="auto"/>
            <w:left w:val="none" w:sz="0" w:space="0" w:color="auto"/>
            <w:bottom w:val="none" w:sz="0" w:space="0" w:color="auto"/>
            <w:right w:val="none" w:sz="0" w:space="0" w:color="auto"/>
          </w:divBdr>
          <w:divsChild>
            <w:div w:id="1046682440">
              <w:marLeft w:val="0"/>
              <w:marRight w:val="0"/>
              <w:marTop w:val="0"/>
              <w:marBottom w:val="0"/>
              <w:divBdr>
                <w:top w:val="none" w:sz="0" w:space="0" w:color="auto"/>
                <w:left w:val="none" w:sz="0" w:space="0" w:color="auto"/>
                <w:bottom w:val="none" w:sz="0" w:space="0" w:color="auto"/>
                <w:right w:val="none" w:sz="0" w:space="0" w:color="auto"/>
              </w:divBdr>
              <w:divsChild>
                <w:div w:id="10339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8180">
      <w:bodyDiv w:val="1"/>
      <w:marLeft w:val="0"/>
      <w:marRight w:val="0"/>
      <w:marTop w:val="0"/>
      <w:marBottom w:val="0"/>
      <w:divBdr>
        <w:top w:val="none" w:sz="0" w:space="0" w:color="auto"/>
        <w:left w:val="none" w:sz="0" w:space="0" w:color="auto"/>
        <w:bottom w:val="none" w:sz="0" w:space="0" w:color="auto"/>
        <w:right w:val="none" w:sz="0" w:space="0" w:color="auto"/>
      </w:divBdr>
    </w:div>
    <w:div w:id="1061631835">
      <w:bodyDiv w:val="1"/>
      <w:marLeft w:val="0"/>
      <w:marRight w:val="0"/>
      <w:marTop w:val="0"/>
      <w:marBottom w:val="0"/>
      <w:divBdr>
        <w:top w:val="none" w:sz="0" w:space="0" w:color="auto"/>
        <w:left w:val="none" w:sz="0" w:space="0" w:color="auto"/>
        <w:bottom w:val="none" w:sz="0" w:space="0" w:color="auto"/>
        <w:right w:val="none" w:sz="0" w:space="0" w:color="auto"/>
      </w:divBdr>
    </w:div>
    <w:div w:id="1242136445">
      <w:bodyDiv w:val="1"/>
      <w:marLeft w:val="0"/>
      <w:marRight w:val="0"/>
      <w:marTop w:val="0"/>
      <w:marBottom w:val="0"/>
      <w:divBdr>
        <w:top w:val="none" w:sz="0" w:space="0" w:color="auto"/>
        <w:left w:val="none" w:sz="0" w:space="0" w:color="auto"/>
        <w:bottom w:val="none" w:sz="0" w:space="0" w:color="auto"/>
        <w:right w:val="none" w:sz="0" w:space="0" w:color="auto"/>
      </w:divBdr>
    </w:div>
    <w:div w:id="1325548212">
      <w:bodyDiv w:val="1"/>
      <w:marLeft w:val="0"/>
      <w:marRight w:val="0"/>
      <w:marTop w:val="0"/>
      <w:marBottom w:val="0"/>
      <w:divBdr>
        <w:top w:val="none" w:sz="0" w:space="0" w:color="auto"/>
        <w:left w:val="none" w:sz="0" w:space="0" w:color="auto"/>
        <w:bottom w:val="none" w:sz="0" w:space="0" w:color="auto"/>
        <w:right w:val="none" w:sz="0" w:space="0" w:color="auto"/>
      </w:divBdr>
    </w:div>
    <w:div w:id="1376349228">
      <w:bodyDiv w:val="1"/>
      <w:marLeft w:val="0"/>
      <w:marRight w:val="0"/>
      <w:marTop w:val="0"/>
      <w:marBottom w:val="0"/>
      <w:divBdr>
        <w:top w:val="none" w:sz="0" w:space="0" w:color="auto"/>
        <w:left w:val="none" w:sz="0" w:space="0" w:color="auto"/>
        <w:bottom w:val="none" w:sz="0" w:space="0" w:color="auto"/>
        <w:right w:val="none" w:sz="0" w:space="0" w:color="auto"/>
      </w:divBdr>
    </w:div>
    <w:div w:id="1392996294">
      <w:bodyDiv w:val="1"/>
      <w:marLeft w:val="0"/>
      <w:marRight w:val="0"/>
      <w:marTop w:val="0"/>
      <w:marBottom w:val="0"/>
      <w:divBdr>
        <w:top w:val="none" w:sz="0" w:space="0" w:color="auto"/>
        <w:left w:val="none" w:sz="0" w:space="0" w:color="auto"/>
        <w:bottom w:val="none" w:sz="0" w:space="0" w:color="auto"/>
        <w:right w:val="none" w:sz="0" w:space="0" w:color="auto"/>
      </w:divBdr>
    </w:div>
    <w:div w:id="1394085281">
      <w:bodyDiv w:val="1"/>
      <w:marLeft w:val="0"/>
      <w:marRight w:val="0"/>
      <w:marTop w:val="0"/>
      <w:marBottom w:val="0"/>
      <w:divBdr>
        <w:top w:val="none" w:sz="0" w:space="0" w:color="auto"/>
        <w:left w:val="none" w:sz="0" w:space="0" w:color="auto"/>
        <w:bottom w:val="none" w:sz="0" w:space="0" w:color="auto"/>
        <w:right w:val="none" w:sz="0" w:space="0" w:color="auto"/>
      </w:divBdr>
      <w:divsChild>
        <w:div w:id="1077245806">
          <w:marLeft w:val="0"/>
          <w:marRight w:val="0"/>
          <w:marTop w:val="0"/>
          <w:marBottom w:val="0"/>
          <w:divBdr>
            <w:top w:val="none" w:sz="0" w:space="0" w:color="auto"/>
            <w:left w:val="none" w:sz="0" w:space="0" w:color="auto"/>
            <w:bottom w:val="none" w:sz="0" w:space="0" w:color="auto"/>
            <w:right w:val="none" w:sz="0" w:space="0" w:color="auto"/>
          </w:divBdr>
          <w:divsChild>
            <w:div w:id="696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606">
      <w:bodyDiv w:val="1"/>
      <w:marLeft w:val="0"/>
      <w:marRight w:val="0"/>
      <w:marTop w:val="0"/>
      <w:marBottom w:val="0"/>
      <w:divBdr>
        <w:top w:val="none" w:sz="0" w:space="0" w:color="auto"/>
        <w:left w:val="none" w:sz="0" w:space="0" w:color="auto"/>
        <w:bottom w:val="none" w:sz="0" w:space="0" w:color="auto"/>
        <w:right w:val="none" w:sz="0" w:space="0" w:color="auto"/>
      </w:divBdr>
      <w:divsChild>
        <w:div w:id="1288511256">
          <w:marLeft w:val="0"/>
          <w:marRight w:val="0"/>
          <w:marTop w:val="0"/>
          <w:marBottom w:val="0"/>
          <w:divBdr>
            <w:top w:val="none" w:sz="0" w:space="0" w:color="auto"/>
            <w:left w:val="none" w:sz="0" w:space="0" w:color="auto"/>
            <w:bottom w:val="none" w:sz="0" w:space="0" w:color="auto"/>
            <w:right w:val="none" w:sz="0" w:space="0" w:color="auto"/>
          </w:divBdr>
        </w:div>
      </w:divsChild>
    </w:div>
    <w:div w:id="1638216048">
      <w:bodyDiv w:val="1"/>
      <w:marLeft w:val="0"/>
      <w:marRight w:val="0"/>
      <w:marTop w:val="0"/>
      <w:marBottom w:val="0"/>
      <w:divBdr>
        <w:top w:val="none" w:sz="0" w:space="0" w:color="auto"/>
        <w:left w:val="none" w:sz="0" w:space="0" w:color="auto"/>
        <w:bottom w:val="none" w:sz="0" w:space="0" w:color="auto"/>
        <w:right w:val="none" w:sz="0" w:space="0" w:color="auto"/>
      </w:divBdr>
      <w:divsChild>
        <w:div w:id="4208977">
          <w:marLeft w:val="0"/>
          <w:marRight w:val="0"/>
          <w:marTop w:val="0"/>
          <w:marBottom w:val="0"/>
          <w:divBdr>
            <w:top w:val="none" w:sz="0" w:space="0" w:color="auto"/>
            <w:left w:val="none" w:sz="0" w:space="0" w:color="auto"/>
            <w:bottom w:val="none" w:sz="0" w:space="0" w:color="auto"/>
            <w:right w:val="none" w:sz="0" w:space="0" w:color="auto"/>
          </w:divBdr>
        </w:div>
        <w:div w:id="143856472">
          <w:marLeft w:val="0"/>
          <w:marRight w:val="0"/>
          <w:marTop w:val="0"/>
          <w:marBottom w:val="0"/>
          <w:divBdr>
            <w:top w:val="none" w:sz="0" w:space="0" w:color="auto"/>
            <w:left w:val="none" w:sz="0" w:space="0" w:color="auto"/>
            <w:bottom w:val="none" w:sz="0" w:space="0" w:color="auto"/>
            <w:right w:val="none" w:sz="0" w:space="0" w:color="auto"/>
          </w:divBdr>
        </w:div>
        <w:div w:id="299728183">
          <w:marLeft w:val="0"/>
          <w:marRight w:val="0"/>
          <w:marTop w:val="0"/>
          <w:marBottom w:val="0"/>
          <w:divBdr>
            <w:top w:val="none" w:sz="0" w:space="0" w:color="auto"/>
            <w:left w:val="none" w:sz="0" w:space="0" w:color="auto"/>
            <w:bottom w:val="none" w:sz="0" w:space="0" w:color="auto"/>
            <w:right w:val="none" w:sz="0" w:space="0" w:color="auto"/>
          </w:divBdr>
        </w:div>
        <w:div w:id="306666940">
          <w:marLeft w:val="0"/>
          <w:marRight w:val="0"/>
          <w:marTop w:val="0"/>
          <w:marBottom w:val="0"/>
          <w:divBdr>
            <w:top w:val="none" w:sz="0" w:space="0" w:color="auto"/>
            <w:left w:val="none" w:sz="0" w:space="0" w:color="auto"/>
            <w:bottom w:val="none" w:sz="0" w:space="0" w:color="auto"/>
            <w:right w:val="none" w:sz="0" w:space="0" w:color="auto"/>
          </w:divBdr>
        </w:div>
        <w:div w:id="455484825">
          <w:marLeft w:val="0"/>
          <w:marRight w:val="0"/>
          <w:marTop w:val="0"/>
          <w:marBottom w:val="0"/>
          <w:divBdr>
            <w:top w:val="none" w:sz="0" w:space="0" w:color="auto"/>
            <w:left w:val="none" w:sz="0" w:space="0" w:color="auto"/>
            <w:bottom w:val="none" w:sz="0" w:space="0" w:color="auto"/>
            <w:right w:val="none" w:sz="0" w:space="0" w:color="auto"/>
          </w:divBdr>
        </w:div>
        <w:div w:id="593979903">
          <w:marLeft w:val="0"/>
          <w:marRight w:val="0"/>
          <w:marTop w:val="0"/>
          <w:marBottom w:val="0"/>
          <w:divBdr>
            <w:top w:val="none" w:sz="0" w:space="0" w:color="auto"/>
            <w:left w:val="none" w:sz="0" w:space="0" w:color="auto"/>
            <w:bottom w:val="none" w:sz="0" w:space="0" w:color="auto"/>
            <w:right w:val="none" w:sz="0" w:space="0" w:color="auto"/>
          </w:divBdr>
        </w:div>
        <w:div w:id="601232422">
          <w:marLeft w:val="0"/>
          <w:marRight w:val="0"/>
          <w:marTop w:val="0"/>
          <w:marBottom w:val="0"/>
          <w:divBdr>
            <w:top w:val="none" w:sz="0" w:space="0" w:color="auto"/>
            <w:left w:val="none" w:sz="0" w:space="0" w:color="auto"/>
            <w:bottom w:val="none" w:sz="0" w:space="0" w:color="auto"/>
            <w:right w:val="none" w:sz="0" w:space="0" w:color="auto"/>
          </w:divBdr>
        </w:div>
        <w:div w:id="689792255">
          <w:marLeft w:val="0"/>
          <w:marRight w:val="0"/>
          <w:marTop w:val="0"/>
          <w:marBottom w:val="0"/>
          <w:divBdr>
            <w:top w:val="none" w:sz="0" w:space="0" w:color="auto"/>
            <w:left w:val="none" w:sz="0" w:space="0" w:color="auto"/>
            <w:bottom w:val="none" w:sz="0" w:space="0" w:color="auto"/>
            <w:right w:val="none" w:sz="0" w:space="0" w:color="auto"/>
          </w:divBdr>
        </w:div>
        <w:div w:id="696738894">
          <w:marLeft w:val="0"/>
          <w:marRight w:val="0"/>
          <w:marTop w:val="0"/>
          <w:marBottom w:val="0"/>
          <w:divBdr>
            <w:top w:val="none" w:sz="0" w:space="0" w:color="auto"/>
            <w:left w:val="none" w:sz="0" w:space="0" w:color="auto"/>
            <w:bottom w:val="none" w:sz="0" w:space="0" w:color="auto"/>
            <w:right w:val="none" w:sz="0" w:space="0" w:color="auto"/>
          </w:divBdr>
        </w:div>
        <w:div w:id="716396069">
          <w:marLeft w:val="0"/>
          <w:marRight w:val="0"/>
          <w:marTop w:val="0"/>
          <w:marBottom w:val="0"/>
          <w:divBdr>
            <w:top w:val="none" w:sz="0" w:space="0" w:color="auto"/>
            <w:left w:val="none" w:sz="0" w:space="0" w:color="auto"/>
            <w:bottom w:val="none" w:sz="0" w:space="0" w:color="auto"/>
            <w:right w:val="none" w:sz="0" w:space="0" w:color="auto"/>
          </w:divBdr>
        </w:div>
        <w:div w:id="728192096">
          <w:marLeft w:val="0"/>
          <w:marRight w:val="0"/>
          <w:marTop w:val="0"/>
          <w:marBottom w:val="0"/>
          <w:divBdr>
            <w:top w:val="none" w:sz="0" w:space="0" w:color="auto"/>
            <w:left w:val="none" w:sz="0" w:space="0" w:color="auto"/>
            <w:bottom w:val="none" w:sz="0" w:space="0" w:color="auto"/>
            <w:right w:val="none" w:sz="0" w:space="0" w:color="auto"/>
          </w:divBdr>
        </w:div>
        <w:div w:id="766077591">
          <w:marLeft w:val="0"/>
          <w:marRight w:val="0"/>
          <w:marTop w:val="0"/>
          <w:marBottom w:val="0"/>
          <w:divBdr>
            <w:top w:val="none" w:sz="0" w:space="0" w:color="auto"/>
            <w:left w:val="none" w:sz="0" w:space="0" w:color="auto"/>
            <w:bottom w:val="none" w:sz="0" w:space="0" w:color="auto"/>
            <w:right w:val="none" w:sz="0" w:space="0" w:color="auto"/>
          </w:divBdr>
        </w:div>
        <w:div w:id="886457503">
          <w:marLeft w:val="0"/>
          <w:marRight w:val="0"/>
          <w:marTop w:val="0"/>
          <w:marBottom w:val="0"/>
          <w:divBdr>
            <w:top w:val="none" w:sz="0" w:space="0" w:color="auto"/>
            <w:left w:val="none" w:sz="0" w:space="0" w:color="auto"/>
            <w:bottom w:val="none" w:sz="0" w:space="0" w:color="auto"/>
            <w:right w:val="none" w:sz="0" w:space="0" w:color="auto"/>
          </w:divBdr>
        </w:div>
        <w:div w:id="943805325">
          <w:marLeft w:val="0"/>
          <w:marRight w:val="0"/>
          <w:marTop w:val="0"/>
          <w:marBottom w:val="0"/>
          <w:divBdr>
            <w:top w:val="none" w:sz="0" w:space="0" w:color="auto"/>
            <w:left w:val="none" w:sz="0" w:space="0" w:color="auto"/>
            <w:bottom w:val="none" w:sz="0" w:space="0" w:color="auto"/>
            <w:right w:val="none" w:sz="0" w:space="0" w:color="auto"/>
          </w:divBdr>
        </w:div>
        <w:div w:id="1041249518">
          <w:marLeft w:val="0"/>
          <w:marRight w:val="0"/>
          <w:marTop w:val="0"/>
          <w:marBottom w:val="0"/>
          <w:divBdr>
            <w:top w:val="none" w:sz="0" w:space="0" w:color="auto"/>
            <w:left w:val="none" w:sz="0" w:space="0" w:color="auto"/>
            <w:bottom w:val="none" w:sz="0" w:space="0" w:color="auto"/>
            <w:right w:val="none" w:sz="0" w:space="0" w:color="auto"/>
          </w:divBdr>
        </w:div>
        <w:div w:id="1391534738">
          <w:marLeft w:val="0"/>
          <w:marRight w:val="0"/>
          <w:marTop w:val="0"/>
          <w:marBottom w:val="0"/>
          <w:divBdr>
            <w:top w:val="none" w:sz="0" w:space="0" w:color="auto"/>
            <w:left w:val="none" w:sz="0" w:space="0" w:color="auto"/>
            <w:bottom w:val="none" w:sz="0" w:space="0" w:color="auto"/>
            <w:right w:val="none" w:sz="0" w:space="0" w:color="auto"/>
          </w:divBdr>
        </w:div>
        <w:div w:id="1446733600">
          <w:marLeft w:val="0"/>
          <w:marRight w:val="0"/>
          <w:marTop w:val="0"/>
          <w:marBottom w:val="0"/>
          <w:divBdr>
            <w:top w:val="none" w:sz="0" w:space="0" w:color="auto"/>
            <w:left w:val="none" w:sz="0" w:space="0" w:color="auto"/>
            <w:bottom w:val="none" w:sz="0" w:space="0" w:color="auto"/>
            <w:right w:val="none" w:sz="0" w:space="0" w:color="auto"/>
          </w:divBdr>
        </w:div>
        <w:div w:id="1493910394">
          <w:marLeft w:val="0"/>
          <w:marRight w:val="0"/>
          <w:marTop w:val="0"/>
          <w:marBottom w:val="0"/>
          <w:divBdr>
            <w:top w:val="none" w:sz="0" w:space="0" w:color="auto"/>
            <w:left w:val="none" w:sz="0" w:space="0" w:color="auto"/>
            <w:bottom w:val="none" w:sz="0" w:space="0" w:color="auto"/>
            <w:right w:val="none" w:sz="0" w:space="0" w:color="auto"/>
          </w:divBdr>
        </w:div>
        <w:div w:id="1611159488">
          <w:marLeft w:val="0"/>
          <w:marRight w:val="0"/>
          <w:marTop w:val="0"/>
          <w:marBottom w:val="0"/>
          <w:divBdr>
            <w:top w:val="none" w:sz="0" w:space="0" w:color="auto"/>
            <w:left w:val="none" w:sz="0" w:space="0" w:color="auto"/>
            <w:bottom w:val="none" w:sz="0" w:space="0" w:color="auto"/>
            <w:right w:val="none" w:sz="0" w:space="0" w:color="auto"/>
          </w:divBdr>
        </w:div>
        <w:div w:id="1670987890">
          <w:marLeft w:val="0"/>
          <w:marRight w:val="0"/>
          <w:marTop w:val="0"/>
          <w:marBottom w:val="0"/>
          <w:divBdr>
            <w:top w:val="none" w:sz="0" w:space="0" w:color="auto"/>
            <w:left w:val="none" w:sz="0" w:space="0" w:color="auto"/>
            <w:bottom w:val="none" w:sz="0" w:space="0" w:color="auto"/>
            <w:right w:val="none" w:sz="0" w:space="0" w:color="auto"/>
          </w:divBdr>
        </w:div>
        <w:div w:id="1757511408">
          <w:marLeft w:val="0"/>
          <w:marRight w:val="0"/>
          <w:marTop w:val="0"/>
          <w:marBottom w:val="0"/>
          <w:divBdr>
            <w:top w:val="none" w:sz="0" w:space="0" w:color="auto"/>
            <w:left w:val="none" w:sz="0" w:space="0" w:color="auto"/>
            <w:bottom w:val="none" w:sz="0" w:space="0" w:color="auto"/>
            <w:right w:val="none" w:sz="0" w:space="0" w:color="auto"/>
          </w:divBdr>
        </w:div>
        <w:div w:id="1826506818">
          <w:marLeft w:val="0"/>
          <w:marRight w:val="0"/>
          <w:marTop w:val="0"/>
          <w:marBottom w:val="0"/>
          <w:divBdr>
            <w:top w:val="none" w:sz="0" w:space="0" w:color="auto"/>
            <w:left w:val="none" w:sz="0" w:space="0" w:color="auto"/>
            <w:bottom w:val="none" w:sz="0" w:space="0" w:color="auto"/>
            <w:right w:val="none" w:sz="0" w:space="0" w:color="auto"/>
          </w:divBdr>
        </w:div>
        <w:div w:id="1914118808">
          <w:marLeft w:val="0"/>
          <w:marRight w:val="0"/>
          <w:marTop w:val="0"/>
          <w:marBottom w:val="0"/>
          <w:divBdr>
            <w:top w:val="none" w:sz="0" w:space="0" w:color="auto"/>
            <w:left w:val="none" w:sz="0" w:space="0" w:color="auto"/>
            <w:bottom w:val="none" w:sz="0" w:space="0" w:color="auto"/>
            <w:right w:val="none" w:sz="0" w:space="0" w:color="auto"/>
          </w:divBdr>
        </w:div>
        <w:div w:id="1925414453">
          <w:marLeft w:val="0"/>
          <w:marRight w:val="0"/>
          <w:marTop w:val="0"/>
          <w:marBottom w:val="0"/>
          <w:divBdr>
            <w:top w:val="none" w:sz="0" w:space="0" w:color="auto"/>
            <w:left w:val="none" w:sz="0" w:space="0" w:color="auto"/>
            <w:bottom w:val="none" w:sz="0" w:space="0" w:color="auto"/>
            <w:right w:val="none" w:sz="0" w:space="0" w:color="auto"/>
          </w:divBdr>
        </w:div>
        <w:div w:id="1958556985">
          <w:marLeft w:val="0"/>
          <w:marRight w:val="0"/>
          <w:marTop w:val="0"/>
          <w:marBottom w:val="0"/>
          <w:divBdr>
            <w:top w:val="none" w:sz="0" w:space="0" w:color="auto"/>
            <w:left w:val="none" w:sz="0" w:space="0" w:color="auto"/>
            <w:bottom w:val="none" w:sz="0" w:space="0" w:color="auto"/>
            <w:right w:val="none" w:sz="0" w:space="0" w:color="auto"/>
          </w:divBdr>
        </w:div>
      </w:divsChild>
    </w:div>
    <w:div w:id="1705908658">
      <w:bodyDiv w:val="1"/>
      <w:marLeft w:val="0"/>
      <w:marRight w:val="0"/>
      <w:marTop w:val="0"/>
      <w:marBottom w:val="0"/>
      <w:divBdr>
        <w:top w:val="none" w:sz="0" w:space="0" w:color="auto"/>
        <w:left w:val="none" w:sz="0" w:space="0" w:color="auto"/>
        <w:bottom w:val="none" w:sz="0" w:space="0" w:color="auto"/>
        <w:right w:val="none" w:sz="0" w:space="0" w:color="auto"/>
      </w:divBdr>
    </w:div>
    <w:div w:id="1809784637">
      <w:bodyDiv w:val="1"/>
      <w:marLeft w:val="0"/>
      <w:marRight w:val="0"/>
      <w:marTop w:val="0"/>
      <w:marBottom w:val="0"/>
      <w:divBdr>
        <w:top w:val="none" w:sz="0" w:space="0" w:color="auto"/>
        <w:left w:val="none" w:sz="0" w:space="0" w:color="auto"/>
        <w:bottom w:val="none" w:sz="0" w:space="0" w:color="auto"/>
        <w:right w:val="none" w:sz="0" w:space="0" w:color="auto"/>
      </w:divBdr>
    </w:div>
    <w:div w:id="1812020852">
      <w:bodyDiv w:val="1"/>
      <w:marLeft w:val="0"/>
      <w:marRight w:val="0"/>
      <w:marTop w:val="0"/>
      <w:marBottom w:val="0"/>
      <w:divBdr>
        <w:top w:val="none" w:sz="0" w:space="0" w:color="auto"/>
        <w:left w:val="none" w:sz="0" w:space="0" w:color="auto"/>
        <w:bottom w:val="none" w:sz="0" w:space="0" w:color="auto"/>
        <w:right w:val="none" w:sz="0" w:space="0" w:color="auto"/>
      </w:divBdr>
      <w:divsChild>
        <w:div w:id="173960957">
          <w:marLeft w:val="0"/>
          <w:marRight w:val="0"/>
          <w:marTop w:val="0"/>
          <w:marBottom w:val="0"/>
          <w:divBdr>
            <w:top w:val="none" w:sz="0" w:space="0" w:color="auto"/>
            <w:left w:val="none" w:sz="0" w:space="0" w:color="auto"/>
            <w:bottom w:val="none" w:sz="0" w:space="0" w:color="auto"/>
            <w:right w:val="none" w:sz="0" w:space="0" w:color="auto"/>
          </w:divBdr>
        </w:div>
        <w:div w:id="214586719">
          <w:marLeft w:val="0"/>
          <w:marRight w:val="0"/>
          <w:marTop w:val="0"/>
          <w:marBottom w:val="0"/>
          <w:divBdr>
            <w:top w:val="none" w:sz="0" w:space="0" w:color="auto"/>
            <w:left w:val="none" w:sz="0" w:space="0" w:color="auto"/>
            <w:bottom w:val="none" w:sz="0" w:space="0" w:color="auto"/>
            <w:right w:val="none" w:sz="0" w:space="0" w:color="auto"/>
          </w:divBdr>
        </w:div>
        <w:div w:id="240869200">
          <w:marLeft w:val="0"/>
          <w:marRight w:val="0"/>
          <w:marTop w:val="0"/>
          <w:marBottom w:val="0"/>
          <w:divBdr>
            <w:top w:val="none" w:sz="0" w:space="0" w:color="auto"/>
            <w:left w:val="none" w:sz="0" w:space="0" w:color="auto"/>
            <w:bottom w:val="none" w:sz="0" w:space="0" w:color="auto"/>
            <w:right w:val="none" w:sz="0" w:space="0" w:color="auto"/>
          </w:divBdr>
        </w:div>
        <w:div w:id="341513520">
          <w:marLeft w:val="0"/>
          <w:marRight w:val="0"/>
          <w:marTop w:val="0"/>
          <w:marBottom w:val="0"/>
          <w:divBdr>
            <w:top w:val="none" w:sz="0" w:space="0" w:color="auto"/>
            <w:left w:val="none" w:sz="0" w:space="0" w:color="auto"/>
            <w:bottom w:val="none" w:sz="0" w:space="0" w:color="auto"/>
            <w:right w:val="none" w:sz="0" w:space="0" w:color="auto"/>
          </w:divBdr>
        </w:div>
        <w:div w:id="405539434">
          <w:marLeft w:val="0"/>
          <w:marRight w:val="0"/>
          <w:marTop w:val="0"/>
          <w:marBottom w:val="0"/>
          <w:divBdr>
            <w:top w:val="none" w:sz="0" w:space="0" w:color="auto"/>
            <w:left w:val="none" w:sz="0" w:space="0" w:color="auto"/>
            <w:bottom w:val="none" w:sz="0" w:space="0" w:color="auto"/>
            <w:right w:val="none" w:sz="0" w:space="0" w:color="auto"/>
          </w:divBdr>
        </w:div>
        <w:div w:id="417875121">
          <w:marLeft w:val="0"/>
          <w:marRight w:val="0"/>
          <w:marTop w:val="0"/>
          <w:marBottom w:val="0"/>
          <w:divBdr>
            <w:top w:val="none" w:sz="0" w:space="0" w:color="auto"/>
            <w:left w:val="none" w:sz="0" w:space="0" w:color="auto"/>
            <w:bottom w:val="none" w:sz="0" w:space="0" w:color="auto"/>
            <w:right w:val="none" w:sz="0" w:space="0" w:color="auto"/>
          </w:divBdr>
        </w:div>
        <w:div w:id="439571443">
          <w:marLeft w:val="0"/>
          <w:marRight w:val="0"/>
          <w:marTop w:val="0"/>
          <w:marBottom w:val="0"/>
          <w:divBdr>
            <w:top w:val="none" w:sz="0" w:space="0" w:color="auto"/>
            <w:left w:val="none" w:sz="0" w:space="0" w:color="auto"/>
            <w:bottom w:val="none" w:sz="0" w:space="0" w:color="auto"/>
            <w:right w:val="none" w:sz="0" w:space="0" w:color="auto"/>
          </w:divBdr>
        </w:div>
        <w:div w:id="663822198">
          <w:marLeft w:val="0"/>
          <w:marRight w:val="0"/>
          <w:marTop w:val="0"/>
          <w:marBottom w:val="0"/>
          <w:divBdr>
            <w:top w:val="none" w:sz="0" w:space="0" w:color="auto"/>
            <w:left w:val="none" w:sz="0" w:space="0" w:color="auto"/>
            <w:bottom w:val="none" w:sz="0" w:space="0" w:color="auto"/>
            <w:right w:val="none" w:sz="0" w:space="0" w:color="auto"/>
          </w:divBdr>
        </w:div>
        <w:div w:id="667295481">
          <w:marLeft w:val="0"/>
          <w:marRight w:val="0"/>
          <w:marTop w:val="0"/>
          <w:marBottom w:val="0"/>
          <w:divBdr>
            <w:top w:val="none" w:sz="0" w:space="0" w:color="auto"/>
            <w:left w:val="none" w:sz="0" w:space="0" w:color="auto"/>
            <w:bottom w:val="none" w:sz="0" w:space="0" w:color="auto"/>
            <w:right w:val="none" w:sz="0" w:space="0" w:color="auto"/>
          </w:divBdr>
        </w:div>
        <w:div w:id="789520088">
          <w:marLeft w:val="0"/>
          <w:marRight w:val="0"/>
          <w:marTop w:val="0"/>
          <w:marBottom w:val="0"/>
          <w:divBdr>
            <w:top w:val="none" w:sz="0" w:space="0" w:color="auto"/>
            <w:left w:val="none" w:sz="0" w:space="0" w:color="auto"/>
            <w:bottom w:val="none" w:sz="0" w:space="0" w:color="auto"/>
            <w:right w:val="none" w:sz="0" w:space="0" w:color="auto"/>
          </w:divBdr>
        </w:div>
        <w:div w:id="941110291">
          <w:marLeft w:val="0"/>
          <w:marRight w:val="0"/>
          <w:marTop w:val="0"/>
          <w:marBottom w:val="0"/>
          <w:divBdr>
            <w:top w:val="none" w:sz="0" w:space="0" w:color="auto"/>
            <w:left w:val="none" w:sz="0" w:space="0" w:color="auto"/>
            <w:bottom w:val="none" w:sz="0" w:space="0" w:color="auto"/>
            <w:right w:val="none" w:sz="0" w:space="0" w:color="auto"/>
          </w:divBdr>
        </w:div>
        <w:div w:id="1031764504">
          <w:marLeft w:val="0"/>
          <w:marRight w:val="0"/>
          <w:marTop w:val="0"/>
          <w:marBottom w:val="0"/>
          <w:divBdr>
            <w:top w:val="none" w:sz="0" w:space="0" w:color="auto"/>
            <w:left w:val="none" w:sz="0" w:space="0" w:color="auto"/>
            <w:bottom w:val="none" w:sz="0" w:space="0" w:color="auto"/>
            <w:right w:val="none" w:sz="0" w:space="0" w:color="auto"/>
          </w:divBdr>
        </w:div>
        <w:div w:id="1193567609">
          <w:marLeft w:val="0"/>
          <w:marRight w:val="0"/>
          <w:marTop w:val="0"/>
          <w:marBottom w:val="0"/>
          <w:divBdr>
            <w:top w:val="none" w:sz="0" w:space="0" w:color="auto"/>
            <w:left w:val="none" w:sz="0" w:space="0" w:color="auto"/>
            <w:bottom w:val="none" w:sz="0" w:space="0" w:color="auto"/>
            <w:right w:val="none" w:sz="0" w:space="0" w:color="auto"/>
          </w:divBdr>
        </w:div>
        <w:div w:id="1299648568">
          <w:marLeft w:val="0"/>
          <w:marRight w:val="0"/>
          <w:marTop w:val="0"/>
          <w:marBottom w:val="0"/>
          <w:divBdr>
            <w:top w:val="none" w:sz="0" w:space="0" w:color="auto"/>
            <w:left w:val="none" w:sz="0" w:space="0" w:color="auto"/>
            <w:bottom w:val="none" w:sz="0" w:space="0" w:color="auto"/>
            <w:right w:val="none" w:sz="0" w:space="0" w:color="auto"/>
          </w:divBdr>
        </w:div>
        <w:div w:id="1475299199">
          <w:marLeft w:val="0"/>
          <w:marRight w:val="0"/>
          <w:marTop w:val="0"/>
          <w:marBottom w:val="0"/>
          <w:divBdr>
            <w:top w:val="none" w:sz="0" w:space="0" w:color="auto"/>
            <w:left w:val="none" w:sz="0" w:space="0" w:color="auto"/>
            <w:bottom w:val="none" w:sz="0" w:space="0" w:color="auto"/>
            <w:right w:val="none" w:sz="0" w:space="0" w:color="auto"/>
          </w:divBdr>
        </w:div>
        <w:div w:id="1530802160">
          <w:marLeft w:val="0"/>
          <w:marRight w:val="0"/>
          <w:marTop w:val="0"/>
          <w:marBottom w:val="0"/>
          <w:divBdr>
            <w:top w:val="none" w:sz="0" w:space="0" w:color="auto"/>
            <w:left w:val="none" w:sz="0" w:space="0" w:color="auto"/>
            <w:bottom w:val="none" w:sz="0" w:space="0" w:color="auto"/>
            <w:right w:val="none" w:sz="0" w:space="0" w:color="auto"/>
          </w:divBdr>
        </w:div>
        <w:div w:id="1759784583">
          <w:marLeft w:val="0"/>
          <w:marRight w:val="0"/>
          <w:marTop w:val="0"/>
          <w:marBottom w:val="0"/>
          <w:divBdr>
            <w:top w:val="none" w:sz="0" w:space="0" w:color="auto"/>
            <w:left w:val="none" w:sz="0" w:space="0" w:color="auto"/>
            <w:bottom w:val="none" w:sz="0" w:space="0" w:color="auto"/>
            <w:right w:val="none" w:sz="0" w:space="0" w:color="auto"/>
          </w:divBdr>
        </w:div>
        <w:div w:id="2086874603">
          <w:marLeft w:val="0"/>
          <w:marRight w:val="0"/>
          <w:marTop w:val="0"/>
          <w:marBottom w:val="0"/>
          <w:divBdr>
            <w:top w:val="none" w:sz="0" w:space="0" w:color="auto"/>
            <w:left w:val="none" w:sz="0" w:space="0" w:color="auto"/>
            <w:bottom w:val="none" w:sz="0" w:space="0" w:color="auto"/>
            <w:right w:val="none" w:sz="0" w:space="0" w:color="auto"/>
          </w:divBdr>
        </w:div>
      </w:divsChild>
    </w:div>
    <w:div w:id="1833981834">
      <w:bodyDiv w:val="1"/>
      <w:marLeft w:val="0"/>
      <w:marRight w:val="0"/>
      <w:marTop w:val="0"/>
      <w:marBottom w:val="0"/>
      <w:divBdr>
        <w:top w:val="none" w:sz="0" w:space="0" w:color="auto"/>
        <w:left w:val="none" w:sz="0" w:space="0" w:color="auto"/>
        <w:bottom w:val="none" w:sz="0" w:space="0" w:color="auto"/>
        <w:right w:val="none" w:sz="0" w:space="0" w:color="auto"/>
      </w:divBdr>
    </w:div>
    <w:div w:id="1917744320">
      <w:bodyDiv w:val="1"/>
      <w:marLeft w:val="0"/>
      <w:marRight w:val="0"/>
      <w:marTop w:val="0"/>
      <w:marBottom w:val="0"/>
      <w:divBdr>
        <w:top w:val="none" w:sz="0" w:space="0" w:color="auto"/>
        <w:left w:val="none" w:sz="0" w:space="0" w:color="auto"/>
        <w:bottom w:val="none" w:sz="0" w:space="0" w:color="auto"/>
        <w:right w:val="none" w:sz="0" w:space="0" w:color="auto"/>
      </w:divBdr>
    </w:div>
    <w:div w:id="1919485962">
      <w:bodyDiv w:val="1"/>
      <w:marLeft w:val="0"/>
      <w:marRight w:val="0"/>
      <w:marTop w:val="0"/>
      <w:marBottom w:val="0"/>
      <w:divBdr>
        <w:top w:val="none" w:sz="0" w:space="0" w:color="auto"/>
        <w:left w:val="none" w:sz="0" w:space="0" w:color="auto"/>
        <w:bottom w:val="none" w:sz="0" w:space="0" w:color="auto"/>
        <w:right w:val="none" w:sz="0" w:space="0" w:color="auto"/>
      </w:divBdr>
    </w:div>
    <w:div w:id="1933856458">
      <w:bodyDiv w:val="1"/>
      <w:marLeft w:val="0"/>
      <w:marRight w:val="0"/>
      <w:marTop w:val="0"/>
      <w:marBottom w:val="0"/>
      <w:divBdr>
        <w:top w:val="none" w:sz="0" w:space="0" w:color="auto"/>
        <w:left w:val="none" w:sz="0" w:space="0" w:color="auto"/>
        <w:bottom w:val="none" w:sz="0" w:space="0" w:color="auto"/>
        <w:right w:val="none" w:sz="0" w:space="0" w:color="auto"/>
      </w:divBdr>
    </w:div>
    <w:div w:id="2033607807">
      <w:bodyDiv w:val="1"/>
      <w:marLeft w:val="0"/>
      <w:marRight w:val="0"/>
      <w:marTop w:val="0"/>
      <w:marBottom w:val="0"/>
      <w:divBdr>
        <w:top w:val="none" w:sz="0" w:space="0" w:color="auto"/>
        <w:left w:val="none" w:sz="0" w:space="0" w:color="auto"/>
        <w:bottom w:val="none" w:sz="0" w:space="0" w:color="auto"/>
        <w:right w:val="none" w:sz="0" w:space="0" w:color="auto"/>
      </w:divBdr>
    </w:div>
    <w:div w:id="2048556430">
      <w:bodyDiv w:val="1"/>
      <w:marLeft w:val="0"/>
      <w:marRight w:val="0"/>
      <w:marTop w:val="0"/>
      <w:marBottom w:val="0"/>
      <w:divBdr>
        <w:top w:val="none" w:sz="0" w:space="0" w:color="auto"/>
        <w:left w:val="none" w:sz="0" w:space="0" w:color="auto"/>
        <w:bottom w:val="none" w:sz="0" w:space="0" w:color="auto"/>
        <w:right w:val="none" w:sz="0" w:space="0" w:color="auto"/>
      </w:divBdr>
    </w:div>
    <w:div w:id="2052345354">
      <w:bodyDiv w:val="1"/>
      <w:marLeft w:val="0"/>
      <w:marRight w:val="0"/>
      <w:marTop w:val="0"/>
      <w:marBottom w:val="0"/>
      <w:divBdr>
        <w:top w:val="none" w:sz="0" w:space="0" w:color="auto"/>
        <w:left w:val="none" w:sz="0" w:space="0" w:color="auto"/>
        <w:bottom w:val="none" w:sz="0" w:space="0" w:color="auto"/>
        <w:right w:val="none" w:sz="0" w:space="0" w:color="auto"/>
      </w:divBdr>
      <w:divsChild>
        <w:div w:id="25182360">
          <w:marLeft w:val="0"/>
          <w:marRight w:val="0"/>
          <w:marTop w:val="0"/>
          <w:marBottom w:val="0"/>
          <w:divBdr>
            <w:top w:val="none" w:sz="0" w:space="0" w:color="auto"/>
            <w:left w:val="none" w:sz="0" w:space="0" w:color="auto"/>
            <w:bottom w:val="none" w:sz="0" w:space="0" w:color="auto"/>
            <w:right w:val="none" w:sz="0" w:space="0" w:color="auto"/>
          </w:divBdr>
        </w:div>
        <w:div w:id="66273983">
          <w:marLeft w:val="0"/>
          <w:marRight w:val="0"/>
          <w:marTop w:val="0"/>
          <w:marBottom w:val="0"/>
          <w:divBdr>
            <w:top w:val="none" w:sz="0" w:space="0" w:color="auto"/>
            <w:left w:val="none" w:sz="0" w:space="0" w:color="auto"/>
            <w:bottom w:val="none" w:sz="0" w:space="0" w:color="auto"/>
            <w:right w:val="none" w:sz="0" w:space="0" w:color="auto"/>
          </w:divBdr>
        </w:div>
        <w:div w:id="76292323">
          <w:marLeft w:val="0"/>
          <w:marRight w:val="0"/>
          <w:marTop w:val="0"/>
          <w:marBottom w:val="0"/>
          <w:divBdr>
            <w:top w:val="none" w:sz="0" w:space="0" w:color="auto"/>
            <w:left w:val="none" w:sz="0" w:space="0" w:color="auto"/>
            <w:bottom w:val="none" w:sz="0" w:space="0" w:color="auto"/>
            <w:right w:val="none" w:sz="0" w:space="0" w:color="auto"/>
          </w:divBdr>
        </w:div>
        <w:div w:id="115368543">
          <w:marLeft w:val="0"/>
          <w:marRight w:val="0"/>
          <w:marTop w:val="0"/>
          <w:marBottom w:val="0"/>
          <w:divBdr>
            <w:top w:val="none" w:sz="0" w:space="0" w:color="auto"/>
            <w:left w:val="none" w:sz="0" w:space="0" w:color="auto"/>
            <w:bottom w:val="none" w:sz="0" w:space="0" w:color="auto"/>
            <w:right w:val="none" w:sz="0" w:space="0" w:color="auto"/>
          </w:divBdr>
        </w:div>
        <w:div w:id="148332183">
          <w:marLeft w:val="0"/>
          <w:marRight w:val="0"/>
          <w:marTop w:val="0"/>
          <w:marBottom w:val="0"/>
          <w:divBdr>
            <w:top w:val="none" w:sz="0" w:space="0" w:color="auto"/>
            <w:left w:val="none" w:sz="0" w:space="0" w:color="auto"/>
            <w:bottom w:val="none" w:sz="0" w:space="0" w:color="auto"/>
            <w:right w:val="none" w:sz="0" w:space="0" w:color="auto"/>
          </w:divBdr>
        </w:div>
        <w:div w:id="184249678">
          <w:marLeft w:val="0"/>
          <w:marRight w:val="0"/>
          <w:marTop w:val="0"/>
          <w:marBottom w:val="0"/>
          <w:divBdr>
            <w:top w:val="none" w:sz="0" w:space="0" w:color="auto"/>
            <w:left w:val="none" w:sz="0" w:space="0" w:color="auto"/>
            <w:bottom w:val="none" w:sz="0" w:space="0" w:color="auto"/>
            <w:right w:val="none" w:sz="0" w:space="0" w:color="auto"/>
          </w:divBdr>
        </w:div>
        <w:div w:id="211385097">
          <w:marLeft w:val="0"/>
          <w:marRight w:val="0"/>
          <w:marTop w:val="0"/>
          <w:marBottom w:val="0"/>
          <w:divBdr>
            <w:top w:val="none" w:sz="0" w:space="0" w:color="auto"/>
            <w:left w:val="none" w:sz="0" w:space="0" w:color="auto"/>
            <w:bottom w:val="none" w:sz="0" w:space="0" w:color="auto"/>
            <w:right w:val="none" w:sz="0" w:space="0" w:color="auto"/>
          </w:divBdr>
        </w:div>
        <w:div w:id="288821304">
          <w:marLeft w:val="0"/>
          <w:marRight w:val="0"/>
          <w:marTop w:val="0"/>
          <w:marBottom w:val="0"/>
          <w:divBdr>
            <w:top w:val="none" w:sz="0" w:space="0" w:color="auto"/>
            <w:left w:val="none" w:sz="0" w:space="0" w:color="auto"/>
            <w:bottom w:val="none" w:sz="0" w:space="0" w:color="auto"/>
            <w:right w:val="none" w:sz="0" w:space="0" w:color="auto"/>
          </w:divBdr>
        </w:div>
        <w:div w:id="516383744">
          <w:marLeft w:val="0"/>
          <w:marRight w:val="0"/>
          <w:marTop w:val="0"/>
          <w:marBottom w:val="0"/>
          <w:divBdr>
            <w:top w:val="none" w:sz="0" w:space="0" w:color="auto"/>
            <w:left w:val="none" w:sz="0" w:space="0" w:color="auto"/>
            <w:bottom w:val="none" w:sz="0" w:space="0" w:color="auto"/>
            <w:right w:val="none" w:sz="0" w:space="0" w:color="auto"/>
          </w:divBdr>
        </w:div>
        <w:div w:id="586236670">
          <w:marLeft w:val="0"/>
          <w:marRight w:val="0"/>
          <w:marTop w:val="0"/>
          <w:marBottom w:val="0"/>
          <w:divBdr>
            <w:top w:val="none" w:sz="0" w:space="0" w:color="auto"/>
            <w:left w:val="none" w:sz="0" w:space="0" w:color="auto"/>
            <w:bottom w:val="none" w:sz="0" w:space="0" w:color="auto"/>
            <w:right w:val="none" w:sz="0" w:space="0" w:color="auto"/>
          </w:divBdr>
        </w:div>
        <w:div w:id="751242984">
          <w:marLeft w:val="0"/>
          <w:marRight w:val="0"/>
          <w:marTop w:val="0"/>
          <w:marBottom w:val="0"/>
          <w:divBdr>
            <w:top w:val="none" w:sz="0" w:space="0" w:color="auto"/>
            <w:left w:val="none" w:sz="0" w:space="0" w:color="auto"/>
            <w:bottom w:val="none" w:sz="0" w:space="0" w:color="auto"/>
            <w:right w:val="none" w:sz="0" w:space="0" w:color="auto"/>
          </w:divBdr>
        </w:div>
        <w:div w:id="830489216">
          <w:marLeft w:val="0"/>
          <w:marRight w:val="0"/>
          <w:marTop w:val="0"/>
          <w:marBottom w:val="0"/>
          <w:divBdr>
            <w:top w:val="none" w:sz="0" w:space="0" w:color="auto"/>
            <w:left w:val="none" w:sz="0" w:space="0" w:color="auto"/>
            <w:bottom w:val="none" w:sz="0" w:space="0" w:color="auto"/>
            <w:right w:val="none" w:sz="0" w:space="0" w:color="auto"/>
          </w:divBdr>
        </w:div>
        <w:div w:id="866480786">
          <w:marLeft w:val="0"/>
          <w:marRight w:val="0"/>
          <w:marTop w:val="0"/>
          <w:marBottom w:val="0"/>
          <w:divBdr>
            <w:top w:val="none" w:sz="0" w:space="0" w:color="auto"/>
            <w:left w:val="none" w:sz="0" w:space="0" w:color="auto"/>
            <w:bottom w:val="none" w:sz="0" w:space="0" w:color="auto"/>
            <w:right w:val="none" w:sz="0" w:space="0" w:color="auto"/>
          </w:divBdr>
        </w:div>
        <w:div w:id="876896201">
          <w:marLeft w:val="0"/>
          <w:marRight w:val="0"/>
          <w:marTop w:val="0"/>
          <w:marBottom w:val="0"/>
          <w:divBdr>
            <w:top w:val="none" w:sz="0" w:space="0" w:color="auto"/>
            <w:left w:val="none" w:sz="0" w:space="0" w:color="auto"/>
            <w:bottom w:val="none" w:sz="0" w:space="0" w:color="auto"/>
            <w:right w:val="none" w:sz="0" w:space="0" w:color="auto"/>
          </w:divBdr>
        </w:div>
        <w:div w:id="895355584">
          <w:marLeft w:val="0"/>
          <w:marRight w:val="0"/>
          <w:marTop w:val="0"/>
          <w:marBottom w:val="0"/>
          <w:divBdr>
            <w:top w:val="none" w:sz="0" w:space="0" w:color="auto"/>
            <w:left w:val="none" w:sz="0" w:space="0" w:color="auto"/>
            <w:bottom w:val="none" w:sz="0" w:space="0" w:color="auto"/>
            <w:right w:val="none" w:sz="0" w:space="0" w:color="auto"/>
          </w:divBdr>
        </w:div>
        <w:div w:id="961229982">
          <w:marLeft w:val="0"/>
          <w:marRight w:val="0"/>
          <w:marTop w:val="0"/>
          <w:marBottom w:val="0"/>
          <w:divBdr>
            <w:top w:val="none" w:sz="0" w:space="0" w:color="auto"/>
            <w:left w:val="none" w:sz="0" w:space="0" w:color="auto"/>
            <w:bottom w:val="none" w:sz="0" w:space="0" w:color="auto"/>
            <w:right w:val="none" w:sz="0" w:space="0" w:color="auto"/>
          </w:divBdr>
        </w:div>
        <w:div w:id="1027947189">
          <w:marLeft w:val="0"/>
          <w:marRight w:val="0"/>
          <w:marTop w:val="0"/>
          <w:marBottom w:val="0"/>
          <w:divBdr>
            <w:top w:val="none" w:sz="0" w:space="0" w:color="auto"/>
            <w:left w:val="none" w:sz="0" w:space="0" w:color="auto"/>
            <w:bottom w:val="none" w:sz="0" w:space="0" w:color="auto"/>
            <w:right w:val="none" w:sz="0" w:space="0" w:color="auto"/>
          </w:divBdr>
        </w:div>
        <w:div w:id="1142428156">
          <w:marLeft w:val="0"/>
          <w:marRight w:val="0"/>
          <w:marTop w:val="0"/>
          <w:marBottom w:val="0"/>
          <w:divBdr>
            <w:top w:val="none" w:sz="0" w:space="0" w:color="auto"/>
            <w:left w:val="none" w:sz="0" w:space="0" w:color="auto"/>
            <w:bottom w:val="none" w:sz="0" w:space="0" w:color="auto"/>
            <w:right w:val="none" w:sz="0" w:space="0" w:color="auto"/>
          </w:divBdr>
        </w:div>
        <w:div w:id="1202664957">
          <w:marLeft w:val="0"/>
          <w:marRight w:val="0"/>
          <w:marTop w:val="0"/>
          <w:marBottom w:val="0"/>
          <w:divBdr>
            <w:top w:val="none" w:sz="0" w:space="0" w:color="auto"/>
            <w:left w:val="none" w:sz="0" w:space="0" w:color="auto"/>
            <w:bottom w:val="none" w:sz="0" w:space="0" w:color="auto"/>
            <w:right w:val="none" w:sz="0" w:space="0" w:color="auto"/>
          </w:divBdr>
        </w:div>
        <w:div w:id="1261984116">
          <w:marLeft w:val="0"/>
          <w:marRight w:val="0"/>
          <w:marTop w:val="0"/>
          <w:marBottom w:val="0"/>
          <w:divBdr>
            <w:top w:val="none" w:sz="0" w:space="0" w:color="auto"/>
            <w:left w:val="none" w:sz="0" w:space="0" w:color="auto"/>
            <w:bottom w:val="none" w:sz="0" w:space="0" w:color="auto"/>
            <w:right w:val="none" w:sz="0" w:space="0" w:color="auto"/>
          </w:divBdr>
        </w:div>
        <w:div w:id="1321344162">
          <w:marLeft w:val="0"/>
          <w:marRight w:val="0"/>
          <w:marTop w:val="0"/>
          <w:marBottom w:val="0"/>
          <w:divBdr>
            <w:top w:val="none" w:sz="0" w:space="0" w:color="auto"/>
            <w:left w:val="none" w:sz="0" w:space="0" w:color="auto"/>
            <w:bottom w:val="none" w:sz="0" w:space="0" w:color="auto"/>
            <w:right w:val="none" w:sz="0" w:space="0" w:color="auto"/>
          </w:divBdr>
        </w:div>
        <w:div w:id="1336349243">
          <w:marLeft w:val="0"/>
          <w:marRight w:val="0"/>
          <w:marTop w:val="0"/>
          <w:marBottom w:val="0"/>
          <w:divBdr>
            <w:top w:val="none" w:sz="0" w:space="0" w:color="auto"/>
            <w:left w:val="none" w:sz="0" w:space="0" w:color="auto"/>
            <w:bottom w:val="none" w:sz="0" w:space="0" w:color="auto"/>
            <w:right w:val="none" w:sz="0" w:space="0" w:color="auto"/>
          </w:divBdr>
        </w:div>
        <w:div w:id="1344012862">
          <w:marLeft w:val="0"/>
          <w:marRight w:val="0"/>
          <w:marTop w:val="0"/>
          <w:marBottom w:val="0"/>
          <w:divBdr>
            <w:top w:val="none" w:sz="0" w:space="0" w:color="auto"/>
            <w:left w:val="none" w:sz="0" w:space="0" w:color="auto"/>
            <w:bottom w:val="none" w:sz="0" w:space="0" w:color="auto"/>
            <w:right w:val="none" w:sz="0" w:space="0" w:color="auto"/>
          </w:divBdr>
        </w:div>
        <w:div w:id="1360231859">
          <w:marLeft w:val="0"/>
          <w:marRight w:val="0"/>
          <w:marTop w:val="0"/>
          <w:marBottom w:val="0"/>
          <w:divBdr>
            <w:top w:val="none" w:sz="0" w:space="0" w:color="auto"/>
            <w:left w:val="none" w:sz="0" w:space="0" w:color="auto"/>
            <w:bottom w:val="none" w:sz="0" w:space="0" w:color="auto"/>
            <w:right w:val="none" w:sz="0" w:space="0" w:color="auto"/>
          </w:divBdr>
        </w:div>
        <w:div w:id="1556699081">
          <w:marLeft w:val="0"/>
          <w:marRight w:val="0"/>
          <w:marTop w:val="0"/>
          <w:marBottom w:val="0"/>
          <w:divBdr>
            <w:top w:val="none" w:sz="0" w:space="0" w:color="auto"/>
            <w:left w:val="none" w:sz="0" w:space="0" w:color="auto"/>
            <w:bottom w:val="none" w:sz="0" w:space="0" w:color="auto"/>
            <w:right w:val="none" w:sz="0" w:space="0" w:color="auto"/>
          </w:divBdr>
        </w:div>
        <w:div w:id="1579901397">
          <w:marLeft w:val="0"/>
          <w:marRight w:val="0"/>
          <w:marTop w:val="0"/>
          <w:marBottom w:val="0"/>
          <w:divBdr>
            <w:top w:val="none" w:sz="0" w:space="0" w:color="auto"/>
            <w:left w:val="none" w:sz="0" w:space="0" w:color="auto"/>
            <w:bottom w:val="none" w:sz="0" w:space="0" w:color="auto"/>
            <w:right w:val="none" w:sz="0" w:space="0" w:color="auto"/>
          </w:divBdr>
        </w:div>
        <w:div w:id="1644119634">
          <w:marLeft w:val="0"/>
          <w:marRight w:val="0"/>
          <w:marTop w:val="0"/>
          <w:marBottom w:val="0"/>
          <w:divBdr>
            <w:top w:val="none" w:sz="0" w:space="0" w:color="auto"/>
            <w:left w:val="none" w:sz="0" w:space="0" w:color="auto"/>
            <w:bottom w:val="none" w:sz="0" w:space="0" w:color="auto"/>
            <w:right w:val="none" w:sz="0" w:space="0" w:color="auto"/>
          </w:divBdr>
        </w:div>
        <w:div w:id="1695498609">
          <w:marLeft w:val="0"/>
          <w:marRight w:val="0"/>
          <w:marTop w:val="0"/>
          <w:marBottom w:val="0"/>
          <w:divBdr>
            <w:top w:val="none" w:sz="0" w:space="0" w:color="auto"/>
            <w:left w:val="none" w:sz="0" w:space="0" w:color="auto"/>
            <w:bottom w:val="none" w:sz="0" w:space="0" w:color="auto"/>
            <w:right w:val="none" w:sz="0" w:space="0" w:color="auto"/>
          </w:divBdr>
        </w:div>
        <w:div w:id="1781030875">
          <w:marLeft w:val="0"/>
          <w:marRight w:val="0"/>
          <w:marTop w:val="0"/>
          <w:marBottom w:val="0"/>
          <w:divBdr>
            <w:top w:val="none" w:sz="0" w:space="0" w:color="auto"/>
            <w:left w:val="none" w:sz="0" w:space="0" w:color="auto"/>
            <w:bottom w:val="none" w:sz="0" w:space="0" w:color="auto"/>
            <w:right w:val="none" w:sz="0" w:space="0" w:color="auto"/>
          </w:divBdr>
        </w:div>
        <w:div w:id="1802527936">
          <w:marLeft w:val="0"/>
          <w:marRight w:val="0"/>
          <w:marTop w:val="0"/>
          <w:marBottom w:val="0"/>
          <w:divBdr>
            <w:top w:val="none" w:sz="0" w:space="0" w:color="auto"/>
            <w:left w:val="none" w:sz="0" w:space="0" w:color="auto"/>
            <w:bottom w:val="none" w:sz="0" w:space="0" w:color="auto"/>
            <w:right w:val="none" w:sz="0" w:space="0" w:color="auto"/>
          </w:divBdr>
        </w:div>
        <w:div w:id="1829636332">
          <w:marLeft w:val="0"/>
          <w:marRight w:val="0"/>
          <w:marTop w:val="0"/>
          <w:marBottom w:val="0"/>
          <w:divBdr>
            <w:top w:val="none" w:sz="0" w:space="0" w:color="auto"/>
            <w:left w:val="none" w:sz="0" w:space="0" w:color="auto"/>
            <w:bottom w:val="none" w:sz="0" w:space="0" w:color="auto"/>
            <w:right w:val="none" w:sz="0" w:space="0" w:color="auto"/>
          </w:divBdr>
        </w:div>
        <w:div w:id="1848909709">
          <w:marLeft w:val="0"/>
          <w:marRight w:val="0"/>
          <w:marTop w:val="0"/>
          <w:marBottom w:val="0"/>
          <w:divBdr>
            <w:top w:val="none" w:sz="0" w:space="0" w:color="auto"/>
            <w:left w:val="none" w:sz="0" w:space="0" w:color="auto"/>
            <w:bottom w:val="none" w:sz="0" w:space="0" w:color="auto"/>
            <w:right w:val="none" w:sz="0" w:space="0" w:color="auto"/>
          </w:divBdr>
        </w:div>
        <w:div w:id="1965454111">
          <w:marLeft w:val="0"/>
          <w:marRight w:val="0"/>
          <w:marTop w:val="0"/>
          <w:marBottom w:val="0"/>
          <w:divBdr>
            <w:top w:val="none" w:sz="0" w:space="0" w:color="auto"/>
            <w:left w:val="none" w:sz="0" w:space="0" w:color="auto"/>
            <w:bottom w:val="none" w:sz="0" w:space="0" w:color="auto"/>
            <w:right w:val="none" w:sz="0" w:space="0" w:color="auto"/>
          </w:divBdr>
        </w:div>
        <w:div w:id="2031298136">
          <w:marLeft w:val="0"/>
          <w:marRight w:val="0"/>
          <w:marTop w:val="0"/>
          <w:marBottom w:val="0"/>
          <w:divBdr>
            <w:top w:val="none" w:sz="0" w:space="0" w:color="auto"/>
            <w:left w:val="none" w:sz="0" w:space="0" w:color="auto"/>
            <w:bottom w:val="none" w:sz="0" w:space="0" w:color="auto"/>
            <w:right w:val="none" w:sz="0" w:space="0" w:color="auto"/>
          </w:divBdr>
        </w:div>
        <w:div w:id="2031836810">
          <w:marLeft w:val="0"/>
          <w:marRight w:val="0"/>
          <w:marTop w:val="0"/>
          <w:marBottom w:val="0"/>
          <w:divBdr>
            <w:top w:val="none" w:sz="0" w:space="0" w:color="auto"/>
            <w:left w:val="none" w:sz="0" w:space="0" w:color="auto"/>
            <w:bottom w:val="none" w:sz="0" w:space="0" w:color="auto"/>
            <w:right w:val="none" w:sz="0" w:space="0" w:color="auto"/>
          </w:divBdr>
        </w:div>
        <w:div w:id="2063937392">
          <w:marLeft w:val="0"/>
          <w:marRight w:val="0"/>
          <w:marTop w:val="0"/>
          <w:marBottom w:val="0"/>
          <w:divBdr>
            <w:top w:val="none" w:sz="0" w:space="0" w:color="auto"/>
            <w:left w:val="none" w:sz="0" w:space="0" w:color="auto"/>
            <w:bottom w:val="none" w:sz="0" w:space="0" w:color="auto"/>
            <w:right w:val="none" w:sz="0" w:space="0" w:color="auto"/>
          </w:divBdr>
        </w:div>
        <w:div w:id="2071612657">
          <w:marLeft w:val="0"/>
          <w:marRight w:val="0"/>
          <w:marTop w:val="0"/>
          <w:marBottom w:val="0"/>
          <w:divBdr>
            <w:top w:val="none" w:sz="0" w:space="0" w:color="auto"/>
            <w:left w:val="none" w:sz="0" w:space="0" w:color="auto"/>
            <w:bottom w:val="none" w:sz="0" w:space="0" w:color="auto"/>
            <w:right w:val="none" w:sz="0" w:space="0" w:color="auto"/>
          </w:divBdr>
        </w:div>
        <w:div w:id="2105152047">
          <w:marLeft w:val="0"/>
          <w:marRight w:val="0"/>
          <w:marTop w:val="0"/>
          <w:marBottom w:val="0"/>
          <w:divBdr>
            <w:top w:val="none" w:sz="0" w:space="0" w:color="auto"/>
            <w:left w:val="none" w:sz="0" w:space="0" w:color="auto"/>
            <w:bottom w:val="none" w:sz="0" w:space="0" w:color="auto"/>
            <w:right w:val="none" w:sz="0" w:space="0" w:color="auto"/>
          </w:divBdr>
        </w:div>
      </w:divsChild>
    </w:div>
    <w:div w:id="20814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doc.echr.coe.int/e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domir.laban\Desktop\Re&#353;en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Rešenje</Template>
  <TotalTime>0</TotalTime>
  <Pages>70</Pages>
  <Words>31226</Words>
  <Characters>177992</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Template Gj.K.</vt:lpstr>
    </vt:vector>
  </TitlesOfParts>
  <Company/>
  <LinksUpToDate>false</LinksUpToDate>
  <CharactersWithSpaces>208801</CharactersWithSpaces>
  <SharedDoc>false</SharedDoc>
  <HLinks>
    <vt:vector size="6" baseType="variant">
      <vt:variant>
        <vt:i4>2490479</vt:i4>
      </vt:variant>
      <vt:variant>
        <vt:i4>0</vt:i4>
      </vt:variant>
      <vt:variant>
        <vt:i4>0</vt:i4>
      </vt:variant>
      <vt:variant>
        <vt:i4>5</vt:i4>
      </vt:variant>
      <vt:variant>
        <vt:lpwstr>https://hudoc.echr.coe.int/eng</vt:lpwstr>
      </vt:variant>
      <vt:variant>
        <vt:lpwstr>{"appno":["9248/81"]}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Gj.K.</dc:title>
  <dc:subject/>
  <dc:creator>Anita.Cavdarbasha@gjk-ks.org</dc:creator>
  <cp:keywords/>
  <cp:lastModifiedBy>Burim Hoxha</cp:lastModifiedBy>
  <cp:revision>2</cp:revision>
  <cp:lastPrinted>2019-02-04T11:22:00Z</cp:lastPrinted>
  <dcterms:created xsi:type="dcterms:W3CDTF">2019-02-04T13:53:00Z</dcterms:created>
  <dcterms:modified xsi:type="dcterms:W3CDTF">2019-02-04T13:53:00Z</dcterms:modified>
</cp:coreProperties>
</file>