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98D" w:rsidRPr="00277FDE" w:rsidRDefault="00ED1049" w:rsidP="00277FDE">
      <w:pPr>
        <w:spacing w:line="240" w:lineRule="auto"/>
        <w:ind w:left="0"/>
        <w:jc w:val="right"/>
        <w:rPr>
          <w:b/>
          <w:color w:val="000000"/>
          <w:sz w:val="16"/>
          <w:szCs w:val="16"/>
          <w:lang w:val="en-US"/>
        </w:rPr>
      </w:pPr>
      <w:r w:rsidRPr="00277FDE">
        <w:rPr>
          <w:b/>
          <w:color w:val="000000"/>
          <w:sz w:val="16"/>
          <w:szCs w:val="16"/>
          <w:lang w:val="en-US"/>
        </w:rPr>
        <w:t xml:space="preserve"> </w:t>
      </w:r>
      <w:proofErr w:type="spellStart"/>
      <w:r w:rsidR="00BB1C4E" w:rsidRPr="00277FDE">
        <w:rPr>
          <w:b/>
          <w:color w:val="000000"/>
          <w:sz w:val="16"/>
          <w:szCs w:val="16"/>
          <w:lang w:val="en-US"/>
        </w:rPr>
        <w:t>Prishtina</w:t>
      </w:r>
      <w:proofErr w:type="spellEnd"/>
      <w:r w:rsidR="00390172" w:rsidRPr="00277FDE">
        <w:rPr>
          <w:b/>
          <w:color w:val="000000"/>
          <w:sz w:val="16"/>
          <w:szCs w:val="16"/>
          <w:lang w:val="en-US"/>
        </w:rPr>
        <w:t>,</w:t>
      </w:r>
      <w:r w:rsidR="0025324C" w:rsidRPr="00277FDE">
        <w:rPr>
          <w:b/>
          <w:color w:val="000000"/>
          <w:sz w:val="16"/>
          <w:szCs w:val="16"/>
          <w:lang w:val="en-US"/>
        </w:rPr>
        <w:t xml:space="preserve"> </w:t>
      </w:r>
      <w:r w:rsidR="00BB1C4E" w:rsidRPr="00277FDE">
        <w:rPr>
          <w:b/>
          <w:color w:val="000000"/>
          <w:sz w:val="16"/>
          <w:szCs w:val="16"/>
          <w:lang w:val="en-US"/>
        </w:rPr>
        <w:t>on</w:t>
      </w:r>
      <w:r w:rsidR="0054009F" w:rsidRPr="00277FDE">
        <w:rPr>
          <w:b/>
          <w:color w:val="000000"/>
          <w:sz w:val="16"/>
          <w:szCs w:val="16"/>
          <w:lang w:val="en-US"/>
        </w:rPr>
        <w:t xml:space="preserve"> </w:t>
      </w:r>
      <w:r w:rsidR="008B55CD">
        <w:rPr>
          <w:b/>
          <w:color w:val="000000"/>
          <w:sz w:val="16"/>
          <w:szCs w:val="16"/>
          <w:lang w:val="en-US"/>
        </w:rPr>
        <w:t>6 June</w:t>
      </w:r>
      <w:r w:rsidR="00B84FF2" w:rsidRPr="00277FDE">
        <w:rPr>
          <w:b/>
          <w:color w:val="000000"/>
          <w:sz w:val="16"/>
          <w:szCs w:val="16"/>
          <w:lang w:val="en-US"/>
        </w:rPr>
        <w:t xml:space="preserve"> </w:t>
      </w:r>
      <w:r w:rsidR="0025324C" w:rsidRPr="00277FDE">
        <w:rPr>
          <w:b/>
          <w:color w:val="000000"/>
          <w:sz w:val="16"/>
          <w:szCs w:val="16"/>
          <w:lang w:val="en-US"/>
        </w:rPr>
        <w:t>201</w:t>
      </w:r>
      <w:r w:rsidR="000366EE" w:rsidRPr="00277FDE">
        <w:rPr>
          <w:b/>
          <w:color w:val="000000"/>
          <w:sz w:val="16"/>
          <w:szCs w:val="16"/>
          <w:lang w:val="en-US"/>
        </w:rPr>
        <w:t>8</w:t>
      </w:r>
    </w:p>
    <w:p w:rsidR="00563CE2" w:rsidRPr="00277FDE" w:rsidRDefault="00563CE2" w:rsidP="00277FDE">
      <w:pPr>
        <w:spacing w:line="240" w:lineRule="auto"/>
        <w:ind w:left="0"/>
        <w:jc w:val="right"/>
        <w:rPr>
          <w:b/>
          <w:color w:val="000000"/>
          <w:sz w:val="16"/>
          <w:szCs w:val="16"/>
          <w:lang w:val="en-US"/>
        </w:rPr>
      </w:pPr>
      <w:r w:rsidRPr="00277FDE">
        <w:rPr>
          <w:b/>
          <w:color w:val="000000"/>
          <w:sz w:val="16"/>
          <w:szCs w:val="16"/>
          <w:lang w:val="en-US"/>
        </w:rPr>
        <w:t>Ref. no.:</w:t>
      </w:r>
      <w:r w:rsidR="008B55CD">
        <w:rPr>
          <w:b/>
          <w:color w:val="000000"/>
          <w:sz w:val="16"/>
          <w:szCs w:val="16"/>
          <w:lang w:val="en-US"/>
        </w:rPr>
        <w:t xml:space="preserve"> AGJ</w:t>
      </w:r>
      <w:r w:rsidR="00617CE2">
        <w:rPr>
          <w:b/>
          <w:color w:val="000000"/>
          <w:sz w:val="16"/>
          <w:szCs w:val="16"/>
          <w:lang w:val="en-US"/>
        </w:rPr>
        <w:t xml:space="preserve"> 1247/18</w:t>
      </w:r>
      <w:bookmarkStart w:id="0" w:name="_GoBack"/>
      <w:bookmarkEnd w:id="0"/>
    </w:p>
    <w:p w:rsidR="00390172" w:rsidRPr="00277FDE" w:rsidRDefault="00390172" w:rsidP="00277FDE">
      <w:pPr>
        <w:spacing w:line="240" w:lineRule="auto"/>
        <w:ind w:left="0"/>
        <w:rPr>
          <w:sz w:val="24"/>
          <w:lang w:val="en-US"/>
        </w:rPr>
      </w:pPr>
    </w:p>
    <w:p w:rsidR="00277FDE" w:rsidRPr="00277FDE" w:rsidRDefault="00277FDE" w:rsidP="00277FDE">
      <w:pPr>
        <w:spacing w:line="240" w:lineRule="auto"/>
        <w:ind w:left="0"/>
        <w:rPr>
          <w:sz w:val="24"/>
          <w:lang w:val="en-US"/>
        </w:rPr>
      </w:pPr>
    </w:p>
    <w:p w:rsidR="00B565FB" w:rsidRPr="00277FDE" w:rsidRDefault="00B565FB" w:rsidP="00277FDE">
      <w:pPr>
        <w:spacing w:line="240" w:lineRule="auto"/>
        <w:jc w:val="center"/>
        <w:rPr>
          <w:b/>
          <w:sz w:val="32"/>
          <w:szCs w:val="32"/>
          <w:lang w:val="en-US"/>
        </w:rPr>
      </w:pPr>
    </w:p>
    <w:p w:rsidR="00B565FB" w:rsidRPr="00277FDE" w:rsidRDefault="00B565FB" w:rsidP="00277FDE">
      <w:pPr>
        <w:spacing w:line="240" w:lineRule="auto"/>
        <w:jc w:val="center"/>
        <w:rPr>
          <w:b/>
          <w:bCs/>
          <w:color w:val="000000"/>
          <w:sz w:val="32"/>
          <w:szCs w:val="32"/>
          <w:lang w:val="en-US"/>
        </w:rPr>
      </w:pPr>
      <w:r w:rsidRPr="00277FDE">
        <w:rPr>
          <w:b/>
          <w:bCs/>
          <w:color w:val="000000"/>
          <w:sz w:val="32"/>
          <w:szCs w:val="32"/>
          <w:lang w:val="en-US"/>
        </w:rPr>
        <w:t>JUDGMENT</w:t>
      </w:r>
    </w:p>
    <w:p w:rsidR="00BB1C4E" w:rsidRPr="00277FDE" w:rsidRDefault="00BB1C4E" w:rsidP="00277FDE">
      <w:pPr>
        <w:spacing w:line="240" w:lineRule="auto"/>
        <w:jc w:val="center"/>
        <w:rPr>
          <w:b/>
          <w:bCs/>
          <w:sz w:val="24"/>
          <w:lang w:val="en-US"/>
        </w:rPr>
      </w:pPr>
    </w:p>
    <w:p w:rsidR="00BB1C4E" w:rsidRPr="00277FDE" w:rsidRDefault="00BB1C4E" w:rsidP="00277FDE">
      <w:pPr>
        <w:spacing w:line="240" w:lineRule="auto"/>
        <w:jc w:val="center"/>
        <w:rPr>
          <w:sz w:val="24"/>
          <w:lang w:val="en-US"/>
        </w:rPr>
      </w:pPr>
      <w:proofErr w:type="gramStart"/>
      <w:r w:rsidRPr="00277FDE">
        <w:rPr>
          <w:sz w:val="24"/>
          <w:lang w:val="en-US"/>
        </w:rPr>
        <w:t>in</w:t>
      </w:r>
      <w:proofErr w:type="gramEnd"/>
    </w:p>
    <w:p w:rsidR="00BB1C4E" w:rsidRPr="00277FDE" w:rsidRDefault="00BB1C4E" w:rsidP="00277FDE">
      <w:pPr>
        <w:spacing w:line="240" w:lineRule="auto"/>
        <w:jc w:val="center"/>
        <w:rPr>
          <w:b/>
          <w:bCs/>
          <w:sz w:val="24"/>
          <w:lang w:val="en-US"/>
        </w:rPr>
      </w:pPr>
    </w:p>
    <w:p w:rsidR="0038255F" w:rsidRPr="00277FDE" w:rsidRDefault="00BB1C4E" w:rsidP="00277FDE">
      <w:pPr>
        <w:spacing w:line="240" w:lineRule="auto"/>
        <w:ind w:left="0"/>
        <w:jc w:val="center"/>
        <w:rPr>
          <w:b/>
          <w:bCs/>
          <w:color w:val="000000"/>
          <w:sz w:val="24"/>
          <w:lang w:val="en-US"/>
        </w:rPr>
      </w:pPr>
      <w:r w:rsidRPr="00277FDE">
        <w:rPr>
          <w:b/>
          <w:bCs/>
          <w:sz w:val="24"/>
          <w:lang w:val="en-US"/>
        </w:rPr>
        <w:t xml:space="preserve">Case </w:t>
      </w:r>
      <w:r w:rsidRPr="00277FDE">
        <w:rPr>
          <w:rFonts w:cs="Arial"/>
          <w:b/>
          <w:caps/>
          <w:sz w:val="24"/>
          <w:lang w:val="en-US"/>
        </w:rPr>
        <w:t>n</w:t>
      </w:r>
      <w:r w:rsidRPr="00277FDE">
        <w:rPr>
          <w:rFonts w:cs="Arial"/>
          <w:b/>
          <w:sz w:val="24"/>
          <w:lang w:val="en-US"/>
        </w:rPr>
        <w:t>o</w:t>
      </w:r>
      <w:r w:rsidR="0038255F" w:rsidRPr="00277FDE">
        <w:rPr>
          <w:b/>
          <w:bCs/>
          <w:color w:val="000000"/>
          <w:sz w:val="24"/>
          <w:lang w:val="en-US"/>
        </w:rPr>
        <w:t xml:space="preserve">. </w:t>
      </w:r>
      <w:r w:rsidR="00B20BDA" w:rsidRPr="00277FDE">
        <w:rPr>
          <w:b/>
          <w:bCs/>
          <w:color w:val="000000"/>
          <w:sz w:val="24"/>
          <w:lang w:val="en-US"/>
        </w:rPr>
        <w:t>KI69</w:t>
      </w:r>
      <w:r w:rsidR="0038255F" w:rsidRPr="00277FDE">
        <w:rPr>
          <w:b/>
          <w:bCs/>
          <w:color w:val="000000"/>
          <w:sz w:val="24"/>
          <w:lang w:val="en-US"/>
        </w:rPr>
        <w:t>/1</w:t>
      </w:r>
      <w:r w:rsidR="00B20BDA" w:rsidRPr="00277FDE">
        <w:rPr>
          <w:b/>
          <w:bCs/>
          <w:color w:val="000000"/>
          <w:sz w:val="24"/>
          <w:lang w:val="en-US"/>
        </w:rPr>
        <w:t>6</w:t>
      </w:r>
    </w:p>
    <w:p w:rsidR="0038255F" w:rsidRPr="00277FDE" w:rsidRDefault="0038255F" w:rsidP="00277FDE">
      <w:pPr>
        <w:spacing w:line="240" w:lineRule="auto"/>
        <w:ind w:left="0"/>
        <w:jc w:val="center"/>
        <w:rPr>
          <w:bCs/>
          <w:color w:val="000000"/>
          <w:sz w:val="24"/>
          <w:lang w:val="en-US"/>
        </w:rPr>
      </w:pPr>
    </w:p>
    <w:p w:rsidR="0038255F" w:rsidRPr="00277FDE" w:rsidRDefault="00BB1C4E" w:rsidP="00277FDE">
      <w:pPr>
        <w:spacing w:line="240" w:lineRule="auto"/>
        <w:ind w:left="0"/>
        <w:jc w:val="center"/>
        <w:rPr>
          <w:bCs/>
          <w:color w:val="000000"/>
          <w:sz w:val="24"/>
          <w:lang w:val="en-US"/>
        </w:rPr>
      </w:pPr>
      <w:r w:rsidRPr="00277FDE">
        <w:rPr>
          <w:sz w:val="24"/>
          <w:lang w:val="en-US"/>
        </w:rPr>
        <w:t>Applicant</w:t>
      </w:r>
    </w:p>
    <w:p w:rsidR="003340D7" w:rsidRPr="00277FDE" w:rsidRDefault="003340D7" w:rsidP="00277FDE">
      <w:pPr>
        <w:spacing w:line="240" w:lineRule="auto"/>
        <w:ind w:left="0"/>
        <w:jc w:val="center"/>
        <w:rPr>
          <w:b/>
          <w:sz w:val="24"/>
          <w:lang w:val="en-US"/>
        </w:rPr>
      </w:pPr>
    </w:p>
    <w:p w:rsidR="00F27E0E" w:rsidRPr="00277FDE" w:rsidRDefault="00B20BDA" w:rsidP="00277FDE">
      <w:pPr>
        <w:spacing w:line="240" w:lineRule="auto"/>
        <w:ind w:left="0"/>
        <w:jc w:val="center"/>
        <w:rPr>
          <w:b/>
          <w:bCs/>
          <w:color w:val="000000"/>
          <w:sz w:val="24"/>
          <w:lang w:val="en-US"/>
        </w:rPr>
      </w:pPr>
      <w:r w:rsidRPr="00277FDE">
        <w:rPr>
          <w:b/>
          <w:sz w:val="24"/>
          <w:lang w:val="en-US"/>
        </w:rPr>
        <w:t xml:space="preserve">Nora </w:t>
      </w:r>
      <w:proofErr w:type="spellStart"/>
      <w:r w:rsidRPr="00277FDE">
        <w:rPr>
          <w:b/>
          <w:sz w:val="24"/>
          <w:lang w:val="en-US"/>
        </w:rPr>
        <w:t>Dukagjini</w:t>
      </w:r>
      <w:proofErr w:type="spellEnd"/>
      <w:r w:rsidR="0052170F" w:rsidRPr="00277FDE">
        <w:rPr>
          <w:b/>
          <w:sz w:val="24"/>
          <w:lang w:val="en-US"/>
        </w:rPr>
        <w:t>-</w:t>
      </w:r>
      <w:r w:rsidRPr="00277FDE">
        <w:rPr>
          <w:b/>
          <w:sz w:val="24"/>
          <w:lang w:val="en-US"/>
        </w:rPr>
        <w:t>Salihu</w:t>
      </w:r>
      <w:r w:rsidRPr="00277FDE" w:rsidDel="00B20BDA">
        <w:rPr>
          <w:b/>
          <w:sz w:val="24"/>
          <w:lang w:val="en-US"/>
        </w:rPr>
        <w:t xml:space="preserve"> </w:t>
      </w:r>
    </w:p>
    <w:p w:rsidR="002E367C" w:rsidRPr="00277FDE" w:rsidRDefault="002E367C" w:rsidP="00277FDE">
      <w:pPr>
        <w:spacing w:line="240" w:lineRule="auto"/>
        <w:ind w:left="0"/>
        <w:jc w:val="center"/>
        <w:rPr>
          <w:b/>
          <w:bCs/>
          <w:color w:val="000000"/>
          <w:sz w:val="24"/>
          <w:lang w:val="en-US"/>
        </w:rPr>
      </w:pPr>
    </w:p>
    <w:p w:rsidR="00B57BEF" w:rsidRPr="00277FDE" w:rsidRDefault="00B57BEF" w:rsidP="00277FDE">
      <w:pPr>
        <w:spacing w:line="240" w:lineRule="auto"/>
        <w:ind w:left="0"/>
        <w:jc w:val="center"/>
        <w:rPr>
          <w:b/>
          <w:bCs/>
          <w:color w:val="000000"/>
          <w:sz w:val="24"/>
          <w:lang w:val="en-US"/>
        </w:rPr>
      </w:pPr>
    </w:p>
    <w:p w:rsidR="00A45022" w:rsidRPr="00277FDE" w:rsidRDefault="00BB1C4E" w:rsidP="00277FDE">
      <w:pPr>
        <w:spacing w:line="240" w:lineRule="auto"/>
        <w:jc w:val="center"/>
        <w:rPr>
          <w:b/>
          <w:bCs/>
          <w:color w:val="000000"/>
          <w:sz w:val="24"/>
          <w:lang w:val="en-US"/>
        </w:rPr>
      </w:pPr>
      <w:r w:rsidRPr="00277FDE">
        <w:rPr>
          <w:b/>
          <w:sz w:val="24"/>
          <w:lang w:val="en-US"/>
        </w:rPr>
        <w:t xml:space="preserve">Constitutional review of </w:t>
      </w:r>
      <w:r w:rsidRPr="00277FDE">
        <w:rPr>
          <w:rFonts w:eastAsia="Calibri"/>
          <w:b/>
          <w:color w:val="000000"/>
          <w:sz w:val="24"/>
          <w:lang w:val="en-US"/>
        </w:rPr>
        <w:t xml:space="preserve">Judgment </w:t>
      </w:r>
      <w:r w:rsidR="00B20BDA" w:rsidRPr="00277FDE">
        <w:rPr>
          <w:rFonts w:eastAsia="Calibri" w:cs="NimbusRomNo9L"/>
          <w:b/>
          <w:sz w:val="24"/>
          <w:lang w:val="en-US"/>
        </w:rPr>
        <w:t>Rev.</w:t>
      </w:r>
      <w:r w:rsidRPr="00277FDE">
        <w:rPr>
          <w:rFonts w:eastAsia="Calibri" w:cs="NimbusRomNo9L"/>
          <w:b/>
          <w:sz w:val="24"/>
          <w:lang w:val="en-US"/>
        </w:rPr>
        <w:t xml:space="preserve"> No</w:t>
      </w:r>
      <w:r w:rsidR="00B20BDA" w:rsidRPr="00277FDE">
        <w:rPr>
          <w:rFonts w:eastAsia="Calibri" w:cs="NimbusRomNo9L"/>
          <w:b/>
          <w:sz w:val="24"/>
          <w:lang w:val="en-US"/>
        </w:rPr>
        <w:t>.</w:t>
      </w:r>
      <w:r w:rsidRPr="00277FDE">
        <w:rPr>
          <w:rFonts w:eastAsia="Calibri" w:cs="NimbusRomNo9L"/>
          <w:b/>
          <w:sz w:val="24"/>
          <w:lang w:val="en-US"/>
        </w:rPr>
        <w:t xml:space="preserve"> </w:t>
      </w:r>
      <w:r w:rsidR="00B20BDA" w:rsidRPr="00277FDE">
        <w:rPr>
          <w:rFonts w:eastAsia="Calibri" w:cs="NimbusRomNo9L"/>
          <w:b/>
          <w:sz w:val="24"/>
          <w:lang w:val="en-US"/>
        </w:rPr>
        <w:t>295/2015</w:t>
      </w:r>
      <w:r w:rsidR="0055426E" w:rsidRPr="00277FDE">
        <w:rPr>
          <w:rFonts w:eastAsia="Calibri"/>
          <w:b/>
          <w:color w:val="000000"/>
          <w:sz w:val="24"/>
          <w:lang w:val="en-US"/>
        </w:rPr>
        <w:t xml:space="preserve"> </w:t>
      </w:r>
      <w:r w:rsidRPr="00277FDE">
        <w:rPr>
          <w:rFonts w:eastAsia="Calibri"/>
          <w:b/>
          <w:color w:val="000000"/>
          <w:sz w:val="24"/>
          <w:lang w:val="en-US"/>
        </w:rPr>
        <w:t>of the Supreme Court of</w:t>
      </w:r>
      <w:r w:rsidR="0055426E" w:rsidRPr="00277FDE">
        <w:rPr>
          <w:rFonts w:eastAsia="Calibri"/>
          <w:b/>
          <w:color w:val="000000"/>
          <w:sz w:val="24"/>
          <w:lang w:val="en-US"/>
        </w:rPr>
        <w:t xml:space="preserve"> Kosov</w:t>
      </w:r>
      <w:r w:rsidRPr="00277FDE">
        <w:rPr>
          <w:rFonts w:eastAsia="Calibri"/>
          <w:b/>
          <w:color w:val="000000"/>
          <w:sz w:val="24"/>
          <w:lang w:val="en-US"/>
        </w:rPr>
        <w:t>o</w:t>
      </w:r>
      <w:r w:rsidR="0055426E" w:rsidRPr="00277FDE">
        <w:rPr>
          <w:rFonts w:eastAsia="Calibri"/>
          <w:b/>
          <w:color w:val="000000"/>
          <w:sz w:val="24"/>
          <w:lang w:val="en-US"/>
        </w:rPr>
        <w:t xml:space="preserve"> </w:t>
      </w:r>
      <w:r w:rsidR="00F8789E" w:rsidRPr="00277FDE">
        <w:rPr>
          <w:rFonts w:eastAsia="Calibri"/>
          <w:b/>
          <w:color w:val="000000"/>
          <w:sz w:val="24"/>
          <w:lang w:val="en-US"/>
        </w:rPr>
        <w:t>of 09 December 2015</w:t>
      </w:r>
    </w:p>
    <w:p w:rsidR="00C44720" w:rsidRPr="00277FDE" w:rsidRDefault="00C44720" w:rsidP="00277FDE">
      <w:pPr>
        <w:spacing w:line="240" w:lineRule="auto"/>
        <w:ind w:left="0"/>
        <w:rPr>
          <w:b/>
          <w:bCs/>
          <w:color w:val="000000"/>
          <w:sz w:val="24"/>
          <w:lang w:val="en-US"/>
        </w:rPr>
      </w:pPr>
    </w:p>
    <w:p w:rsidR="0038255F" w:rsidRPr="00277FDE" w:rsidRDefault="0038255F" w:rsidP="00277FDE">
      <w:pPr>
        <w:tabs>
          <w:tab w:val="left" w:pos="720"/>
        </w:tabs>
        <w:spacing w:line="240" w:lineRule="auto"/>
        <w:ind w:left="0"/>
        <w:rPr>
          <w:bCs/>
          <w:color w:val="000000"/>
          <w:sz w:val="24"/>
          <w:lang w:val="en-US"/>
        </w:rPr>
      </w:pPr>
    </w:p>
    <w:p w:rsidR="00563CE2" w:rsidRPr="00277FDE" w:rsidRDefault="00563CE2" w:rsidP="00277FDE">
      <w:pPr>
        <w:spacing w:line="240" w:lineRule="auto"/>
        <w:jc w:val="center"/>
        <w:rPr>
          <w:rFonts w:eastAsia="SimSun"/>
          <w:b/>
          <w:color w:val="3C3F41"/>
          <w:sz w:val="24"/>
          <w:lang w:val="en-US"/>
        </w:rPr>
      </w:pPr>
      <w:r w:rsidRPr="00277FDE">
        <w:rPr>
          <w:rFonts w:eastAsia="SimSun"/>
          <w:b/>
          <w:color w:val="3C3F41"/>
          <w:sz w:val="24"/>
          <w:lang w:val="en-US"/>
        </w:rPr>
        <w:t>THE CO</w:t>
      </w:r>
      <w:r w:rsidRPr="00277FDE">
        <w:rPr>
          <w:rFonts w:eastAsia="SimSun"/>
          <w:b/>
          <w:color w:val="222425"/>
          <w:sz w:val="24"/>
          <w:lang w:val="en-US"/>
        </w:rPr>
        <w:t>NS</w:t>
      </w:r>
      <w:r w:rsidRPr="00277FDE">
        <w:rPr>
          <w:rFonts w:eastAsia="SimSun"/>
          <w:b/>
          <w:color w:val="3C3F41"/>
          <w:sz w:val="24"/>
          <w:lang w:val="en-US"/>
        </w:rPr>
        <w:t>T</w:t>
      </w:r>
      <w:r w:rsidRPr="00277FDE">
        <w:rPr>
          <w:rFonts w:eastAsia="SimSun"/>
          <w:b/>
          <w:color w:val="222425"/>
          <w:sz w:val="24"/>
          <w:lang w:val="en-US"/>
        </w:rPr>
        <w:t>I</w:t>
      </w:r>
      <w:r w:rsidRPr="00277FDE">
        <w:rPr>
          <w:rFonts w:eastAsia="SimSun"/>
          <w:b/>
          <w:color w:val="3C3F41"/>
          <w:sz w:val="24"/>
          <w:lang w:val="en-US"/>
        </w:rPr>
        <w:t>T</w:t>
      </w:r>
      <w:r w:rsidRPr="00277FDE">
        <w:rPr>
          <w:rFonts w:eastAsia="SimSun"/>
          <w:b/>
          <w:color w:val="222425"/>
          <w:sz w:val="24"/>
          <w:lang w:val="en-US"/>
        </w:rPr>
        <w:t>U</w:t>
      </w:r>
      <w:r w:rsidRPr="00277FDE">
        <w:rPr>
          <w:rFonts w:eastAsia="SimSun"/>
          <w:b/>
          <w:color w:val="3C3F41"/>
          <w:sz w:val="24"/>
          <w:lang w:val="en-US"/>
        </w:rPr>
        <w:t>TI</w:t>
      </w:r>
      <w:r w:rsidRPr="00277FDE">
        <w:rPr>
          <w:rFonts w:eastAsia="SimSun"/>
          <w:b/>
          <w:color w:val="222425"/>
          <w:sz w:val="24"/>
          <w:lang w:val="en-US"/>
        </w:rPr>
        <w:t>ONAL COURT OF THE REPUBLIC O</w:t>
      </w:r>
      <w:r w:rsidRPr="00277FDE">
        <w:rPr>
          <w:rFonts w:eastAsia="SimSun"/>
          <w:b/>
          <w:color w:val="3C3F41"/>
          <w:sz w:val="24"/>
          <w:lang w:val="en-US"/>
        </w:rPr>
        <w:t>F KOSOVO</w:t>
      </w:r>
    </w:p>
    <w:p w:rsidR="00563CE2" w:rsidRPr="00277FDE" w:rsidRDefault="00563CE2" w:rsidP="00277FDE">
      <w:pPr>
        <w:spacing w:line="240" w:lineRule="auto"/>
        <w:jc w:val="center"/>
        <w:rPr>
          <w:rFonts w:eastAsia="SimSun"/>
          <w:b/>
          <w:color w:val="3C3F41"/>
          <w:sz w:val="24"/>
          <w:lang w:val="en-US"/>
        </w:rPr>
      </w:pPr>
    </w:p>
    <w:p w:rsidR="00563CE2" w:rsidRPr="00277FDE" w:rsidRDefault="00563CE2" w:rsidP="00277FDE">
      <w:pPr>
        <w:autoSpaceDE w:val="0"/>
        <w:autoSpaceDN w:val="0"/>
        <w:adjustRightInd w:val="0"/>
        <w:spacing w:line="240" w:lineRule="auto"/>
        <w:jc w:val="left"/>
        <w:rPr>
          <w:color w:val="1A1A1A"/>
          <w:sz w:val="24"/>
          <w:lang w:val="en-US"/>
        </w:rPr>
      </w:pPr>
    </w:p>
    <w:p w:rsidR="00563CE2" w:rsidRPr="00277FDE" w:rsidRDefault="00563CE2" w:rsidP="00277FDE">
      <w:pPr>
        <w:autoSpaceDE w:val="0"/>
        <w:autoSpaceDN w:val="0"/>
        <w:adjustRightInd w:val="0"/>
        <w:spacing w:line="240" w:lineRule="auto"/>
        <w:ind w:left="0"/>
        <w:jc w:val="left"/>
        <w:rPr>
          <w:color w:val="1A1A1A"/>
          <w:sz w:val="24"/>
          <w:lang w:val="en-US"/>
        </w:rPr>
      </w:pPr>
      <w:r w:rsidRPr="00277FDE">
        <w:rPr>
          <w:color w:val="1A1A1A"/>
          <w:sz w:val="24"/>
          <w:lang w:val="en-US"/>
        </w:rPr>
        <w:t>Composed of</w:t>
      </w:r>
    </w:p>
    <w:p w:rsidR="00563CE2" w:rsidRPr="00277FDE" w:rsidRDefault="00563CE2" w:rsidP="00277FDE">
      <w:pPr>
        <w:tabs>
          <w:tab w:val="left" w:pos="1425"/>
        </w:tabs>
        <w:spacing w:line="240" w:lineRule="auto"/>
        <w:ind w:left="0"/>
        <w:rPr>
          <w:color w:val="1A1A1A"/>
          <w:sz w:val="24"/>
          <w:lang w:val="en-US"/>
        </w:rPr>
      </w:pPr>
    </w:p>
    <w:p w:rsidR="00563CE2" w:rsidRPr="00277FDE" w:rsidRDefault="00563CE2" w:rsidP="00277FDE">
      <w:pPr>
        <w:tabs>
          <w:tab w:val="left" w:pos="1425"/>
        </w:tabs>
        <w:spacing w:line="240" w:lineRule="auto"/>
        <w:ind w:left="0"/>
        <w:rPr>
          <w:color w:val="1A1A1A"/>
          <w:sz w:val="24"/>
          <w:lang w:val="en-US"/>
        </w:rPr>
      </w:pPr>
      <w:r w:rsidRPr="00277FDE">
        <w:rPr>
          <w:color w:val="1A1A1A"/>
          <w:sz w:val="24"/>
          <w:lang w:val="en-US"/>
        </w:rPr>
        <w:t>Arta Rama-</w:t>
      </w:r>
      <w:proofErr w:type="spellStart"/>
      <w:r w:rsidRPr="00277FDE">
        <w:rPr>
          <w:color w:val="1A1A1A"/>
          <w:sz w:val="24"/>
          <w:lang w:val="en-US"/>
        </w:rPr>
        <w:t>Hajrizi</w:t>
      </w:r>
      <w:proofErr w:type="spellEnd"/>
      <w:r w:rsidRPr="00277FDE">
        <w:rPr>
          <w:color w:val="1A1A1A"/>
          <w:sz w:val="24"/>
          <w:lang w:val="en-US"/>
        </w:rPr>
        <w:t xml:space="preserve">, President </w:t>
      </w:r>
    </w:p>
    <w:p w:rsidR="00563CE2" w:rsidRPr="00277FDE" w:rsidRDefault="00563CE2" w:rsidP="00277FDE">
      <w:pPr>
        <w:tabs>
          <w:tab w:val="left" w:pos="1425"/>
        </w:tabs>
        <w:spacing w:line="240" w:lineRule="auto"/>
        <w:ind w:left="0"/>
        <w:rPr>
          <w:color w:val="1A1A1A"/>
          <w:sz w:val="24"/>
          <w:lang w:val="en-US"/>
        </w:rPr>
      </w:pPr>
      <w:r w:rsidRPr="00277FDE">
        <w:rPr>
          <w:color w:val="1A1A1A"/>
          <w:sz w:val="24"/>
          <w:lang w:val="en-US"/>
        </w:rPr>
        <w:t xml:space="preserve">Ivan </w:t>
      </w:r>
      <w:proofErr w:type="spellStart"/>
      <w:r w:rsidRPr="00277FDE">
        <w:rPr>
          <w:color w:val="1A1A1A"/>
          <w:sz w:val="24"/>
          <w:lang w:val="en-US"/>
        </w:rPr>
        <w:t>Čukalović</w:t>
      </w:r>
      <w:proofErr w:type="spellEnd"/>
      <w:r w:rsidRPr="00277FDE">
        <w:rPr>
          <w:color w:val="1A1A1A"/>
          <w:sz w:val="24"/>
          <w:lang w:val="en-US"/>
        </w:rPr>
        <w:t xml:space="preserve">, Deputy-President </w:t>
      </w:r>
    </w:p>
    <w:p w:rsidR="00563CE2" w:rsidRPr="00277FDE" w:rsidRDefault="00563CE2" w:rsidP="00277FDE">
      <w:pPr>
        <w:tabs>
          <w:tab w:val="left" w:pos="1425"/>
        </w:tabs>
        <w:spacing w:line="240" w:lineRule="auto"/>
        <w:ind w:left="0"/>
        <w:rPr>
          <w:color w:val="1A1A1A"/>
          <w:sz w:val="24"/>
          <w:lang w:val="en-US"/>
        </w:rPr>
      </w:pPr>
      <w:r w:rsidRPr="00277FDE">
        <w:rPr>
          <w:color w:val="1A1A1A"/>
          <w:sz w:val="24"/>
          <w:lang w:val="en-US"/>
        </w:rPr>
        <w:t xml:space="preserve">Altay Suroy, Judge </w:t>
      </w:r>
    </w:p>
    <w:p w:rsidR="00563CE2" w:rsidRPr="00277FDE" w:rsidRDefault="00563CE2" w:rsidP="00277FDE">
      <w:pPr>
        <w:tabs>
          <w:tab w:val="left" w:pos="1425"/>
        </w:tabs>
        <w:spacing w:line="240" w:lineRule="auto"/>
        <w:ind w:left="0"/>
        <w:rPr>
          <w:color w:val="1A1A1A"/>
          <w:sz w:val="24"/>
          <w:lang w:val="en-US"/>
        </w:rPr>
      </w:pPr>
      <w:r w:rsidRPr="00277FDE">
        <w:rPr>
          <w:color w:val="1A1A1A"/>
          <w:sz w:val="24"/>
          <w:lang w:val="en-US"/>
        </w:rPr>
        <w:t xml:space="preserve">Almiro Rodrigues, Judge </w:t>
      </w:r>
    </w:p>
    <w:p w:rsidR="00563CE2" w:rsidRPr="00277FDE" w:rsidRDefault="00563CE2" w:rsidP="00277FDE">
      <w:pPr>
        <w:tabs>
          <w:tab w:val="left" w:pos="1425"/>
        </w:tabs>
        <w:spacing w:line="240" w:lineRule="auto"/>
        <w:ind w:left="0"/>
        <w:rPr>
          <w:color w:val="1A1A1A"/>
          <w:sz w:val="24"/>
          <w:lang w:val="en-US"/>
        </w:rPr>
      </w:pPr>
      <w:r w:rsidRPr="00277FDE">
        <w:rPr>
          <w:color w:val="1A1A1A"/>
          <w:sz w:val="24"/>
          <w:lang w:val="en-US"/>
        </w:rPr>
        <w:t xml:space="preserve">Snezhana Botusharova, Judge </w:t>
      </w:r>
    </w:p>
    <w:p w:rsidR="00563CE2" w:rsidRPr="00277FDE" w:rsidRDefault="00563CE2" w:rsidP="00277FDE">
      <w:pPr>
        <w:tabs>
          <w:tab w:val="left" w:pos="1425"/>
        </w:tabs>
        <w:spacing w:line="240" w:lineRule="auto"/>
        <w:ind w:left="0"/>
        <w:rPr>
          <w:sz w:val="24"/>
          <w:lang w:val="en-US"/>
        </w:rPr>
      </w:pPr>
      <w:r w:rsidRPr="00277FDE">
        <w:rPr>
          <w:sz w:val="24"/>
          <w:lang w:val="en-US"/>
        </w:rPr>
        <w:t>Bekim Sejdiu, Judge</w:t>
      </w:r>
    </w:p>
    <w:p w:rsidR="00563CE2" w:rsidRPr="00277FDE" w:rsidRDefault="00563CE2" w:rsidP="00277FDE">
      <w:pPr>
        <w:tabs>
          <w:tab w:val="left" w:pos="1425"/>
        </w:tabs>
        <w:spacing w:line="240" w:lineRule="auto"/>
        <w:ind w:left="0"/>
        <w:rPr>
          <w:sz w:val="24"/>
          <w:lang w:val="en-US"/>
        </w:rPr>
      </w:pPr>
      <w:r w:rsidRPr="00277FDE">
        <w:rPr>
          <w:sz w:val="24"/>
          <w:lang w:val="en-US"/>
        </w:rPr>
        <w:t xml:space="preserve">Selvete </w:t>
      </w:r>
      <w:proofErr w:type="spellStart"/>
      <w:r w:rsidRPr="00277FDE">
        <w:rPr>
          <w:sz w:val="24"/>
          <w:lang w:val="en-US"/>
        </w:rPr>
        <w:t>Gërxhaliu</w:t>
      </w:r>
      <w:proofErr w:type="spellEnd"/>
      <w:r w:rsidRPr="00277FDE">
        <w:rPr>
          <w:sz w:val="24"/>
          <w:lang w:val="en-US"/>
        </w:rPr>
        <w:t>-Krasniqi, Judge and</w:t>
      </w:r>
    </w:p>
    <w:p w:rsidR="00563CE2" w:rsidRPr="00277FDE" w:rsidRDefault="00563CE2" w:rsidP="00277FDE">
      <w:pPr>
        <w:tabs>
          <w:tab w:val="left" w:pos="1425"/>
        </w:tabs>
        <w:spacing w:line="240" w:lineRule="auto"/>
        <w:ind w:left="0"/>
        <w:rPr>
          <w:sz w:val="24"/>
          <w:lang w:val="en-US"/>
        </w:rPr>
      </w:pPr>
      <w:r w:rsidRPr="00277FDE">
        <w:rPr>
          <w:sz w:val="24"/>
          <w:lang w:val="en-US"/>
        </w:rPr>
        <w:t>Gresa Caka-</w:t>
      </w:r>
      <w:proofErr w:type="spellStart"/>
      <w:r w:rsidRPr="00277FDE">
        <w:rPr>
          <w:sz w:val="24"/>
          <w:lang w:val="en-US"/>
        </w:rPr>
        <w:t>Nimani</w:t>
      </w:r>
      <w:proofErr w:type="spellEnd"/>
      <w:r w:rsidRPr="00277FDE">
        <w:rPr>
          <w:sz w:val="24"/>
          <w:lang w:val="en-US"/>
        </w:rPr>
        <w:t>, Judge.</w:t>
      </w:r>
    </w:p>
    <w:p w:rsidR="00563CE2" w:rsidRPr="00277FDE" w:rsidRDefault="00563CE2" w:rsidP="00277FDE">
      <w:pPr>
        <w:spacing w:line="240" w:lineRule="auto"/>
        <w:ind w:left="540" w:hanging="540"/>
        <w:rPr>
          <w:bCs/>
          <w:sz w:val="24"/>
          <w:lang w:val="en-US"/>
        </w:rPr>
      </w:pPr>
    </w:p>
    <w:p w:rsidR="009926DB" w:rsidRPr="00277FDE" w:rsidRDefault="009926DB" w:rsidP="00277FDE">
      <w:pPr>
        <w:spacing w:line="240" w:lineRule="auto"/>
        <w:ind w:left="0"/>
        <w:rPr>
          <w:b/>
          <w:sz w:val="24"/>
          <w:lang w:val="en-US"/>
        </w:rPr>
      </w:pPr>
    </w:p>
    <w:p w:rsidR="00BB1C4E" w:rsidRPr="00277FDE" w:rsidRDefault="00BB1C4E" w:rsidP="00277FDE">
      <w:pPr>
        <w:spacing w:line="240" w:lineRule="auto"/>
        <w:ind w:left="0"/>
        <w:rPr>
          <w:b/>
          <w:sz w:val="24"/>
          <w:lang w:val="en-US"/>
        </w:rPr>
      </w:pPr>
      <w:r w:rsidRPr="00277FDE">
        <w:rPr>
          <w:b/>
          <w:sz w:val="24"/>
          <w:lang w:val="en-US"/>
        </w:rPr>
        <w:t>Applicant</w:t>
      </w:r>
    </w:p>
    <w:p w:rsidR="0038255F" w:rsidRPr="00277FDE" w:rsidRDefault="0038255F" w:rsidP="00277FDE">
      <w:pPr>
        <w:spacing w:line="240" w:lineRule="auto"/>
        <w:ind w:left="0" w:right="20"/>
        <w:rPr>
          <w:rFonts w:cs="Arial"/>
          <w:b/>
          <w:color w:val="000000"/>
          <w:sz w:val="24"/>
          <w:lang w:val="en-US"/>
        </w:rPr>
      </w:pPr>
    </w:p>
    <w:p w:rsidR="0054009F" w:rsidRPr="00277FDE" w:rsidRDefault="00BB1C4E" w:rsidP="00277FDE">
      <w:pPr>
        <w:numPr>
          <w:ilvl w:val="0"/>
          <w:numId w:val="1"/>
        </w:numPr>
        <w:tabs>
          <w:tab w:val="clear" w:pos="720"/>
        </w:tabs>
        <w:spacing w:line="240" w:lineRule="auto"/>
        <w:ind w:left="630" w:hanging="630"/>
        <w:rPr>
          <w:sz w:val="24"/>
          <w:lang w:val="en-US"/>
        </w:rPr>
      </w:pPr>
      <w:r w:rsidRPr="00277FDE">
        <w:rPr>
          <w:bCs/>
          <w:iCs/>
          <w:sz w:val="24"/>
          <w:lang w:val="en-US"/>
        </w:rPr>
        <w:t xml:space="preserve">The Referral was </w:t>
      </w:r>
      <w:r w:rsidRPr="00277FDE">
        <w:rPr>
          <w:rFonts w:cs="Arial"/>
          <w:color w:val="000000"/>
          <w:sz w:val="24"/>
          <w:lang w:val="en-US"/>
        </w:rPr>
        <w:t>submitted by</w:t>
      </w:r>
      <w:r w:rsidRPr="00277FDE">
        <w:rPr>
          <w:sz w:val="24"/>
          <w:lang w:val="en-US"/>
        </w:rPr>
        <w:t xml:space="preserve"> </w:t>
      </w:r>
      <w:r w:rsidR="00B20BDA" w:rsidRPr="00277FDE">
        <w:rPr>
          <w:sz w:val="24"/>
          <w:lang w:val="en-US"/>
        </w:rPr>
        <w:t xml:space="preserve">Nora </w:t>
      </w:r>
      <w:proofErr w:type="spellStart"/>
      <w:r w:rsidR="00B20BDA" w:rsidRPr="00277FDE">
        <w:rPr>
          <w:sz w:val="24"/>
          <w:lang w:val="en-US"/>
        </w:rPr>
        <w:t>Dukagjini</w:t>
      </w:r>
      <w:proofErr w:type="spellEnd"/>
      <w:r w:rsidR="000C0346" w:rsidRPr="00277FDE">
        <w:rPr>
          <w:sz w:val="24"/>
          <w:lang w:val="en-US"/>
        </w:rPr>
        <w:t>-</w:t>
      </w:r>
      <w:r w:rsidR="00B20BDA" w:rsidRPr="00277FDE">
        <w:rPr>
          <w:sz w:val="24"/>
          <w:lang w:val="en-US"/>
        </w:rPr>
        <w:t xml:space="preserve">Salihu </w:t>
      </w:r>
      <w:r w:rsidRPr="00277FDE">
        <w:rPr>
          <w:sz w:val="24"/>
          <w:lang w:val="en-US"/>
        </w:rPr>
        <w:t xml:space="preserve">from </w:t>
      </w:r>
      <w:proofErr w:type="spellStart"/>
      <w:r w:rsidRPr="00277FDE">
        <w:rPr>
          <w:sz w:val="24"/>
          <w:lang w:val="en-US"/>
        </w:rPr>
        <w:t>Prishtina</w:t>
      </w:r>
      <w:proofErr w:type="spellEnd"/>
      <w:r w:rsidR="00CA0F6F" w:rsidRPr="00277FDE">
        <w:rPr>
          <w:sz w:val="24"/>
          <w:lang w:val="en-US"/>
        </w:rPr>
        <w:t xml:space="preserve"> </w:t>
      </w:r>
      <w:r w:rsidR="00922E68" w:rsidRPr="00277FDE">
        <w:rPr>
          <w:sz w:val="24"/>
          <w:lang w:val="en-US"/>
        </w:rPr>
        <w:t>(</w:t>
      </w:r>
      <w:r w:rsidRPr="00277FDE">
        <w:rPr>
          <w:rFonts w:cs="Arial"/>
          <w:color w:val="000000"/>
          <w:sz w:val="24"/>
          <w:lang w:val="en-US"/>
        </w:rPr>
        <w:t>hereinafter: the Applicant</w:t>
      </w:r>
      <w:r w:rsidR="00922E68" w:rsidRPr="00277FDE">
        <w:rPr>
          <w:sz w:val="24"/>
          <w:lang w:val="en-US"/>
        </w:rPr>
        <w:t>)</w:t>
      </w:r>
      <w:r w:rsidR="008216D2" w:rsidRPr="00277FDE">
        <w:rPr>
          <w:sz w:val="24"/>
          <w:lang w:val="en-US"/>
        </w:rPr>
        <w:t>, and she is</w:t>
      </w:r>
      <w:r w:rsidR="00B20BDA" w:rsidRPr="00277FDE">
        <w:rPr>
          <w:sz w:val="24"/>
          <w:lang w:val="en-US"/>
        </w:rPr>
        <w:t xml:space="preserve"> </w:t>
      </w:r>
      <w:r w:rsidRPr="00277FDE">
        <w:rPr>
          <w:sz w:val="24"/>
          <w:lang w:val="en-US"/>
        </w:rPr>
        <w:t xml:space="preserve">represented by </w:t>
      </w:r>
      <w:proofErr w:type="spellStart"/>
      <w:r w:rsidR="008216D2" w:rsidRPr="00277FDE">
        <w:rPr>
          <w:sz w:val="24"/>
          <w:lang w:val="en-US"/>
        </w:rPr>
        <w:t>Petrit</w:t>
      </w:r>
      <w:proofErr w:type="spellEnd"/>
      <w:r w:rsidR="008216D2" w:rsidRPr="00277FDE">
        <w:rPr>
          <w:sz w:val="24"/>
          <w:lang w:val="en-US"/>
        </w:rPr>
        <w:t xml:space="preserve"> </w:t>
      </w:r>
      <w:proofErr w:type="spellStart"/>
      <w:r w:rsidR="008216D2" w:rsidRPr="00277FDE">
        <w:rPr>
          <w:sz w:val="24"/>
          <w:lang w:val="en-US"/>
        </w:rPr>
        <w:t>Prekazi</w:t>
      </w:r>
      <w:proofErr w:type="spellEnd"/>
      <w:r w:rsidR="008216D2" w:rsidRPr="00277FDE">
        <w:rPr>
          <w:sz w:val="24"/>
          <w:lang w:val="en-US"/>
        </w:rPr>
        <w:t xml:space="preserve">, </w:t>
      </w:r>
      <w:r w:rsidR="001340E3" w:rsidRPr="00277FDE">
        <w:rPr>
          <w:sz w:val="24"/>
          <w:lang w:val="en-US"/>
        </w:rPr>
        <w:t xml:space="preserve">a </w:t>
      </w:r>
      <w:r w:rsidRPr="00277FDE">
        <w:rPr>
          <w:sz w:val="24"/>
          <w:lang w:val="en-US"/>
        </w:rPr>
        <w:t>lawyer</w:t>
      </w:r>
      <w:r w:rsidR="008216D2" w:rsidRPr="00277FDE">
        <w:rPr>
          <w:sz w:val="24"/>
          <w:lang w:val="en-US"/>
        </w:rPr>
        <w:t xml:space="preserve"> practicing in </w:t>
      </w:r>
      <w:proofErr w:type="spellStart"/>
      <w:r w:rsidR="008216D2" w:rsidRPr="00277FDE">
        <w:rPr>
          <w:sz w:val="24"/>
          <w:lang w:val="en-US"/>
        </w:rPr>
        <w:t>Prishtina</w:t>
      </w:r>
      <w:proofErr w:type="spellEnd"/>
      <w:r w:rsidR="00887EF8" w:rsidRPr="00277FDE">
        <w:rPr>
          <w:sz w:val="24"/>
          <w:lang w:val="en-US"/>
        </w:rPr>
        <w:t>.</w:t>
      </w:r>
    </w:p>
    <w:p w:rsidR="00DF0BDF" w:rsidRPr="00277FDE" w:rsidRDefault="00B57BEF" w:rsidP="00277FDE">
      <w:pPr>
        <w:spacing w:line="240" w:lineRule="auto"/>
        <w:ind w:left="0"/>
        <w:jc w:val="left"/>
        <w:rPr>
          <w:b/>
          <w:sz w:val="24"/>
          <w:lang w:val="en-US"/>
        </w:rPr>
      </w:pPr>
      <w:r w:rsidRPr="00277FDE">
        <w:rPr>
          <w:sz w:val="24"/>
          <w:lang w:val="en-US"/>
        </w:rPr>
        <w:br w:type="page"/>
      </w:r>
      <w:r w:rsidR="00BB1C4E" w:rsidRPr="00277FDE">
        <w:rPr>
          <w:rFonts w:cs="Arial"/>
          <w:b/>
          <w:sz w:val="24"/>
          <w:lang w:val="en-US"/>
        </w:rPr>
        <w:lastRenderedPageBreak/>
        <w:t>Challenged decision</w:t>
      </w:r>
    </w:p>
    <w:p w:rsidR="0038255F" w:rsidRPr="00277FDE" w:rsidRDefault="0038255F" w:rsidP="00277FDE">
      <w:pPr>
        <w:tabs>
          <w:tab w:val="num" w:pos="360"/>
          <w:tab w:val="left" w:pos="540"/>
        </w:tabs>
        <w:spacing w:line="240" w:lineRule="auto"/>
        <w:ind w:left="360" w:hanging="360"/>
        <w:rPr>
          <w:color w:val="000000"/>
          <w:sz w:val="24"/>
          <w:lang w:val="en-US"/>
        </w:rPr>
      </w:pPr>
    </w:p>
    <w:p w:rsidR="00400A64" w:rsidRPr="00277FDE" w:rsidRDefault="00BB1C4E" w:rsidP="00277FDE">
      <w:pPr>
        <w:numPr>
          <w:ilvl w:val="0"/>
          <w:numId w:val="1"/>
        </w:numPr>
        <w:tabs>
          <w:tab w:val="clear" w:pos="720"/>
        </w:tabs>
        <w:spacing w:line="240" w:lineRule="auto"/>
        <w:ind w:left="630" w:hanging="630"/>
        <w:rPr>
          <w:rFonts w:eastAsia="Calibri"/>
          <w:color w:val="000000"/>
          <w:sz w:val="24"/>
          <w:lang w:val="en-US"/>
        </w:rPr>
      </w:pPr>
      <w:r w:rsidRPr="00277FDE">
        <w:rPr>
          <w:sz w:val="24"/>
          <w:lang w:val="en-US"/>
        </w:rPr>
        <w:t xml:space="preserve">The </w:t>
      </w:r>
      <w:r w:rsidRPr="00277FDE">
        <w:rPr>
          <w:bCs/>
          <w:iCs/>
          <w:sz w:val="24"/>
          <w:lang w:val="en-US"/>
        </w:rPr>
        <w:t>Applica</w:t>
      </w:r>
      <w:r w:rsidRPr="00277FDE">
        <w:rPr>
          <w:rFonts w:eastAsia="Calibri"/>
          <w:bCs/>
          <w:iCs/>
          <w:color w:val="000000"/>
          <w:sz w:val="24"/>
          <w:lang w:val="en-US"/>
        </w:rPr>
        <w:t>nt</w:t>
      </w:r>
      <w:r w:rsidRPr="00277FDE">
        <w:rPr>
          <w:rFonts w:eastAsia="Calibri"/>
          <w:color w:val="000000"/>
          <w:sz w:val="24"/>
          <w:lang w:val="en-US"/>
        </w:rPr>
        <w:t xml:space="preserve"> challenges Judgment</w:t>
      </w:r>
      <w:r w:rsidR="00CA0F6F" w:rsidRPr="00277FDE">
        <w:rPr>
          <w:rFonts w:eastAsia="Calibri"/>
          <w:color w:val="000000"/>
          <w:sz w:val="24"/>
          <w:lang w:val="en-US"/>
        </w:rPr>
        <w:t xml:space="preserve"> </w:t>
      </w:r>
      <w:r w:rsidR="00B20BDA" w:rsidRPr="00277FDE">
        <w:rPr>
          <w:rFonts w:eastAsia="Calibri"/>
          <w:color w:val="000000"/>
          <w:sz w:val="24"/>
          <w:lang w:val="en-US"/>
        </w:rPr>
        <w:t>Rev.</w:t>
      </w:r>
      <w:r w:rsidRPr="00277FDE">
        <w:rPr>
          <w:rFonts w:eastAsia="Calibri"/>
          <w:color w:val="000000"/>
          <w:sz w:val="24"/>
          <w:lang w:val="en-US"/>
        </w:rPr>
        <w:t xml:space="preserve"> No</w:t>
      </w:r>
      <w:r w:rsidR="00B20BDA" w:rsidRPr="00277FDE">
        <w:rPr>
          <w:rFonts w:eastAsia="Calibri"/>
          <w:color w:val="000000"/>
          <w:sz w:val="24"/>
          <w:lang w:val="en-US"/>
        </w:rPr>
        <w:t>.</w:t>
      </w:r>
      <w:r w:rsidRPr="00277FDE">
        <w:rPr>
          <w:rFonts w:eastAsia="Calibri"/>
          <w:color w:val="000000"/>
          <w:sz w:val="24"/>
          <w:lang w:val="en-US"/>
        </w:rPr>
        <w:t xml:space="preserve"> </w:t>
      </w:r>
      <w:r w:rsidR="00B20BDA" w:rsidRPr="00277FDE">
        <w:rPr>
          <w:rFonts w:eastAsia="Calibri"/>
          <w:color w:val="000000"/>
          <w:sz w:val="24"/>
          <w:lang w:val="en-US"/>
        </w:rPr>
        <w:t>295/2015</w:t>
      </w:r>
      <w:r w:rsidR="00CA0F6F" w:rsidRPr="00277FDE">
        <w:rPr>
          <w:rFonts w:eastAsia="Calibri"/>
          <w:color w:val="000000"/>
          <w:sz w:val="24"/>
          <w:lang w:val="en-US"/>
        </w:rPr>
        <w:t xml:space="preserve"> </w:t>
      </w:r>
      <w:r w:rsidRPr="00277FDE">
        <w:rPr>
          <w:rFonts w:eastAsia="Calibri"/>
          <w:color w:val="000000"/>
          <w:sz w:val="24"/>
          <w:lang w:val="en-US"/>
        </w:rPr>
        <w:t>of the Supreme Court of Kosovo</w:t>
      </w:r>
      <w:r w:rsidR="00F8789E" w:rsidRPr="00277FDE">
        <w:rPr>
          <w:rFonts w:eastAsia="Calibri"/>
          <w:color w:val="000000"/>
          <w:sz w:val="24"/>
          <w:lang w:val="en-US"/>
        </w:rPr>
        <w:t xml:space="preserve"> of 09 December 2015</w:t>
      </w:r>
      <w:r w:rsidR="00B20BDA" w:rsidRPr="00277FDE">
        <w:rPr>
          <w:rFonts w:eastAsia="Calibri"/>
          <w:color w:val="000000"/>
          <w:sz w:val="24"/>
          <w:lang w:val="en-US"/>
        </w:rPr>
        <w:t xml:space="preserve">, </w:t>
      </w:r>
      <w:r w:rsidRPr="00277FDE">
        <w:rPr>
          <w:rFonts w:eastAsia="Calibri"/>
          <w:color w:val="000000"/>
          <w:sz w:val="24"/>
          <w:lang w:val="en-US"/>
        </w:rPr>
        <w:t>which was served on her on</w:t>
      </w:r>
      <w:r w:rsidR="00B20BDA" w:rsidRPr="00277FDE">
        <w:rPr>
          <w:rFonts w:eastAsia="Calibri"/>
          <w:color w:val="000000"/>
          <w:sz w:val="24"/>
          <w:lang w:val="en-US"/>
        </w:rPr>
        <w:t xml:space="preserve"> 21 </w:t>
      </w:r>
      <w:r w:rsidRPr="00277FDE">
        <w:rPr>
          <w:rFonts w:eastAsia="Calibri"/>
          <w:color w:val="000000"/>
          <w:sz w:val="24"/>
          <w:lang w:val="en-US"/>
        </w:rPr>
        <w:t>January</w:t>
      </w:r>
      <w:r w:rsidR="00B20BDA" w:rsidRPr="00277FDE">
        <w:rPr>
          <w:rFonts w:eastAsia="Calibri"/>
          <w:color w:val="000000"/>
          <w:sz w:val="24"/>
          <w:lang w:val="en-US"/>
        </w:rPr>
        <w:t xml:space="preserve"> 2016.</w:t>
      </w:r>
    </w:p>
    <w:p w:rsidR="00B54CAB" w:rsidRPr="00277FDE" w:rsidRDefault="00B54CAB" w:rsidP="00277FDE">
      <w:pPr>
        <w:tabs>
          <w:tab w:val="num" w:pos="360"/>
          <w:tab w:val="left" w:pos="450"/>
          <w:tab w:val="left" w:pos="540"/>
        </w:tabs>
        <w:spacing w:line="240" w:lineRule="auto"/>
        <w:ind w:left="0"/>
        <w:rPr>
          <w:rFonts w:cs="Arial"/>
          <w:b/>
          <w:color w:val="000000"/>
          <w:sz w:val="24"/>
          <w:lang w:val="en-US"/>
        </w:rPr>
      </w:pPr>
    </w:p>
    <w:p w:rsidR="00BB1C4E" w:rsidRPr="00277FDE" w:rsidRDefault="00BB1C4E" w:rsidP="00277FDE">
      <w:pPr>
        <w:tabs>
          <w:tab w:val="num" w:pos="330"/>
        </w:tabs>
        <w:spacing w:line="240" w:lineRule="auto"/>
        <w:ind w:left="330" w:hanging="330"/>
        <w:rPr>
          <w:rFonts w:cs="Arial"/>
          <w:b/>
          <w:sz w:val="24"/>
          <w:lang w:val="en-US"/>
        </w:rPr>
      </w:pPr>
      <w:r w:rsidRPr="00277FDE">
        <w:rPr>
          <w:rFonts w:cs="Arial"/>
          <w:b/>
          <w:sz w:val="24"/>
          <w:lang w:val="en-US"/>
        </w:rPr>
        <w:t>Subject matter</w:t>
      </w:r>
    </w:p>
    <w:p w:rsidR="00BB1C4E" w:rsidRPr="00277FDE" w:rsidRDefault="00BB1C4E" w:rsidP="00277FDE">
      <w:pPr>
        <w:tabs>
          <w:tab w:val="num" w:pos="330"/>
        </w:tabs>
        <w:spacing w:line="240" w:lineRule="auto"/>
        <w:ind w:left="330" w:hanging="330"/>
        <w:rPr>
          <w:rFonts w:cs="Arial"/>
          <w:b/>
          <w:sz w:val="24"/>
          <w:lang w:val="en-US"/>
        </w:rPr>
      </w:pPr>
    </w:p>
    <w:p w:rsidR="00BB1C4E" w:rsidRPr="00277FDE" w:rsidRDefault="00BB1C4E" w:rsidP="00277FDE">
      <w:pPr>
        <w:numPr>
          <w:ilvl w:val="0"/>
          <w:numId w:val="1"/>
        </w:numPr>
        <w:tabs>
          <w:tab w:val="clear" w:pos="720"/>
        </w:tabs>
        <w:spacing w:line="240" w:lineRule="auto"/>
        <w:ind w:left="630" w:hanging="630"/>
        <w:rPr>
          <w:iCs/>
          <w:sz w:val="24"/>
          <w:lang w:val="en-US"/>
        </w:rPr>
      </w:pPr>
      <w:r w:rsidRPr="00277FDE">
        <w:rPr>
          <w:iCs/>
          <w:sz w:val="24"/>
          <w:lang w:val="en-US"/>
        </w:rPr>
        <w:t xml:space="preserve">The subject matter </w:t>
      </w:r>
      <w:r w:rsidR="006473F9" w:rsidRPr="00277FDE">
        <w:rPr>
          <w:iCs/>
          <w:sz w:val="24"/>
          <w:lang w:val="en-US"/>
        </w:rPr>
        <w:t>is</w:t>
      </w:r>
      <w:r w:rsidRPr="00277FDE">
        <w:rPr>
          <w:iCs/>
          <w:sz w:val="24"/>
          <w:lang w:val="en-US"/>
        </w:rPr>
        <w:t xml:space="preserve"> the c</w:t>
      </w:r>
      <w:r w:rsidR="006473F9" w:rsidRPr="00277FDE">
        <w:rPr>
          <w:iCs/>
          <w:sz w:val="24"/>
          <w:lang w:val="en-US"/>
        </w:rPr>
        <w:t>onstitutional review</w:t>
      </w:r>
      <w:r w:rsidRPr="00277FDE">
        <w:rPr>
          <w:iCs/>
          <w:sz w:val="24"/>
          <w:lang w:val="en-US"/>
        </w:rPr>
        <w:t xml:space="preserve"> of the </w:t>
      </w:r>
      <w:r w:rsidR="006473F9" w:rsidRPr="00277FDE">
        <w:rPr>
          <w:iCs/>
          <w:sz w:val="24"/>
          <w:lang w:val="en-US"/>
        </w:rPr>
        <w:t>challenged</w:t>
      </w:r>
      <w:r w:rsidRPr="00277FDE">
        <w:rPr>
          <w:iCs/>
          <w:sz w:val="24"/>
          <w:lang w:val="en-US"/>
        </w:rPr>
        <w:t xml:space="preserve"> judgment, which </w:t>
      </w:r>
      <w:r w:rsidR="006473F9" w:rsidRPr="00277FDE">
        <w:rPr>
          <w:iCs/>
          <w:sz w:val="24"/>
          <w:lang w:val="en-US"/>
        </w:rPr>
        <w:t>allegedly has violated</w:t>
      </w:r>
      <w:r w:rsidRPr="00277FDE">
        <w:rPr>
          <w:iCs/>
          <w:sz w:val="24"/>
          <w:lang w:val="en-US"/>
        </w:rPr>
        <w:t xml:space="preserve"> the </w:t>
      </w:r>
      <w:r w:rsidR="006473F9" w:rsidRPr="00277FDE">
        <w:rPr>
          <w:iCs/>
          <w:sz w:val="24"/>
          <w:lang w:val="en-US"/>
        </w:rPr>
        <w:t>A</w:t>
      </w:r>
      <w:r w:rsidRPr="00277FDE">
        <w:rPr>
          <w:iCs/>
          <w:sz w:val="24"/>
          <w:lang w:val="en-US"/>
        </w:rPr>
        <w:t>pplicant</w:t>
      </w:r>
      <w:r w:rsidR="006473F9" w:rsidRPr="00277FDE">
        <w:rPr>
          <w:iCs/>
          <w:sz w:val="24"/>
          <w:lang w:val="en-US"/>
        </w:rPr>
        <w:t>’s rights</w:t>
      </w:r>
      <w:r w:rsidRPr="00277FDE">
        <w:rPr>
          <w:iCs/>
          <w:sz w:val="24"/>
          <w:lang w:val="en-US"/>
        </w:rPr>
        <w:t xml:space="preserve"> guaranteed by Articles 24 [Equality Before the Law], 31 [</w:t>
      </w:r>
      <w:r w:rsidR="006473F9" w:rsidRPr="00277FDE">
        <w:rPr>
          <w:iCs/>
          <w:sz w:val="24"/>
          <w:lang w:val="en-US"/>
        </w:rPr>
        <w:t xml:space="preserve">Right </w:t>
      </w:r>
      <w:r w:rsidR="006473F9" w:rsidRPr="00277FDE">
        <w:rPr>
          <w:bCs/>
          <w:iCs/>
          <w:sz w:val="24"/>
          <w:lang w:val="en-US"/>
        </w:rPr>
        <w:t>to</w:t>
      </w:r>
      <w:r w:rsidR="006473F9" w:rsidRPr="00277FDE">
        <w:rPr>
          <w:iCs/>
          <w:sz w:val="24"/>
          <w:lang w:val="en-US"/>
        </w:rPr>
        <w:t xml:space="preserve"> Fair and Impartial Trial</w:t>
      </w:r>
      <w:r w:rsidRPr="00277FDE">
        <w:rPr>
          <w:iCs/>
          <w:sz w:val="24"/>
          <w:lang w:val="en-US"/>
        </w:rPr>
        <w:t>], 49 [Right to Work an</w:t>
      </w:r>
      <w:r w:rsidR="006473F9" w:rsidRPr="00277FDE">
        <w:rPr>
          <w:iCs/>
          <w:sz w:val="24"/>
          <w:lang w:val="en-US"/>
        </w:rPr>
        <w:t>d Exercise Profession] and 54 [Judicial Protection of Rights</w:t>
      </w:r>
      <w:r w:rsidRPr="00277FDE">
        <w:rPr>
          <w:iCs/>
          <w:sz w:val="24"/>
          <w:lang w:val="en-US"/>
        </w:rPr>
        <w:t>] of the Constitution of the Republic of Kosovo (here</w:t>
      </w:r>
      <w:r w:rsidR="006473F9" w:rsidRPr="00277FDE">
        <w:rPr>
          <w:iCs/>
          <w:sz w:val="24"/>
          <w:lang w:val="en-US"/>
        </w:rPr>
        <w:t>inafter: the Constitution) and Article</w:t>
      </w:r>
      <w:r w:rsidRPr="00277FDE">
        <w:rPr>
          <w:iCs/>
          <w:sz w:val="24"/>
          <w:lang w:val="en-US"/>
        </w:rPr>
        <w:t xml:space="preserve"> 6.1 (</w:t>
      </w:r>
      <w:r w:rsidR="006473F9" w:rsidRPr="00277FDE">
        <w:rPr>
          <w:iCs/>
          <w:sz w:val="24"/>
          <w:lang w:val="en-US"/>
        </w:rPr>
        <w:t>R</w:t>
      </w:r>
      <w:r w:rsidRPr="00277FDE">
        <w:rPr>
          <w:iCs/>
          <w:sz w:val="24"/>
          <w:lang w:val="en-US"/>
        </w:rPr>
        <w:t>ight to a fair trial) of the European Convention o</w:t>
      </w:r>
      <w:r w:rsidR="006473F9" w:rsidRPr="00277FDE">
        <w:rPr>
          <w:iCs/>
          <w:sz w:val="24"/>
          <w:lang w:val="en-US"/>
        </w:rPr>
        <w:t>f</w:t>
      </w:r>
      <w:r w:rsidRPr="00277FDE">
        <w:rPr>
          <w:iCs/>
          <w:sz w:val="24"/>
          <w:lang w:val="en-US"/>
        </w:rPr>
        <w:t xml:space="preserve"> </w:t>
      </w:r>
      <w:r w:rsidR="006473F9" w:rsidRPr="00277FDE">
        <w:rPr>
          <w:iCs/>
          <w:sz w:val="24"/>
          <w:lang w:val="en-US"/>
        </w:rPr>
        <w:t>H</w:t>
      </w:r>
      <w:r w:rsidRPr="00277FDE">
        <w:rPr>
          <w:iCs/>
          <w:sz w:val="24"/>
          <w:lang w:val="en-US"/>
        </w:rPr>
        <w:t xml:space="preserve">uman </w:t>
      </w:r>
      <w:r w:rsidR="006473F9" w:rsidRPr="00277FDE">
        <w:rPr>
          <w:iCs/>
          <w:sz w:val="24"/>
          <w:lang w:val="en-US"/>
        </w:rPr>
        <w:t>R</w:t>
      </w:r>
      <w:r w:rsidRPr="00277FDE">
        <w:rPr>
          <w:iCs/>
          <w:sz w:val="24"/>
          <w:lang w:val="en-US"/>
        </w:rPr>
        <w:t>ights (hereinafter</w:t>
      </w:r>
      <w:r w:rsidR="006473F9" w:rsidRPr="00277FDE">
        <w:rPr>
          <w:iCs/>
          <w:sz w:val="24"/>
          <w:lang w:val="en-US"/>
        </w:rPr>
        <w:t>:</w:t>
      </w:r>
      <w:r w:rsidRPr="00277FDE">
        <w:rPr>
          <w:iCs/>
          <w:sz w:val="24"/>
          <w:lang w:val="en-US"/>
        </w:rPr>
        <w:t xml:space="preserve"> </w:t>
      </w:r>
      <w:r w:rsidR="006473F9" w:rsidRPr="00277FDE">
        <w:rPr>
          <w:iCs/>
          <w:sz w:val="24"/>
          <w:lang w:val="en-US"/>
        </w:rPr>
        <w:t xml:space="preserve">the </w:t>
      </w:r>
      <w:r w:rsidRPr="00277FDE">
        <w:rPr>
          <w:iCs/>
          <w:sz w:val="24"/>
          <w:lang w:val="en-US"/>
        </w:rPr>
        <w:t>ECHR).</w:t>
      </w:r>
    </w:p>
    <w:p w:rsidR="00B52D18" w:rsidRPr="00277FDE" w:rsidRDefault="00B52D18" w:rsidP="00277FDE">
      <w:pPr>
        <w:spacing w:line="240" w:lineRule="auto"/>
        <w:ind w:left="0"/>
        <w:rPr>
          <w:b/>
          <w:sz w:val="24"/>
          <w:lang w:val="en-US"/>
        </w:rPr>
      </w:pPr>
    </w:p>
    <w:p w:rsidR="006473F9" w:rsidRPr="00277FDE" w:rsidRDefault="006473F9" w:rsidP="00277FDE">
      <w:pPr>
        <w:spacing w:line="240" w:lineRule="auto"/>
        <w:ind w:left="0"/>
        <w:rPr>
          <w:b/>
          <w:sz w:val="24"/>
          <w:lang w:val="en-US"/>
        </w:rPr>
      </w:pPr>
      <w:r w:rsidRPr="00277FDE">
        <w:rPr>
          <w:b/>
          <w:sz w:val="24"/>
          <w:lang w:val="en-US"/>
        </w:rPr>
        <w:t>Legal basis</w:t>
      </w:r>
    </w:p>
    <w:p w:rsidR="0038255F" w:rsidRPr="00277FDE" w:rsidRDefault="0038255F" w:rsidP="00277FDE">
      <w:pPr>
        <w:tabs>
          <w:tab w:val="num" w:pos="360"/>
          <w:tab w:val="left" w:pos="540"/>
        </w:tabs>
        <w:spacing w:line="240" w:lineRule="auto"/>
        <w:ind w:left="360" w:hanging="360"/>
        <w:rPr>
          <w:rFonts w:cs="Arial"/>
          <w:b/>
          <w:color w:val="000000"/>
          <w:sz w:val="24"/>
          <w:lang w:val="en-US"/>
        </w:rPr>
      </w:pPr>
    </w:p>
    <w:p w:rsidR="006473F9" w:rsidRPr="00277FDE" w:rsidRDefault="006473F9" w:rsidP="00277FDE">
      <w:pPr>
        <w:numPr>
          <w:ilvl w:val="0"/>
          <w:numId w:val="1"/>
        </w:numPr>
        <w:tabs>
          <w:tab w:val="clear" w:pos="720"/>
        </w:tabs>
        <w:spacing w:line="240" w:lineRule="auto"/>
        <w:ind w:left="630" w:hanging="630"/>
        <w:rPr>
          <w:sz w:val="24"/>
          <w:lang w:val="en-US"/>
        </w:rPr>
      </w:pPr>
      <w:r w:rsidRPr="00277FDE">
        <w:rPr>
          <w:sz w:val="24"/>
          <w:lang w:val="en-US"/>
        </w:rPr>
        <w:t xml:space="preserve">The </w:t>
      </w:r>
      <w:r w:rsidRPr="00277FDE">
        <w:rPr>
          <w:bCs/>
          <w:iCs/>
          <w:sz w:val="24"/>
          <w:lang w:val="en-US"/>
        </w:rPr>
        <w:t>Referral</w:t>
      </w:r>
      <w:r w:rsidRPr="00277FDE">
        <w:rPr>
          <w:sz w:val="24"/>
          <w:lang w:val="en-US"/>
        </w:rPr>
        <w:t xml:space="preserve"> is based on Article 113.7 of the Constitution, Article 47 of Law No. 03/L-121 on the Constitutional </w:t>
      </w:r>
      <w:r w:rsidRPr="00277FDE">
        <w:rPr>
          <w:bCs/>
          <w:iCs/>
          <w:sz w:val="24"/>
          <w:lang w:val="en-US"/>
        </w:rPr>
        <w:t>Court</w:t>
      </w:r>
      <w:r w:rsidRPr="00277FDE">
        <w:rPr>
          <w:sz w:val="24"/>
          <w:lang w:val="en-US"/>
        </w:rPr>
        <w:t xml:space="preserve"> of the Republic of Kosovo (hereinafter: the Law) and Rule 29 of the Rules of Procedure of the Constitutional Court of the Republic of Kosovo (hereinafter: the Rules of Procedure).</w:t>
      </w:r>
    </w:p>
    <w:p w:rsidR="0038255F" w:rsidRPr="00277FDE" w:rsidRDefault="0038255F" w:rsidP="00277FDE">
      <w:pPr>
        <w:tabs>
          <w:tab w:val="num" w:pos="360"/>
        </w:tabs>
        <w:spacing w:line="240" w:lineRule="auto"/>
        <w:ind w:left="360" w:hanging="360"/>
        <w:rPr>
          <w:rFonts w:cs="Arial"/>
          <w:color w:val="000000"/>
          <w:sz w:val="24"/>
          <w:lang w:val="en-US"/>
        </w:rPr>
      </w:pPr>
    </w:p>
    <w:p w:rsidR="006473F9" w:rsidRPr="00277FDE" w:rsidRDefault="006473F9" w:rsidP="00277FDE">
      <w:pPr>
        <w:spacing w:line="240" w:lineRule="auto"/>
        <w:ind w:left="0"/>
        <w:jc w:val="left"/>
        <w:rPr>
          <w:b/>
          <w:sz w:val="24"/>
          <w:lang w:val="en-US"/>
        </w:rPr>
      </w:pPr>
      <w:r w:rsidRPr="00277FDE">
        <w:rPr>
          <w:b/>
          <w:sz w:val="24"/>
          <w:lang w:val="en-US"/>
        </w:rPr>
        <w:t>Proceedings before the Constitutional Court</w:t>
      </w:r>
    </w:p>
    <w:p w:rsidR="0038255F" w:rsidRPr="00277FDE" w:rsidRDefault="0038255F" w:rsidP="00277FDE">
      <w:pPr>
        <w:tabs>
          <w:tab w:val="num" w:pos="360"/>
          <w:tab w:val="left" w:pos="540"/>
        </w:tabs>
        <w:spacing w:line="240" w:lineRule="auto"/>
        <w:ind w:left="360" w:hanging="360"/>
        <w:rPr>
          <w:b/>
          <w:bCs/>
          <w:color w:val="000000"/>
          <w:sz w:val="24"/>
          <w:lang w:val="en-US"/>
        </w:rPr>
      </w:pPr>
    </w:p>
    <w:p w:rsidR="006473F9" w:rsidRPr="00277FDE" w:rsidRDefault="006473F9" w:rsidP="00277FDE">
      <w:pPr>
        <w:numPr>
          <w:ilvl w:val="0"/>
          <w:numId w:val="1"/>
        </w:numPr>
        <w:tabs>
          <w:tab w:val="clear" w:pos="720"/>
        </w:tabs>
        <w:spacing w:line="240" w:lineRule="auto"/>
        <w:ind w:left="630" w:hanging="630"/>
        <w:rPr>
          <w:sz w:val="24"/>
          <w:lang w:val="en-US"/>
        </w:rPr>
      </w:pPr>
      <w:r w:rsidRPr="00277FDE">
        <w:rPr>
          <w:sz w:val="24"/>
          <w:lang w:val="en-US"/>
        </w:rPr>
        <w:t xml:space="preserve">On 20 April 2016, the Applicant submitted the Referral to the Constitutional Court of the Republic of </w:t>
      </w:r>
      <w:r w:rsidRPr="00277FDE">
        <w:rPr>
          <w:bCs/>
          <w:iCs/>
          <w:sz w:val="24"/>
          <w:lang w:val="en-US"/>
        </w:rPr>
        <w:t>Kosovo</w:t>
      </w:r>
      <w:r w:rsidRPr="00277FDE">
        <w:rPr>
          <w:sz w:val="24"/>
          <w:lang w:val="en-US"/>
        </w:rPr>
        <w:t xml:space="preserve"> (hereinafter, the Court).</w:t>
      </w:r>
    </w:p>
    <w:p w:rsidR="00A16214" w:rsidRPr="00277FDE" w:rsidRDefault="00A16214" w:rsidP="00277FDE">
      <w:pPr>
        <w:spacing w:line="240" w:lineRule="auto"/>
        <w:ind w:left="630"/>
        <w:rPr>
          <w:color w:val="000000"/>
          <w:sz w:val="24"/>
          <w:lang w:val="en-US"/>
        </w:rPr>
      </w:pPr>
    </w:p>
    <w:p w:rsidR="006473F9" w:rsidRPr="00277FDE" w:rsidRDefault="006473F9" w:rsidP="00277FDE">
      <w:pPr>
        <w:numPr>
          <w:ilvl w:val="0"/>
          <w:numId w:val="1"/>
        </w:numPr>
        <w:tabs>
          <w:tab w:val="clear" w:pos="720"/>
        </w:tabs>
        <w:spacing w:line="240" w:lineRule="auto"/>
        <w:ind w:left="630" w:hanging="630"/>
        <w:rPr>
          <w:sz w:val="24"/>
          <w:lang w:val="en-US"/>
        </w:rPr>
      </w:pPr>
      <w:r w:rsidRPr="00277FDE">
        <w:rPr>
          <w:sz w:val="24"/>
          <w:lang w:val="en-US"/>
        </w:rPr>
        <w:t xml:space="preserve">On 11 May 2016, the President of the Court appointed Judge </w:t>
      </w:r>
      <w:r w:rsidRPr="00277FDE">
        <w:rPr>
          <w:color w:val="000000"/>
          <w:sz w:val="24"/>
          <w:lang w:val="en-US"/>
        </w:rPr>
        <w:t xml:space="preserve">Ivan </w:t>
      </w:r>
      <w:proofErr w:type="spellStart"/>
      <w:r w:rsidRPr="00277FDE">
        <w:rPr>
          <w:color w:val="000000"/>
          <w:sz w:val="24"/>
          <w:lang w:val="en-US"/>
        </w:rPr>
        <w:t>Čukalović</w:t>
      </w:r>
      <w:proofErr w:type="spellEnd"/>
      <w:r w:rsidRPr="00277FDE">
        <w:rPr>
          <w:sz w:val="24"/>
          <w:lang w:val="en-US"/>
        </w:rPr>
        <w:t xml:space="preserve"> as Judge Rapporteur and the Review Panel composed of Judges: Altay Suroy (Presiding), </w:t>
      </w:r>
      <w:r w:rsidRPr="00277FDE">
        <w:rPr>
          <w:bCs/>
          <w:color w:val="000000"/>
          <w:sz w:val="24"/>
          <w:lang w:val="en-US"/>
        </w:rPr>
        <w:t xml:space="preserve">Bekim Sejdiu </w:t>
      </w:r>
      <w:r w:rsidRPr="00277FDE">
        <w:rPr>
          <w:sz w:val="24"/>
          <w:lang w:val="en-US"/>
        </w:rPr>
        <w:t xml:space="preserve">and </w:t>
      </w:r>
      <w:r w:rsidRPr="00277FDE">
        <w:rPr>
          <w:color w:val="000000"/>
          <w:sz w:val="24"/>
          <w:lang w:val="en-US"/>
        </w:rPr>
        <w:t xml:space="preserve">Selvete </w:t>
      </w:r>
      <w:proofErr w:type="spellStart"/>
      <w:r w:rsidRPr="00277FDE">
        <w:rPr>
          <w:color w:val="000000"/>
          <w:sz w:val="24"/>
          <w:lang w:val="en-US"/>
        </w:rPr>
        <w:t>Gërxhaliu</w:t>
      </w:r>
      <w:proofErr w:type="spellEnd"/>
      <w:r w:rsidRPr="00277FDE">
        <w:rPr>
          <w:color w:val="000000"/>
          <w:sz w:val="24"/>
          <w:lang w:val="en-US"/>
        </w:rPr>
        <w:t>-Krasniqi</w:t>
      </w:r>
      <w:r w:rsidRPr="00277FDE">
        <w:rPr>
          <w:sz w:val="24"/>
          <w:lang w:val="en-US"/>
        </w:rPr>
        <w:t>.</w:t>
      </w:r>
    </w:p>
    <w:p w:rsidR="00AE1E97" w:rsidRPr="00277FDE" w:rsidRDefault="00AE1E97" w:rsidP="00277FDE">
      <w:pPr>
        <w:pStyle w:val="ListParagraph"/>
        <w:spacing w:line="240" w:lineRule="auto"/>
        <w:rPr>
          <w:color w:val="000000"/>
          <w:sz w:val="24"/>
          <w:lang w:val="en-US"/>
        </w:rPr>
      </w:pPr>
    </w:p>
    <w:p w:rsidR="006473F9" w:rsidRPr="00277FDE" w:rsidRDefault="006473F9" w:rsidP="00277FDE">
      <w:pPr>
        <w:numPr>
          <w:ilvl w:val="0"/>
          <w:numId w:val="1"/>
        </w:numPr>
        <w:tabs>
          <w:tab w:val="clear" w:pos="720"/>
        </w:tabs>
        <w:spacing w:line="240" w:lineRule="auto"/>
        <w:ind w:left="630" w:hanging="630"/>
        <w:rPr>
          <w:sz w:val="24"/>
          <w:lang w:val="en-US"/>
        </w:rPr>
      </w:pPr>
      <w:r w:rsidRPr="00277FDE">
        <w:rPr>
          <w:sz w:val="24"/>
          <w:lang w:val="en-US"/>
        </w:rPr>
        <w:t xml:space="preserve">On 2 June 2016, the Court notified the Applicant about the registration of the Referral and sent a copy of the Referral to the Supreme Court of Kosovo and the Municipality of </w:t>
      </w:r>
      <w:proofErr w:type="spellStart"/>
      <w:r w:rsidRPr="00277FDE">
        <w:rPr>
          <w:sz w:val="24"/>
          <w:lang w:val="en-US"/>
        </w:rPr>
        <w:t>Prishtina</w:t>
      </w:r>
      <w:proofErr w:type="spellEnd"/>
      <w:r w:rsidRPr="00277FDE">
        <w:rPr>
          <w:sz w:val="24"/>
          <w:lang w:val="en-US"/>
        </w:rPr>
        <w:t>.</w:t>
      </w:r>
    </w:p>
    <w:p w:rsidR="00DD14AD" w:rsidRPr="00277FDE" w:rsidRDefault="00DD14AD" w:rsidP="00277FDE">
      <w:pPr>
        <w:pStyle w:val="ListParagraph"/>
        <w:spacing w:line="240" w:lineRule="auto"/>
        <w:rPr>
          <w:sz w:val="24"/>
          <w:lang w:val="en-US"/>
        </w:rPr>
      </w:pPr>
    </w:p>
    <w:p w:rsidR="00463A55" w:rsidRPr="00277FDE" w:rsidRDefault="00463A55" w:rsidP="00277FDE">
      <w:pPr>
        <w:numPr>
          <w:ilvl w:val="0"/>
          <w:numId w:val="1"/>
        </w:numPr>
        <w:tabs>
          <w:tab w:val="clear" w:pos="720"/>
        </w:tabs>
        <w:spacing w:line="240" w:lineRule="auto"/>
        <w:ind w:left="630" w:hanging="630"/>
        <w:rPr>
          <w:sz w:val="24"/>
          <w:lang w:val="en-US"/>
        </w:rPr>
      </w:pPr>
      <w:r w:rsidRPr="00277FDE">
        <w:rPr>
          <w:sz w:val="24"/>
          <w:lang w:val="en-US"/>
        </w:rPr>
        <w:t xml:space="preserve">On 30 May 2018, </w:t>
      </w:r>
      <w:r w:rsidRPr="00277FDE">
        <w:rPr>
          <w:rFonts w:cs="Arial"/>
          <w:sz w:val="24"/>
          <w:lang w:val="en-US"/>
        </w:rPr>
        <w:t>the Review Panel considered the report of the Judge Rapporteur and made a recommendation to the Court on the admissibility of the Referral and the finding of a violation of the Constitution.</w:t>
      </w:r>
    </w:p>
    <w:p w:rsidR="003340D7" w:rsidRPr="00277FDE" w:rsidRDefault="003340D7" w:rsidP="00277FDE">
      <w:pPr>
        <w:pStyle w:val="ListParagraph"/>
        <w:spacing w:line="240" w:lineRule="auto"/>
        <w:rPr>
          <w:sz w:val="24"/>
          <w:lang w:val="en-US"/>
        </w:rPr>
      </w:pPr>
    </w:p>
    <w:p w:rsidR="006473F9" w:rsidRPr="00277FDE" w:rsidRDefault="006473F9" w:rsidP="00277FDE">
      <w:pPr>
        <w:tabs>
          <w:tab w:val="num" w:pos="360"/>
          <w:tab w:val="left" w:pos="540"/>
        </w:tabs>
        <w:spacing w:line="240" w:lineRule="auto"/>
        <w:ind w:left="360" w:hanging="360"/>
        <w:rPr>
          <w:rFonts w:cs="Arial"/>
          <w:b/>
          <w:sz w:val="24"/>
          <w:lang w:val="en-US"/>
        </w:rPr>
      </w:pPr>
      <w:r w:rsidRPr="00277FDE">
        <w:rPr>
          <w:rFonts w:cs="Arial"/>
          <w:b/>
          <w:sz w:val="24"/>
          <w:lang w:val="en-US"/>
        </w:rPr>
        <w:t>Summary of facts</w:t>
      </w:r>
    </w:p>
    <w:p w:rsidR="00EF7ED4" w:rsidRPr="00277FDE" w:rsidRDefault="00EF7ED4" w:rsidP="00277FDE">
      <w:pPr>
        <w:spacing w:line="240" w:lineRule="auto"/>
        <w:ind w:left="0"/>
        <w:rPr>
          <w:color w:val="000000"/>
          <w:sz w:val="24"/>
          <w:lang w:val="en-US"/>
        </w:rPr>
      </w:pPr>
    </w:p>
    <w:p w:rsidR="00BC7B0E" w:rsidRPr="00277FDE" w:rsidRDefault="00016883" w:rsidP="00277FDE">
      <w:pPr>
        <w:numPr>
          <w:ilvl w:val="0"/>
          <w:numId w:val="1"/>
        </w:numPr>
        <w:tabs>
          <w:tab w:val="clear" w:pos="720"/>
        </w:tabs>
        <w:spacing w:line="240" w:lineRule="auto"/>
        <w:ind w:left="630" w:hanging="630"/>
        <w:rPr>
          <w:bCs/>
          <w:sz w:val="24"/>
          <w:lang w:val="en-US"/>
        </w:rPr>
      </w:pPr>
      <w:r w:rsidRPr="00277FDE">
        <w:rPr>
          <w:bCs/>
          <w:sz w:val="24"/>
          <w:lang w:val="en-US"/>
        </w:rPr>
        <w:t xml:space="preserve">On 10 July 1990, the </w:t>
      </w:r>
      <w:r w:rsidR="00EE52D3" w:rsidRPr="00277FDE">
        <w:rPr>
          <w:bCs/>
          <w:sz w:val="24"/>
          <w:lang w:val="en-US"/>
        </w:rPr>
        <w:t xml:space="preserve">management body of the Health House of </w:t>
      </w:r>
      <w:proofErr w:type="spellStart"/>
      <w:r w:rsidR="00EE52D3" w:rsidRPr="00277FDE">
        <w:rPr>
          <w:bCs/>
          <w:sz w:val="24"/>
          <w:lang w:val="en-US"/>
        </w:rPr>
        <w:t>Prishtina</w:t>
      </w:r>
      <w:proofErr w:type="spellEnd"/>
      <w:r w:rsidR="00EE52D3" w:rsidRPr="00277FDE">
        <w:rPr>
          <w:bCs/>
          <w:sz w:val="24"/>
          <w:lang w:val="en-US"/>
        </w:rPr>
        <w:t xml:space="preserve"> decided</w:t>
      </w:r>
      <w:r w:rsidRPr="00277FDE">
        <w:rPr>
          <w:bCs/>
          <w:sz w:val="24"/>
          <w:lang w:val="en-US"/>
        </w:rPr>
        <w:t xml:space="preserve"> (Decision No. 160) </w:t>
      </w:r>
      <w:r w:rsidR="00EE52D3" w:rsidRPr="00277FDE">
        <w:rPr>
          <w:bCs/>
          <w:sz w:val="24"/>
          <w:lang w:val="en-US"/>
        </w:rPr>
        <w:t xml:space="preserve">that the Applicant </w:t>
      </w:r>
      <w:r w:rsidR="000B744A" w:rsidRPr="00277FDE">
        <w:rPr>
          <w:bCs/>
          <w:sz w:val="24"/>
          <w:lang w:val="en-US"/>
        </w:rPr>
        <w:t xml:space="preserve">had </w:t>
      </w:r>
      <w:r w:rsidR="00EE52D3" w:rsidRPr="00277FDE">
        <w:rPr>
          <w:bCs/>
          <w:sz w:val="24"/>
          <w:lang w:val="en-US"/>
        </w:rPr>
        <w:t>acquired the quality of an employee</w:t>
      </w:r>
      <w:r w:rsidR="00B84FF2" w:rsidRPr="00277FDE">
        <w:rPr>
          <w:bCs/>
          <w:sz w:val="24"/>
          <w:lang w:val="en-US"/>
        </w:rPr>
        <w:t xml:space="preserve"> </w:t>
      </w:r>
      <w:r w:rsidRPr="00277FDE">
        <w:rPr>
          <w:bCs/>
          <w:sz w:val="24"/>
          <w:lang w:val="en-US"/>
        </w:rPr>
        <w:t xml:space="preserve">for an indefinite period as a dentist at the </w:t>
      </w:r>
      <w:r w:rsidR="000E51A8" w:rsidRPr="00277FDE">
        <w:rPr>
          <w:bCs/>
          <w:sz w:val="24"/>
          <w:lang w:val="en-US"/>
        </w:rPr>
        <w:t>H</w:t>
      </w:r>
      <w:r w:rsidRPr="00277FDE">
        <w:rPr>
          <w:bCs/>
          <w:sz w:val="24"/>
          <w:lang w:val="en-US"/>
        </w:rPr>
        <w:t xml:space="preserve">ealth </w:t>
      </w:r>
      <w:r w:rsidR="001B7AFE" w:rsidRPr="00277FDE">
        <w:rPr>
          <w:bCs/>
          <w:sz w:val="24"/>
          <w:lang w:val="en-US"/>
        </w:rPr>
        <w:t>House</w:t>
      </w:r>
      <w:r w:rsidRPr="00277FDE">
        <w:rPr>
          <w:bCs/>
          <w:sz w:val="24"/>
          <w:lang w:val="en-US"/>
        </w:rPr>
        <w:t xml:space="preserve"> in </w:t>
      </w:r>
      <w:proofErr w:type="spellStart"/>
      <w:r w:rsidRPr="00277FDE">
        <w:rPr>
          <w:bCs/>
          <w:sz w:val="24"/>
          <w:lang w:val="en-US"/>
        </w:rPr>
        <w:t>Prishtina</w:t>
      </w:r>
      <w:proofErr w:type="spellEnd"/>
      <w:r w:rsidRPr="00277FDE">
        <w:rPr>
          <w:bCs/>
          <w:sz w:val="24"/>
          <w:lang w:val="en-US"/>
        </w:rPr>
        <w:t xml:space="preserve"> (now Main Family Medicine</w:t>
      </w:r>
      <w:r w:rsidR="008974A0" w:rsidRPr="00277FDE">
        <w:rPr>
          <w:bCs/>
          <w:sz w:val="24"/>
          <w:lang w:val="en-US"/>
        </w:rPr>
        <w:t xml:space="preserve"> Centre, hereinafter: M</w:t>
      </w:r>
      <w:r w:rsidRPr="00277FDE">
        <w:rPr>
          <w:bCs/>
          <w:sz w:val="24"/>
          <w:lang w:val="en-US"/>
        </w:rPr>
        <w:t>FM</w:t>
      </w:r>
      <w:r w:rsidR="008974A0" w:rsidRPr="00277FDE">
        <w:rPr>
          <w:bCs/>
          <w:sz w:val="24"/>
          <w:lang w:val="en-US"/>
        </w:rPr>
        <w:t>C</w:t>
      </w:r>
      <w:r w:rsidRPr="00277FDE">
        <w:rPr>
          <w:bCs/>
          <w:sz w:val="24"/>
          <w:lang w:val="en-US"/>
        </w:rPr>
        <w:t>).</w:t>
      </w:r>
    </w:p>
    <w:p w:rsidR="00BC7B0E" w:rsidRPr="00277FDE" w:rsidRDefault="00BC7B0E" w:rsidP="00277FDE">
      <w:pPr>
        <w:spacing w:line="240" w:lineRule="auto"/>
        <w:ind w:left="630"/>
        <w:rPr>
          <w:bCs/>
          <w:sz w:val="24"/>
          <w:lang w:val="en-US"/>
        </w:rPr>
      </w:pPr>
    </w:p>
    <w:p w:rsidR="000E51A8" w:rsidRPr="00277FDE" w:rsidRDefault="00BC7B0E" w:rsidP="00277FDE">
      <w:pPr>
        <w:numPr>
          <w:ilvl w:val="0"/>
          <w:numId w:val="1"/>
        </w:numPr>
        <w:tabs>
          <w:tab w:val="clear" w:pos="720"/>
        </w:tabs>
        <w:spacing w:line="240" w:lineRule="auto"/>
        <w:ind w:left="630" w:hanging="630"/>
        <w:rPr>
          <w:bCs/>
          <w:sz w:val="24"/>
          <w:lang w:val="en-US"/>
        </w:rPr>
      </w:pPr>
      <w:r w:rsidRPr="00277FDE">
        <w:rPr>
          <w:bCs/>
          <w:sz w:val="24"/>
          <w:lang w:val="en-US"/>
        </w:rPr>
        <w:t xml:space="preserve">On 01 January 2000, the Department of Health and Social Welfare of the Joint Interim Administrative </w:t>
      </w:r>
      <w:r w:rsidRPr="00277FDE">
        <w:rPr>
          <w:bCs/>
          <w:iCs/>
          <w:sz w:val="24"/>
          <w:lang w:val="en-US"/>
        </w:rPr>
        <w:t>Structure</w:t>
      </w:r>
      <w:r w:rsidRPr="00277FDE">
        <w:rPr>
          <w:bCs/>
          <w:sz w:val="24"/>
          <w:lang w:val="en-US"/>
        </w:rPr>
        <w:t xml:space="preserve"> </w:t>
      </w:r>
      <w:r w:rsidR="005D10F1" w:rsidRPr="00277FDE">
        <w:rPr>
          <w:bCs/>
          <w:sz w:val="24"/>
          <w:lang w:val="en-US"/>
        </w:rPr>
        <w:t xml:space="preserve">(JIAS-DHSW) </w:t>
      </w:r>
      <w:r w:rsidRPr="00277FDE">
        <w:rPr>
          <w:bCs/>
          <w:sz w:val="24"/>
          <w:lang w:val="en-US"/>
        </w:rPr>
        <w:t>adopted Administrative Instruction (Health) 17/2000, which regulate</w:t>
      </w:r>
      <w:r w:rsidR="000B744A" w:rsidRPr="00277FDE">
        <w:rPr>
          <w:bCs/>
          <w:sz w:val="24"/>
          <w:lang w:val="en-US"/>
        </w:rPr>
        <w:t>d</w:t>
      </w:r>
      <w:r w:rsidRPr="00277FDE">
        <w:rPr>
          <w:bCs/>
          <w:sz w:val="24"/>
          <w:lang w:val="en-US"/>
        </w:rPr>
        <w:t xml:space="preserve"> the establishment of a central board for the training of medical specialists.</w:t>
      </w:r>
    </w:p>
    <w:p w:rsidR="000E51A8" w:rsidRPr="00277FDE" w:rsidRDefault="000E51A8" w:rsidP="00277FDE">
      <w:pPr>
        <w:pStyle w:val="ListParagraph"/>
        <w:spacing w:line="240" w:lineRule="auto"/>
        <w:rPr>
          <w:bCs/>
          <w:sz w:val="24"/>
          <w:lang w:val="en-US"/>
        </w:rPr>
      </w:pPr>
    </w:p>
    <w:p w:rsidR="000E51A8" w:rsidRPr="00277FDE" w:rsidRDefault="00630C02" w:rsidP="00277FDE">
      <w:pPr>
        <w:numPr>
          <w:ilvl w:val="0"/>
          <w:numId w:val="1"/>
        </w:numPr>
        <w:tabs>
          <w:tab w:val="clear" w:pos="720"/>
        </w:tabs>
        <w:spacing w:line="240" w:lineRule="auto"/>
        <w:ind w:left="630" w:hanging="630"/>
        <w:rPr>
          <w:bCs/>
          <w:sz w:val="24"/>
          <w:lang w:val="en-US"/>
        </w:rPr>
      </w:pPr>
      <w:r w:rsidRPr="00277FDE">
        <w:rPr>
          <w:bCs/>
          <w:sz w:val="24"/>
          <w:lang w:val="en-US"/>
        </w:rPr>
        <w:lastRenderedPageBreak/>
        <w:t xml:space="preserve">Administrative Instruction (Health) 17/2000 stipulated under point E [General </w:t>
      </w:r>
      <w:r w:rsidRPr="00277FDE">
        <w:rPr>
          <w:bCs/>
          <w:iCs/>
          <w:sz w:val="24"/>
          <w:lang w:val="en-US"/>
        </w:rPr>
        <w:t>Administrative</w:t>
      </w:r>
      <w:r w:rsidRPr="00277FDE">
        <w:rPr>
          <w:bCs/>
          <w:sz w:val="24"/>
          <w:lang w:val="en-US"/>
        </w:rPr>
        <w:t xml:space="preserve"> Arrangements],</w:t>
      </w:r>
      <w:r w:rsidR="000E51A8" w:rsidRPr="00277FDE">
        <w:rPr>
          <w:bCs/>
          <w:sz w:val="24"/>
          <w:lang w:val="en-US"/>
        </w:rPr>
        <w:t xml:space="preserve"> </w:t>
      </w:r>
      <w:r w:rsidR="000E51A8" w:rsidRPr="00277FDE">
        <w:rPr>
          <w:bCs/>
          <w:i/>
          <w:sz w:val="24"/>
          <w:lang w:val="en-US"/>
        </w:rPr>
        <w:t>inter alia</w:t>
      </w:r>
      <w:r w:rsidRPr="00277FDE">
        <w:rPr>
          <w:bCs/>
          <w:sz w:val="24"/>
          <w:lang w:val="en-US"/>
        </w:rPr>
        <w:t xml:space="preserve">, that, </w:t>
      </w:r>
    </w:p>
    <w:p w:rsidR="000E51A8" w:rsidRPr="00277FDE" w:rsidRDefault="000E51A8" w:rsidP="00277FDE">
      <w:pPr>
        <w:pStyle w:val="ListParagraph"/>
        <w:spacing w:line="240" w:lineRule="auto"/>
        <w:rPr>
          <w:sz w:val="24"/>
          <w:lang w:val="en-US"/>
        </w:rPr>
      </w:pPr>
    </w:p>
    <w:p w:rsidR="000E51A8" w:rsidRPr="00277FDE" w:rsidRDefault="000E51A8" w:rsidP="00277FDE">
      <w:pPr>
        <w:spacing w:line="240" w:lineRule="auto"/>
        <w:ind w:left="990"/>
        <w:rPr>
          <w:i/>
          <w:sz w:val="24"/>
          <w:lang w:val="en-US"/>
        </w:rPr>
      </w:pPr>
      <w:r w:rsidRPr="00277FDE">
        <w:rPr>
          <w:i/>
          <w:sz w:val="24"/>
          <w:lang w:val="en-US"/>
        </w:rPr>
        <w:t>“6. Doctors who have successfully completed their specialist training and are registered as licensed specialist must apply by public competition for posts within Kosovo’s public health service. They will not be able to stay in their training posts nor automatically be offered posts in their training institution.</w:t>
      </w:r>
    </w:p>
    <w:p w:rsidR="000E51A8" w:rsidRPr="00277FDE" w:rsidRDefault="000E51A8" w:rsidP="00277FDE">
      <w:pPr>
        <w:spacing w:line="240" w:lineRule="auto"/>
        <w:ind w:left="990"/>
        <w:rPr>
          <w:bCs/>
          <w:i/>
          <w:sz w:val="24"/>
          <w:lang w:val="en-US"/>
        </w:rPr>
      </w:pPr>
    </w:p>
    <w:p w:rsidR="00630C02" w:rsidRPr="00277FDE" w:rsidRDefault="000E51A8" w:rsidP="00277FDE">
      <w:pPr>
        <w:spacing w:line="240" w:lineRule="auto"/>
        <w:ind w:left="990"/>
        <w:rPr>
          <w:bCs/>
          <w:sz w:val="24"/>
          <w:lang w:val="en-US"/>
        </w:rPr>
      </w:pPr>
      <w:r w:rsidRPr="00277FDE">
        <w:rPr>
          <w:bCs/>
          <w:sz w:val="24"/>
          <w:lang w:val="en-US"/>
        </w:rPr>
        <w:t xml:space="preserve">7. </w:t>
      </w:r>
      <w:r w:rsidR="007A6650" w:rsidRPr="00277FDE">
        <w:rPr>
          <w:bCs/>
          <w:i/>
          <w:sz w:val="24"/>
          <w:lang w:val="en-US"/>
        </w:rPr>
        <w:t xml:space="preserve">[…] </w:t>
      </w:r>
      <w:r w:rsidR="00630C02" w:rsidRPr="00277FDE">
        <w:rPr>
          <w:i/>
          <w:sz w:val="24"/>
          <w:lang w:val="en-US"/>
        </w:rPr>
        <w:t>When doctors accept an offer of specialist training from the Department of Health and Social Welfare they must end any commitment to a previous employer and no agreement in respect of future work shall be binding.”</w:t>
      </w:r>
    </w:p>
    <w:p w:rsidR="00BC7B0E" w:rsidRPr="00277FDE" w:rsidRDefault="00BC7B0E" w:rsidP="00277FDE">
      <w:pPr>
        <w:pStyle w:val="ListParagraph"/>
        <w:spacing w:line="240" w:lineRule="auto"/>
        <w:rPr>
          <w:color w:val="000000"/>
          <w:sz w:val="24"/>
          <w:lang w:val="en-US"/>
        </w:rPr>
      </w:pPr>
    </w:p>
    <w:p w:rsidR="00016883" w:rsidRPr="00277FDE" w:rsidRDefault="00016883" w:rsidP="00277FDE">
      <w:pPr>
        <w:numPr>
          <w:ilvl w:val="0"/>
          <w:numId w:val="1"/>
        </w:numPr>
        <w:tabs>
          <w:tab w:val="clear" w:pos="720"/>
        </w:tabs>
        <w:spacing w:line="240" w:lineRule="auto"/>
        <w:ind w:left="630" w:hanging="630"/>
        <w:rPr>
          <w:color w:val="000000"/>
          <w:sz w:val="24"/>
          <w:lang w:val="en-US"/>
        </w:rPr>
      </w:pPr>
      <w:r w:rsidRPr="00277FDE">
        <w:rPr>
          <w:color w:val="000000"/>
          <w:sz w:val="24"/>
          <w:lang w:val="en-US"/>
        </w:rPr>
        <w:t xml:space="preserve">On 17 </w:t>
      </w:r>
      <w:r w:rsidRPr="00277FDE">
        <w:rPr>
          <w:bCs/>
          <w:iCs/>
          <w:sz w:val="24"/>
          <w:lang w:val="en-US"/>
        </w:rPr>
        <w:t>January</w:t>
      </w:r>
      <w:r w:rsidRPr="00277FDE">
        <w:rPr>
          <w:color w:val="000000"/>
          <w:sz w:val="24"/>
          <w:lang w:val="en-US"/>
        </w:rPr>
        <w:t xml:space="preserve"> 2001, </w:t>
      </w:r>
      <w:r w:rsidRPr="00277FDE">
        <w:rPr>
          <w:bCs/>
          <w:iCs/>
          <w:sz w:val="24"/>
          <w:lang w:val="en-US"/>
        </w:rPr>
        <w:t>by</w:t>
      </w:r>
      <w:r w:rsidRPr="00277FDE">
        <w:rPr>
          <w:color w:val="000000"/>
          <w:sz w:val="24"/>
          <w:lang w:val="en-US"/>
        </w:rPr>
        <w:t xml:space="preserve"> Decision (Ref. </w:t>
      </w:r>
      <w:r w:rsidR="001340E3" w:rsidRPr="00277FDE">
        <w:rPr>
          <w:color w:val="000000"/>
          <w:sz w:val="24"/>
          <w:lang w:val="en-US"/>
        </w:rPr>
        <w:t xml:space="preserve">No. 893/2000), </w:t>
      </w:r>
      <w:r w:rsidRPr="00277FDE">
        <w:rPr>
          <w:color w:val="000000"/>
          <w:sz w:val="24"/>
          <w:lang w:val="en-US"/>
        </w:rPr>
        <w:t xml:space="preserve">the </w:t>
      </w:r>
      <w:r w:rsidR="005D10F1" w:rsidRPr="00277FDE">
        <w:rPr>
          <w:color w:val="000000"/>
          <w:sz w:val="24"/>
          <w:lang w:val="en-US"/>
        </w:rPr>
        <w:t>JIAS-DHSW</w:t>
      </w:r>
      <w:r w:rsidRPr="00277FDE">
        <w:rPr>
          <w:color w:val="000000"/>
          <w:sz w:val="24"/>
          <w:lang w:val="en-US"/>
        </w:rPr>
        <w:t xml:space="preserve"> </w:t>
      </w:r>
      <w:r w:rsidR="00AF0578" w:rsidRPr="00277FDE">
        <w:rPr>
          <w:color w:val="000000"/>
          <w:sz w:val="24"/>
          <w:lang w:val="en-US"/>
        </w:rPr>
        <w:t xml:space="preserve">agreed to allow </w:t>
      </w:r>
      <w:r w:rsidRPr="00277FDE">
        <w:rPr>
          <w:color w:val="000000"/>
          <w:sz w:val="24"/>
          <w:lang w:val="en-US"/>
        </w:rPr>
        <w:t xml:space="preserve">the Applicant </w:t>
      </w:r>
      <w:r w:rsidR="00F4750B" w:rsidRPr="00277FDE">
        <w:rPr>
          <w:color w:val="000000"/>
          <w:sz w:val="24"/>
          <w:lang w:val="en-US"/>
        </w:rPr>
        <w:t xml:space="preserve">to pursue a </w:t>
      </w:r>
      <w:r w:rsidRPr="00277FDE">
        <w:rPr>
          <w:color w:val="000000"/>
          <w:sz w:val="24"/>
          <w:lang w:val="en-US"/>
        </w:rPr>
        <w:t>specialization in orthodontics</w:t>
      </w:r>
      <w:r w:rsidR="00F4750B" w:rsidRPr="00277FDE">
        <w:rPr>
          <w:color w:val="000000"/>
          <w:sz w:val="24"/>
          <w:lang w:val="en-US"/>
        </w:rPr>
        <w:t xml:space="preserve">, financed by the </w:t>
      </w:r>
      <w:r w:rsidR="005D10F1" w:rsidRPr="00277FDE">
        <w:rPr>
          <w:color w:val="000000"/>
          <w:sz w:val="24"/>
          <w:lang w:val="en-US"/>
        </w:rPr>
        <w:t>JIAS-DHSW</w:t>
      </w:r>
      <w:r w:rsidR="00E44C3A" w:rsidRPr="00277FDE">
        <w:rPr>
          <w:color w:val="000000"/>
          <w:sz w:val="24"/>
          <w:lang w:val="en-US"/>
        </w:rPr>
        <w:t>, under the terms of Administrative Instruction (Health) 17/2000</w:t>
      </w:r>
      <w:r w:rsidRPr="00277FDE">
        <w:rPr>
          <w:color w:val="000000"/>
          <w:sz w:val="24"/>
          <w:lang w:val="en-US"/>
        </w:rPr>
        <w:t>.</w:t>
      </w:r>
    </w:p>
    <w:p w:rsidR="00D205DA" w:rsidRPr="00277FDE" w:rsidRDefault="00D205DA" w:rsidP="00277FDE">
      <w:pPr>
        <w:spacing w:line="240" w:lineRule="auto"/>
        <w:ind w:left="630"/>
        <w:rPr>
          <w:color w:val="000000"/>
          <w:sz w:val="24"/>
          <w:lang w:val="en-US"/>
        </w:rPr>
      </w:pPr>
    </w:p>
    <w:p w:rsidR="00266056" w:rsidRPr="00277FDE" w:rsidRDefault="00016883" w:rsidP="00277FDE">
      <w:pPr>
        <w:numPr>
          <w:ilvl w:val="0"/>
          <w:numId w:val="1"/>
        </w:numPr>
        <w:tabs>
          <w:tab w:val="clear" w:pos="720"/>
        </w:tabs>
        <w:spacing w:line="240" w:lineRule="auto"/>
        <w:ind w:left="630" w:hanging="630"/>
        <w:rPr>
          <w:color w:val="000000"/>
          <w:sz w:val="24"/>
          <w:lang w:val="en-US"/>
        </w:rPr>
      </w:pPr>
      <w:r w:rsidRPr="00277FDE">
        <w:rPr>
          <w:color w:val="000000"/>
          <w:sz w:val="24"/>
          <w:lang w:val="en-US"/>
        </w:rPr>
        <w:t xml:space="preserve">On 02 April 2001, the Applicant and the </w:t>
      </w:r>
      <w:r w:rsidR="005D10F1" w:rsidRPr="00277FDE">
        <w:rPr>
          <w:color w:val="000000"/>
          <w:sz w:val="24"/>
          <w:lang w:val="en-US"/>
        </w:rPr>
        <w:t>JIAS-DHSW</w:t>
      </w:r>
      <w:r w:rsidRPr="00277FDE">
        <w:rPr>
          <w:color w:val="000000"/>
          <w:sz w:val="24"/>
          <w:lang w:val="en-US"/>
        </w:rPr>
        <w:t xml:space="preserve"> </w:t>
      </w:r>
      <w:r w:rsidRPr="00277FDE">
        <w:rPr>
          <w:bCs/>
          <w:iCs/>
          <w:sz w:val="24"/>
          <w:lang w:val="en-US"/>
        </w:rPr>
        <w:t>signed</w:t>
      </w:r>
      <w:r w:rsidRPr="00277FDE">
        <w:rPr>
          <w:color w:val="000000"/>
          <w:sz w:val="24"/>
          <w:lang w:val="en-US"/>
        </w:rPr>
        <w:t xml:space="preserve"> a</w:t>
      </w:r>
      <w:r w:rsidR="00266056" w:rsidRPr="00277FDE">
        <w:rPr>
          <w:color w:val="000000"/>
          <w:sz w:val="24"/>
          <w:lang w:val="en-US"/>
        </w:rPr>
        <w:t>n “Employment Contract of Specialists”. This</w:t>
      </w:r>
      <w:r w:rsidRPr="00277FDE">
        <w:rPr>
          <w:color w:val="000000"/>
          <w:sz w:val="24"/>
          <w:lang w:val="en-US"/>
        </w:rPr>
        <w:t xml:space="preserve"> contract </w:t>
      </w:r>
      <w:r w:rsidR="00266056" w:rsidRPr="00277FDE">
        <w:rPr>
          <w:color w:val="000000"/>
          <w:sz w:val="24"/>
          <w:lang w:val="en-US"/>
        </w:rPr>
        <w:t xml:space="preserve">stipulated, </w:t>
      </w:r>
      <w:r w:rsidR="00266056" w:rsidRPr="00277FDE">
        <w:rPr>
          <w:i/>
          <w:color w:val="000000"/>
          <w:sz w:val="24"/>
          <w:lang w:val="en-US"/>
        </w:rPr>
        <w:t>inter alia</w:t>
      </w:r>
      <w:r w:rsidR="00266056" w:rsidRPr="00277FDE">
        <w:rPr>
          <w:color w:val="000000"/>
          <w:sz w:val="24"/>
          <w:lang w:val="en-US"/>
        </w:rPr>
        <w:t xml:space="preserve">, that the Applicant would take up a training position at the University Clinical Centre of </w:t>
      </w:r>
      <w:proofErr w:type="spellStart"/>
      <w:r w:rsidR="00266056" w:rsidRPr="00277FDE">
        <w:rPr>
          <w:color w:val="000000"/>
          <w:sz w:val="24"/>
          <w:lang w:val="en-US"/>
        </w:rPr>
        <w:t>Prishtina</w:t>
      </w:r>
      <w:proofErr w:type="spellEnd"/>
      <w:r w:rsidR="00266056" w:rsidRPr="00277FDE">
        <w:rPr>
          <w:color w:val="000000"/>
          <w:sz w:val="24"/>
          <w:lang w:val="en-US"/>
        </w:rPr>
        <w:t>, that the employment contract would run from 10 January 2001 to 10 January 2005, and that she would be paid a monthly salary of 360 Deutsch Marks.</w:t>
      </w:r>
    </w:p>
    <w:p w:rsidR="00266056" w:rsidRPr="00277FDE" w:rsidRDefault="00266056" w:rsidP="00277FDE">
      <w:pPr>
        <w:pStyle w:val="ListParagraph"/>
        <w:spacing w:line="240" w:lineRule="auto"/>
        <w:rPr>
          <w:color w:val="000000"/>
          <w:sz w:val="24"/>
          <w:lang w:val="en-US"/>
        </w:rPr>
      </w:pPr>
    </w:p>
    <w:p w:rsidR="001B7AFE" w:rsidRPr="00277FDE" w:rsidRDefault="00266056" w:rsidP="00277FDE">
      <w:pPr>
        <w:numPr>
          <w:ilvl w:val="0"/>
          <w:numId w:val="1"/>
        </w:numPr>
        <w:tabs>
          <w:tab w:val="clear" w:pos="720"/>
        </w:tabs>
        <w:spacing w:line="240" w:lineRule="auto"/>
        <w:ind w:left="630" w:hanging="630"/>
        <w:rPr>
          <w:i/>
          <w:color w:val="000000"/>
          <w:sz w:val="24"/>
          <w:lang w:val="en-US"/>
        </w:rPr>
      </w:pPr>
      <w:r w:rsidRPr="00277FDE">
        <w:rPr>
          <w:color w:val="000000"/>
          <w:sz w:val="24"/>
          <w:lang w:val="en-US"/>
        </w:rPr>
        <w:t xml:space="preserve">The </w:t>
      </w:r>
      <w:r w:rsidRPr="00277FDE">
        <w:rPr>
          <w:bCs/>
          <w:iCs/>
          <w:sz w:val="24"/>
          <w:lang w:val="en-US"/>
        </w:rPr>
        <w:t>employment</w:t>
      </w:r>
      <w:r w:rsidRPr="00277FDE">
        <w:rPr>
          <w:color w:val="000000"/>
          <w:sz w:val="24"/>
          <w:lang w:val="en-US"/>
        </w:rPr>
        <w:t xml:space="preserve"> contract also stipulated</w:t>
      </w:r>
      <w:r w:rsidR="00B84FF2" w:rsidRPr="00277FDE">
        <w:rPr>
          <w:color w:val="000000"/>
          <w:sz w:val="24"/>
          <w:lang w:val="en-US"/>
        </w:rPr>
        <w:t xml:space="preserve"> </w:t>
      </w:r>
      <w:r w:rsidR="00016883" w:rsidRPr="00277FDE">
        <w:rPr>
          <w:color w:val="000000"/>
          <w:sz w:val="24"/>
          <w:lang w:val="en-US"/>
        </w:rPr>
        <w:t>that</w:t>
      </w:r>
      <w:r w:rsidRPr="00277FDE">
        <w:rPr>
          <w:color w:val="000000"/>
          <w:sz w:val="24"/>
          <w:lang w:val="en-US"/>
        </w:rPr>
        <w:t>,</w:t>
      </w:r>
      <w:r w:rsidR="00016883" w:rsidRPr="00277FDE">
        <w:rPr>
          <w:color w:val="000000"/>
          <w:sz w:val="24"/>
          <w:lang w:val="en-US"/>
        </w:rPr>
        <w:t xml:space="preserve"> </w:t>
      </w:r>
    </w:p>
    <w:p w:rsidR="001B7AFE" w:rsidRPr="00277FDE" w:rsidRDefault="001B7AFE" w:rsidP="00277FDE">
      <w:pPr>
        <w:pStyle w:val="ListParagraph"/>
        <w:spacing w:line="240" w:lineRule="auto"/>
        <w:rPr>
          <w:i/>
          <w:color w:val="000000"/>
          <w:sz w:val="24"/>
          <w:lang w:val="en-US"/>
        </w:rPr>
      </w:pPr>
    </w:p>
    <w:p w:rsidR="007A5868" w:rsidRPr="00277FDE" w:rsidRDefault="007A5868" w:rsidP="00277FDE">
      <w:pPr>
        <w:spacing w:line="240" w:lineRule="auto"/>
        <w:ind w:left="990"/>
        <w:rPr>
          <w:i/>
          <w:color w:val="000000"/>
          <w:sz w:val="24"/>
          <w:lang w:val="en-US"/>
        </w:rPr>
      </w:pPr>
      <w:r w:rsidRPr="00277FDE">
        <w:rPr>
          <w:i/>
          <w:color w:val="000000"/>
          <w:sz w:val="24"/>
          <w:lang w:val="en-US"/>
        </w:rPr>
        <w:t>“</w:t>
      </w:r>
      <w:r w:rsidRPr="00277FDE">
        <w:rPr>
          <w:i/>
          <w:sz w:val="24"/>
          <w:lang w:val="en-US"/>
        </w:rPr>
        <w:t>It is required that after successful completion of professional training and registration as a licensed doctor to work full working hours for five uninterrupted years for the Public Health Service of Kosovo or to return all salaries earned as a trainee specialist.”</w:t>
      </w:r>
    </w:p>
    <w:p w:rsidR="00D205DA" w:rsidRPr="00277FDE" w:rsidRDefault="00D205DA" w:rsidP="00277FDE">
      <w:pPr>
        <w:pStyle w:val="ListParagraph"/>
        <w:spacing w:line="240" w:lineRule="auto"/>
        <w:rPr>
          <w:color w:val="000000"/>
          <w:sz w:val="24"/>
          <w:lang w:val="en-US"/>
        </w:rPr>
      </w:pPr>
    </w:p>
    <w:p w:rsidR="000E51A8" w:rsidRPr="00277FDE" w:rsidRDefault="001B7AFE" w:rsidP="00277FDE">
      <w:pPr>
        <w:numPr>
          <w:ilvl w:val="0"/>
          <w:numId w:val="1"/>
        </w:numPr>
        <w:tabs>
          <w:tab w:val="clear" w:pos="720"/>
        </w:tabs>
        <w:spacing w:line="240" w:lineRule="auto"/>
        <w:ind w:left="630" w:hanging="630"/>
        <w:rPr>
          <w:bCs/>
          <w:sz w:val="24"/>
          <w:lang w:val="en-US"/>
        </w:rPr>
      </w:pPr>
      <w:r w:rsidRPr="00277FDE">
        <w:rPr>
          <w:bCs/>
          <w:sz w:val="24"/>
          <w:lang w:val="en-US"/>
        </w:rPr>
        <w:t>Following the complet</w:t>
      </w:r>
      <w:r w:rsidR="000E51A8" w:rsidRPr="00277FDE">
        <w:rPr>
          <w:bCs/>
          <w:sz w:val="24"/>
          <w:lang w:val="en-US"/>
        </w:rPr>
        <w:t>ion of her specialization training, the</w:t>
      </w:r>
      <w:r w:rsidR="00BA6AD7" w:rsidRPr="00277FDE">
        <w:rPr>
          <w:bCs/>
          <w:sz w:val="24"/>
          <w:lang w:val="en-US"/>
        </w:rPr>
        <w:t xml:space="preserve"> Applicant </w:t>
      </w:r>
      <w:r w:rsidR="00BA6AD7" w:rsidRPr="00277FDE">
        <w:rPr>
          <w:bCs/>
          <w:iCs/>
          <w:sz w:val="24"/>
          <w:lang w:val="en-US"/>
        </w:rPr>
        <w:t>apparently</w:t>
      </w:r>
      <w:r w:rsidR="00BA6AD7" w:rsidRPr="00277FDE">
        <w:rPr>
          <w:bCs/>
          <w:sz w:val="24"/>
          <w:lang w:val="en-US"/>
        </w:rPr>
        <w:t xml:space="preserve"> met with the </w:t>
      </w:r>
      <w:r w:rsidR="000E51A8" w:rsidRPr="00277FDE">
        <w:rPr>
          <w:bCs/>
          <w:sz w:val="24"/>
          <w:lang w:val="en-US"/>
        </w:rPr>
        <w:t>Director</w:t>
      </w:r>
      <w:r w:rsidR="00BA6AD7" w:rsidRPr="00277FDE">
        <w:rPr>
          <w:bCs/>
          <w:sz w:val="24"/>
          <w:lang w:val="en-US"/>
        </w:rPr>
        <w:t>-General</w:t>
      </w:r>
      <w:r w:rsidR="000E51A8" w:rsidRPr="00277FDE">
        <w:rPr>
          <w:bCs/>
          <w:sz w:val="24"/>
          <w:lang w:val="en-US"/>
        </w:rPr>
        <w:t xml:space="preserve"> of the Health </w:t>
      </w:r>
      <w:r w:rsidR="00BA6AD7" w:rsidRPr="00277FDE">
        <w:rPr>
          <w:bCs/>
          <w:sz w:val="24"/>
          <w:lang w:val="en-US"/>
        </w:rPr>
        <w:t xml:space="preserve">House </w:t>
      </w:r>
      <w:r w:rsidR="000E51A8" w:rsidRPr="00277FDE">
        <w:rPr>
          <w:bCs/>
          <w:sz w:val="24"/>
          <w:lang w:val="en-US"/>
        </w:rPr>
        <w:t xml:space="preserve">of </w:t>
      </w:r>
      <w:proofErr w:type="spellStart"/>
      <w:r w:rsidR="000E51A8" w:rsidRPr="00277FDE">
        <w:rPr>
          <w:bCs/>
          <w:sz w:val="24"/>
          <w:lang w:val="en-US"/>
        </w:rPr>
        <w:t>P</w:t>
      </w:r>
      <w:r w:rsidRPr="00277FDE">
        <w:rPr>
          <w:bCs/>
          <w:sz w:val="24"/>
          <w:lang w:val="en-US"/>
        </w:rPr>
        <w:t>r</w:t>
      </w:r>
      <w:r w:rsidR="00EE52D3" w:rsidRPr="00277FDE">
        <w:rPr>
          <w:bCs/>
          <w:sz w:val="24"/>
          <w:lang w:val="en-US"/>
        </w:rPr>
        <w:t>ishtina</w:t>
      </w:r>
      <w:proofErr w:type="spellEnd"/>
      <w:r w:rsidR="00EE52D3" w:rsidRPr="00277FDE">
        <w:rPr>
          <w:bCs/>
          <w:sz w:val="24"/>
          <w:lang w:val="en-US"/>
        </w:rPr>
        <w:t xml:space="preserve">, </w:t>
      </w:r>
      <w:r w:rsidR="00EE52D3" w:rsidRPr="00277FDE">
        <w:rPr>
          <w:sz w:val="24"/>
          <w:lang w:val="en-US"/>
        </w:rPr>
        <w:t xml:space="preserve">the Permanent Secretary of the Ministry of Health and the Director of the Health Directorate of the Municipality of </w:t>
      </w:r>
      <w:proofErr w:type="spellStart"/>
      <w:r w:rsidR="00EE52D3" w:rsidRPr="00277FDE">
        <w:rPr>
          <w:sz w:val="24"/>
          <w:lang w:val="en-US"/>
        </w:rPr>
        <w:t>Prishtina</w:t>
      </w:r>
      <w:proofErr w:type="spellEnd"/>
      <w:r w:rsidR="00EE52D3" w:rsidRPr="00277FDE">
        <w:rPr>
          <w:sz w:val="24"/>
          <w:lang w:val="en-US"/>
        </w:rPr>
        <w:t>,</w:t>
      </w:r>
      <w:r w:rsidR="000E51A8" w:rsidRPr="00277FDE">
        <w:rPr>
          <w:bCs/>
          <w:sz w:val="24"/>
          <w:lang w:val="en-US"/>
        </w:rPr>
        <w:t xml:space="preserve"> to request a position as a specialist.</w:t>
      </w:r>
      <w:r w:rsidR="00BA6AD7" w:rsidRPr="00277FDE">
        <w:rPr>
          <w:bCs/>
          <w:sz w:val="24"/>
          <w:lang w:val="en-US"/>
        </w:rPr>
        <w:t xml:space="preserve"> Allegedly, the Applicant was informed </w:t>
      </w:r>
      <w:r w:rsidR="00EE52D3" w:rsidRPr="00277FDE">
        <w:rPr>
          <w:bCs/>
          <w:sz w:val="24"/>
          <w:lang w:val="en-US"/>
        </w:rPr>
        <w:t xml:space="preserve">by all these officials </w:t>
      </w:r>
      <w:r w:rsidR="00BA6AD7" w:rsidRPr="00277FDE">
        <w:rPr>
          <w:bCs/>
          <w:sz w:val="24"/>
          <w:lang w:val="en-US"/>
        </w:rPr>
        <w:t>that there were no positions available.</w:t>
      </w:r>
    </w:p>
    <w:p w:rsidR="000E51A8" w:rsidRPr="00277FDE" w:rsidRDefault="000E51A8" w:rsidP="00277FDE">
      <w:pPr>
        <w:pStyle w:val="ListParagraph"/>
        <w:spacing w:line="240" w:lineRule="auto"/>
        <w:rPr>
          <w:bCs/>
          <w:sz w:val="24"/>
          <w:lang w:val="en-US"/>
        </w:rPr>
      </w:pPr>
    </w:p>
    <w:p w:rsidR="00D12BF8" w:rsidRPr="00277FDE" w:rsidRDefault="00D12BF8" w:rsidP="00277FDE">
      <w:pPr>
        <w:numPr>
          <w:ilvl w:val="0"/>
          <w:numId w:val="1"/>
        </w:numPr>
        <w:tabs>
          <w:tab w:val="clear" w:pos="720"/>
        </w:tabs>
        <w:spacing w:line="240" w:lineRule="auto"/>
        <w:ind w:left="630" w:hanging="630"/>
        <w:rPr>
          <w:bCs/>
          <w:sz w:val="24"/>
          <w:lang w:val="en-US"/>
        </w:rPr>
      </w:pPr>
      <w:r w:rsidRPr="00277FDE">
        <w:rPr>
          <w:bCs/>
          <w:sz w:val="24"/>
          <w:lang w:val="en-US"/>
        </w:rPr>
        <w:t xml:space="preserve">On 04 May 2005, </w:t>
      </w:r>
      <w:r w:rsidR="00BA6AD7" w:rsidRPr="00277FDE">
        <w:rPr>
          <w:bCs/>
          <w:sz w:val="24"/>
          <w:lang w:val="en-US"/>
        </w:rPr>
        <w:t xml:space="preserve">together with a number of other doctors who had completed their </w:t>
      </w:r>
      <w:r w:rsidR="00BA6AD7" w:rsidRPr="00277FDE">
        <w:rPr>
          <w:bCs/>
          <w:iCs/>
          <w:sz w:val="24"/>
          <w:lang w:val="en-US"/>
        </w:rPr>
        <w:t>specialization</w:t>
      </w:r>
      <w:r w:rsidR="00BA6AD7" w:rsidRPr="00277FDE">
        <w:rPr>
          <w:bCs/>
          <w:sz w:val="24"/>
          <w:lang w:val="en-US"/>
        </w:rPr>
        <w:t xml:space="preserve"> training, the Applicant addressed a letter to the Director-General of the Health House of </w:t>
      </w:r>
      <w:proofErr w:type="spellStart"/>
      <w:r w:rsidR="00BA6AD7" w:rsidRPr="00277FDE">
        <w:rPr>
          <w:bCs/>
          <w:sz w:val="24"/>
          <w:lang w:val="en-US"/>
        </w:rPr>
        <w:t>P</w:t>
      </w:r>
      <w:r w:rsidR="007F303B" w:rsidRPr="00277FDE">
        <w:rPr>
          <w:bCs/>
          <w:sz w:val="24"/>
          <w:lang w:val="en-US"/>
        </w:rPr>
        <w:t>r</w:t>
      </w:r>
      <w:r w:rsidR="004F036B" w:rsidRPr="00277FDE">
        <w:rPr>
          <w:bCs/>
          <w:sz w:val="24"/>
          <w:lang w:val="en-US"/>
        </w:rPr>
        <w:t>ishtina</w:t>
      </w:r>
      <w:proofErr w:type="spellEnd"/>
      <w:r w:rsidR="004F036B" w:rsidRPr="00277FDE">
        <w:rPr>
          <w:bCs/>
          <w:sz w:val="24"/>
          <w:lang w:val="en-US"/>
        </w:rPr>
        <w:t xml:space="preserve"> </w:t>
      </w:r>
      <w:r w:rsidR="00BA6AD7" w:rsidRPr="00277FDE">
        <w:rPr>
          <w:bCs/>
          <w:sz w:val="24"/>
          <w:lang w:val="en-US"/>
        </w:rPr>
        <w:t xml:space="preserve">requesting reinstatement to her previous position as a non-specialist dentist, and compensation for lost salaries. </w:t>
      </w:r>
    </w:p>
    <w:p w:rsidR="004F036B" w:rsidRPr="00277FDE" w:rsidRDefault="004F036B" w:rsidP="00277FDE">
      <w:pPr>
        <w:pStyle w:val="ListParagraph"/>
        <w:spacing w:line="240" w:lineRule="auto"/>
        <w:rPr>
          <w:bCs/>
          <w:sz w:val="24"/>
          <w:lang w:val="en-US"/>
        </w:rPr>
      </w:pPr>
    </w:p>
    <w:p w:rsidR="004F036B" w:rsidRPr="00277FDE" w:rsidRDefault="004F036B" w:rsidP="00277FDE">
      <w:pPr>
        <w:numPr>
          <w:ilvl w:val="0"/>
          <w:numId w:val="1"/>
        </w:numPr>
        <w:tabs>
          <w:tab w:val="clear" w:pos="720"/>
        </w:tabs>
        <w:spacing w:line="240" w:lineRule="auto"/>
        <w:ind w:left="630" w:hanging="630"/>
        <w:rPr>
          <w:bCs/>
          <w:sz w:val="24"/>
          <w:lang w:val="en-US"/>
        </w:rPr>
      </w:pPr>
      <w:r w:rsidRPr="00277FDE">
        <w:rPr>
          <w:bCs/>
          <w:sz w:val="24"/>
          <w:lang w:val="en-US"/>
        </w:rPr>
        <w:t>It appears that</w:t>
      </w:r>
      <w:r w:rsidRPr="00277FDE">
        <w:rPr>
          <w:bCs/>
          <w:iCs/>
          <w:sz w:val="24"/>
          <w:lang w:val="en-US"/>
        </w:rPr>
        <w:t xml:space="preserve"> </w:t>
      </w:r>
      <w:r w:rsidRPr="00277FDE">
        <w:rPr>
          <w:bCs/>
          <w:sz w:val="24"/>
          <w:lang w:val="en-US"/>
        </w:rPr>
        <w:t xml:space="preserve">the Director-General of the Health House of </w:t>
      </w:r>
      <w:proofErr w:type="spellStart"/>
      <w:r w:rsidRPr="00277FDE">
        <w:rPr>
          <w:bCs/>
          <w:sz w:val="24"/>
          <w:lang w:val="en-US"/>
        </w:rPr>
        <w:t>Prishtina</w:t>
      </w:r>
      <w:proofErr w:type="spellEnd"/>
      <w:r w:rsidRPr="00277FDE">
        <w:rPr>
          <w:bCs/>
          <w:sz w:val="24"/>
          <w:lang w:val="en-US"/>
        </w:rPr>
        <w:t xml:space="preserve"> did not respond to this letter.</w:t>
      </w:r>
    </w:p>
    <w:p w:rsidR="00D205DA" w:rsidRPr="00277FDE" w:rsidRDefault="00D205DA" w:rsidP="00277FDE">
      <w:pPr>
        <w:pStyle w:val="ListParagraph"/>
        <w:spacing w:line="240" w:lineRule="auto"/>
        <w:rPr>
          <w:bCs/>
          <w:sz w:val="24"/>
          <w:lang w:val="en-US"/>
        </w:rPr>
      </w:pPr>
    </w:p>
    <w:p w:rsidR="000B744A" w:rsidRPr="00277FDE" w:rsidRDefault="00D12BF8" w:rsidP="00277FDE">
      <w:pPr>
        <w:numPr>
          <w:ilvl w:val="0"/>
          <w:numId w:val="1"/>
        </w:numPr>
        <w:tabs>
          <w:tab w:val="clear" w:pos="720"/>
        </w:tabs>
        <w:spacing w:line="240" w:lineRule="auto"/>
        <w:ind w:left="630" w:hanging="630"/>
        <w:rPr>
          <w:bCs/>
          <w:sz w:val="24"/>
          <w:lang w:val="en-US"/>
        </w:rPr>
      </w:pPr>
      <w:r w:rsidRPr="00277FDE">
        <w:rPr>
          <w:bCs/>
          <w:sz w:val="24"/>
          <w:lang w:val="en-US"/>
        </w:rPr>
        <w:t xml:space="preserve">On 12 May </w:t>
      </w:r>
      <w:r w:rsidRPr="00277FDE">
        <w:rPr>
          <w:bCs/>
          <w:iCs/>
          <w:sz w:val="24"/>
          <w:lang w:val="en-US"/>
        </w:rPr>
        <w:t>2006</w:t>
      </w:r>
      <w:r w:rsidRPr="00277FDE">
        <w:rPr>
          <w:bCs/>
          <w:sz w:val="24"/>
          <w:lang w:val="en-US"/>
        </w:rPr>
        <w:t xml:space="preserve">, the Minister of Health rendered </w:t>
      </w:r>
      <w:r w:rsidR="008408A6" w:rsidRPr="00277FDE">
        <w:rPr>
          <w:bCs/>
          <w:sz w:val="24"/>
          <w:lang w:val="en-US"/>
        </w:rPr>
        <w:t xml:space="preserve">a </w:t>
      </w:r>
      <w:r w:rsidRPr="00277FDE">
        <w:rPr>
          <w:bCs/>
          <w:sz w:val="24"/>
          <w:lang w:val="en-US"/>
        </w:rPr>
        <w:t>Decision (No. 20-03-2006) which suspended the implementation of item</w:t>
      </w:r>
      <w:r w:rsidR="00AF0578" w:rsidRPr="00277FDE">
        <w:rPr>
          <w:bCs/>
          <w:sz w:val="24"/>
          <w:lang w:val="en-US"/>
        </w:rPr>
        <w:t>s</w:t>
      </w:r>
      <w:r w:rsidRPr="00277FDE">
        <w:rPr>
          <w:bCs/>
          <w:sz w:val="24"/>
          <w:lang w:val="en-US"/>
        </w:rPr>
        <w:t xml:space="preserve"> 9 and 10 of the </w:t>
      </w:r>
      <w:r w:rsidR="00411F59" w:rsidRPr="00277FDE">
        <w:rPr>
          <w:bCs/>
          <w:sz w:val="24"/>
          <w:lang w:val="en-US"/>
        </w:rPr>
        <w:t>Agreement</w:t>
      </w:r>
      <w:r w:rsidRPr="00277FDE">
        <w:rPr>
          <w:bCs/>
          <w:sz w:val="24"/>
          <w:lang w:val="en-US"/>
        </w:rPr>
        <w:t xml:space="preserve"> on financing of </w:t>
      </w:r>
      <w:r w:rsidRPr="00277FDE">
        <w:rPr>
          <w:bCs/>
          <w:iCs/>
          <w:sz w:val="24"/>
          <w:lang w:val="en-US"/>
        </w:rPr>
        <w:t>postgraduate</w:t>
      </w:r>
      <w:r w:rsidRPr="00277FDE">
        <w:rPr>
          <w:bCs/>
          <w:sz w:val="24"/>
          <w:lang w:val="en-US"/>
        </w:rPr>
        <w:t xml:space="preserve"> studies (specialization) and the obligations taken by </w:t>
      </w:r>
      <w:r w:rsidR="00411F59" w:rsidRPr="00277FDE">
        <w:rPr>
          <w:bCs/>
          <w:sz w:val="24"/>
          <w:lang w:val="en-US"/>
        </w:rPr>
        <w:lastRenderedPageBreak/>
        <w:t>t</w:t>
      </w:r>
      <w:r w:rsidR="008408A6" w:rsidRPr="00277FDE">
        <w:rPr>
          <w:bCs/>
          <w:sz w:val="24"/>
          <w:lang w:val="en-US"/>
        </w:rPr>
        <w:t>rainee specialists</w:t>
      </w:r>
      <w:r w:rsidRPr="00277FDE">
        <w:rPr>
          <w:bCs/>
          <w:sz w:val="24"/>
          <w:lang w:val="en-US"/>
        </w:rPr>
        <w:t xml:space="preserve"> after the completion of specialization. </w:t>
      </w:r>
      <w:r w:rsidR="00145089" w:rsidRPr="00277FDE">
        <w:rPr>
          <w:bCs/>
          <w:sz w:val="24"/>
          <w:lang w:val="en-US"/>
        </w:rPr>
        <w:t>According to t</w:t>
      </w:r>
      <w:r w:rsidRPr="00277FDE">
        <w:rPr>
          <w:bCs/>
          <w:sz w:val="24"/>
          <w:lang w:val="en-US"/>
        </w:rPr>
        <w:t xml:space="preserve">his decision, the </w:t>
      </w:r>
      <w:r w:rsidR="00145089" w:rsidRPr="00277FDE">
        <w:rPr>
          <w:bCs/>
          <w:sz w:val="24"/>
          <w:lang w:val="en-US"/>
        </w:rPr>
        <w:t>specialists</w:t>
      </w:r>
      <w:r w:rsidRPr="00277FDE">
        <w:rPr>
          <w:bCs/>
          <w:sz w:val="24"/>
          <w:lang w:val="en-US"/>
        </w:rPr>
        <w:t xml:space="preserve"> are exempted from the obligation to continue to work for another five years in the health sector in Kosovo. The decision in question was taken on the grounds</w:t>
      </w:r>
      <w:r w:rsidR="00145089" w:rsidRPr="00277FDE">
        <w:rPr>
          <w:bCs/>
          <w:sz w:val="24"/>
          <w:lang w:val="en-US"/>
        </w:rPr>
        <w:t xml:space="preserve"> that</w:t>
      </w:r>
      <w:r w:rsidR="00F4750B" w:rsidRPr="00277FDE">
        <w:rPr>
          <w:bCs/>
          <w:sz w:val="24"/>
          <w:lang w:val="en-US"/>
        </w:rPr>
        <w:t>,</w:t>
      </w:r>
      <w:r w:rsidRPr="00277FDE">
        <w:rPr>
          <w:bCs/>
          <w:sz w:val="24"/>
          <w:lang w:val="en-US"/>
        </w:rPr>
        <w:t xml:space="preserve"> “</w:t>
      </w:r>
      <w:r w:rsidRPr="00277FDE">
        <w:rPr>
          <w:i/>
          <w:iCs/>
          <w:sz w:val="24"/>
          <w:lang w:val="en-US"/>
        </w:rPr>
        <w:t>budget cuts hamper the implementation of item 9 and item 10</w:t>
      </w:r>
      <w:r w:rsidR="00F4750B" w:rsidRPr="00277FDE">
        <w:rPr>
          <w:bCs/>
          <w:i/>
          <w:sz w:val="24"/>
          <w:lang w:val="en-US"/>
        </w:rPr>
        <w:t>.”</w:t>
      </w:r>
    </w:p>
    <w:p w:rsidR="00277FDE" w:rsidRPr="00277FDE" w:rsidRDefault="00277FDE" w:rsidP="00277FDE">
      <w:pPr>
        <w:spacing w:line="240" w:lineRule="auto"/>
        <w:ind w:left="0"/>
        <w:rPr>
          <w:bCs/>
          <w:sz w:val="24"/>
          <w:lang w:val="en-US"/>
        </w:rPr>
      </w:pPr>
    </w:p>
    <w:p w:rsidR="000B744A" w:rsidRPr="00277FDE" w:rsidRDefault="000B744A" w:rsidP="00277FDE">
      <w:pPr>
        <w:spacing w:line="240" w:lineRule="auto"/>
        <w:ind w:left="630"/>
        <w:rPr>
          <w:b/>
          <w:bCs/>
          <w:i/>
          <w:sz w:val="24"/>
          <w:lang w:val="en-US"/>
        </w:rPr>
      </w:pPr>
      <w:r w:rsidRPr="00277FDE">
        <w:rPr>
          <w:b/>
          <w:bCs/>
          <w:i/>
          <w:sz w:val="24"/>
          <w:lang w:val="en-US"/>
        </w:rPr>
        <w:t>Request for a new position as specialist</w:t>
      </w:r>
    </w:p>
    <w:p w:rsidR="00A36E80" w:rsidRPr="00277FDE" w:rsidRDefault="00A36E80" w:rsidP="00277FDE">
      <w:pPr>
        <w:pStyle w:val="ListParagraph"/>
        <w:spacing w:line="240" w:lineRule="auto"/>
        <w:rPr>
          <w:bCs/>
          <w:sz w:val="24"/>
          <w:lang w:val="en-US"/>
        </w:rPr>
      </w:pPr>
    </w:p>
    <w:p w:rsidR="00D12BF8" w:rsidRPr="00277FDE" w:rsidRDefault="00D12BF8" w:rsidP="00277FDE">
      <w:pPr>
        <w:numPr>
          <w:ilvl w:val="0"/>
          <w:numId w:val="1"/>
        </w:numPr>
        <w:tabs>
          <w:tab w:val="clear" w:pos="720"/>
        </w:tabs>
        <w:spacing w:line="240" w:lineRule="auto"/>
        <w:ind w:left="630" w:hanging="630"/>
        <w:rPr>
          <w:bCs/>
          <w:sz w:val="24"/>
          <w:lang w:val="en-US"/>
        </w:rPr>
      </w:pPr>
      <w:r w:rsidRPr="00277FDE">
        <w:rPr>
          <w:bCs/>
          <w:sz w:val="24"/>
          <w:lang w:val="en-US"/>
        </w:rPr>
        <w:t xml:space="preserve">On </w:t>
      </w:r>
      <w:r w:rsidRPr="00277FDE">
        <w:rPr>
          <w:bCs/>
          <w:iCs/>
          <w:sz w:val="24"/>
          <w:lang w:val="en-US"/>
        </w:rPr>
        <w:t>an</w:t>
      </w:r>
      <w:r w:rsidRPr="00277FDE">
        <w:rPr>
          <w:bCs/>
          <w:sz w:val="24"/>
          <w:lang w:val="en-US"/>
        </w:rPr>
        <w:t xml:space="preserve"> unspecified date, the Applicant filed an appeal with the Independent Oversight Board of </w:t>
      </w:r>
      <w:r w:rsidRPr="00277FDE">
        <w:rPr>
          <w:bCs/>
          <w:iCs/>
          <w:sz w:val="24"/>
          <w:lang w:val="en-US"/>
        </w:rPr>
        <w:t>Kosovo</w:t>
      </w:r>
      <w:r w:rsidRPr="00277FDE">
        <w:rPr>
          <w:bCs/>
          <w:sz w:val="24"/>
          <w:lang w:val="en-US"/>
        </w:rPr>
        <w:t xml:space="preserve"> (hereinafter: IOBK) in which she requested the </w:t>
      </w:r>
      <w:r w:rsidR="00145089" w:rsidRPr="00277FDE">
        <w:rPr>
          <w:bCs/>
          <w:sz w:val="24"/>
          <w:lang w:val="en-US"/>
        </w:rPr>
        <w:t>establishment</w:t>
      </w:r>
      <w:r w:rsidRPr="00277FDE">
        <w:rPr>
          <w:bCs/>
          <w:sz w:val="24"/>
          <w:lang w:val="en-US"/>
        </w:rPr>
        <w:t xml:space="preserve"> of </w:t>
      </w:r>
      <w:r w:rsidR="001B7AFE" w:rsidRPr="00277FDE">
        <w:rPr>
          <w:bCs/>
          <w:sz w:val="24"/>
          <w:lang w:val="en-US"/>
        </w:rPr>
        <w:t>an</w:t>
      </w:r>
      <w:r w:rsidRPr="00277FDE">
        <w:rPr>
          <w:bCs/>
          <w:sz w:val="24"/>
          <w:lang w:val="en-US"/>
        </w:rPr>
        <w:t xml:space="preserve"> employment </w:t>
      </w:r>
      <w:r w:rsidR="00145089" w:rsidRPr="00277FDE">
        <w:rPr>
          <w:bCs/>
          <w:sz w:val="24"/>
          <w:lang w:val="en-US"/>
        </w:rPr>
        <w:t>relationship</w:t>
      </w:r>
      <w:r w:rsidRPr="00277FDE">
        <w:rPr>
          <w:bCs/>
          <w:sz w:val="24"/>
          <w:lang w:val="en-US"/>
        </w:rPr>
        <w:t xml:space="preserve"> in the position of </w:t>
      </w:r>
      <w:r w:rsidR="00145089" w:rsidRPr="00277FDE">
        <w:rPr>
          <w:bCs/>
          <w:sz w:val="24"/>
          <w:lang w:val="en-US"/>
        </w:rPr>
        <w:t xml:space="preserve">a </w:t>
      </w:r>
      <w:r w:rsidRPr="00277FDE">
        <w:rPr>
          <w:bCs/>
          <w:sz w:val="24"/>
          <w:lang w:val="en-US"/>
        </w:rPr>
        <w:t xml:space="preserve">specialist </w:t>
      </w:r>
      <w:r w:rsidR="00145089" w:rsidRPr="00277FDE">
        <w:rPr>
          <w:bCs/>
          <w:sz w:val="24"/>
          <w:lang w:val="en-US"/>
        </w:rPr>
        <w:t>of</w:t>
      </w:r>
      <w:r w:rsidRPr="00277FDE">
        <w:rPr>
          <w:bCs/>
          <w:sz w:val="24"/>
          <w:lang w:val="en-US"/>
        </w:rPr>
        <w:t xml:space="preserve"> </w:t>
      </w:r>
      <w:r w:rsidR="00145089" w:rsidRPr="00277FDE">
        <w:rPr>
          <w:bCs/>
          <w:sz w:val="24"/>
          <w:lang w:val="en-US"/>
        </w:rPr>
        <w:t>o</w:t>
      </w:r>
      <w:r w:rsidRPr="00277FDE">
        <w:rPr>
          <w:bCs/>
          <w:sz w:val="24"/>
          <w:lang w:val="en-US"/>
        </w:rPr>
        <w:t xml:space="preserve">rthodontics at the Health </w:t>
      </w:r>
      <w:r w:rsidR="000B744A" w:rsidRPr="00277FDE">
        <w:rPr>
          <w:bCs/>
          <w:sz w:val="24"/>
          <w:lang w:val="en-US"/>
        </w:rPr>
        <w:t>House</w:t>
      </w:r>
      <w:r w:rsidRPr="00277FDE">
        <w:rPr>
          <w:bCs/>
          <w:sz w:val="24"/>
          <w:lang w:val="en-US"/>
        </w:rPr>
        <w:t xml:space="preserve"> in </w:t>
      </w:r>
      <w:proofErr w:type="spellStart"/>
      <w:r w:rsidRPr="00277FDE">
        <w:rPr>
          <w:bCs/>
          <w:sz w:val="24"/>
          <w:lang w:val="en-US"/>
        </w:rPr>
        <w:t>Prishtina</w:t>
      </w:r>
      <w:proofErr w:type="spellEnd"/>
      <w:r w:rsidRPr="00277FDE">
        <w:rPr>
          <w:bCs/>
          <w:sz w:val="24"/>
          <w:lang w:val="en-US"/>
        </w:rPr>
        <w:t>.</w:t>
      </w:r>
    </w:p>
    <w:p w:rsidR="009A1E76" w:rsidRPr="00277FDE" w:rsidRDefault="009A1E76" w:rsidP="00277FDE">
      <w:pPr>
        <w:pStyle w:val="ListParagraph"/>
        <w:spacing w:line="240" w:lineRule="auto"/>
        <w:rPr>
          <w:bCs/>
          <w:sz w:val="24"/>
          <w:lang w:val="en-US"/>
        </w:rPr>
      </w:pPr>
    </w:p>
    <w:p w:rsidR="00BE3C33" w:rsidRPr="00277FDE" w:rsidRDefault="00D12BF8" w:rsidP="00277FDE">
      <w:pPr>
        <w:numPr>
          <w:ilvl w:val="0"/>
          <w:numId w:val="1"/>
        </w:numPr>
        <w:tabs>
          <w:tab w:val="clear" w:pos="720"/>
        </w:tabs>
        <w:spacing w:line="240" w:lineRule="auto"/>
        <w:ind w:left="630" w:hanging="630"/>
        <w:rPr>
          <w:bCs/>
          <w:sz w:val="24"/>
          <w:lang w:val="en-US"/>
        </w:rPr>
      </w:pPr>
      <w:r w:rsidRPr="00277FDE">
        <w:rPr>
          <w:bCs/>
          <w:sz w:val="24"/>
          <w:lang w:val="en-US"/>
        </w:rPr>
        <w:t>On 13 July 2006, the IOBK (</w:t>
      </w:r>
      <w:r w:rsidR="00145089" w:rsidRPr="00277FDE">
        <w:rPr>
          <w:bCs/>
          <w:sz w:val="24"/>
          <w:lang w:val="en-US"/>
        </w:rPr>
        <w:t xml:space="preserve">by </w:t>
      </w:r>
      <w:r w:rsidRPr="00277FDE">
        <w:rPr>
          <w:bCs/>
          <w:sz w:val="24"/>
          <w:lang w:val="en-US"/>
        </w:rPr>
        <w:t xml:space="preserve">Decision A. No. 02/117/2005) rejected as ungrounded the </w:t>
      </w:r>
      <w:r w:rsidRPr="00277FDE">
        <w:rPr>
          <w:bCs/>
          <w:iCs/>
          <w:sz w:val="24"/>
          <w:lang w:val="en-US"/>
        </w:rPr>
        <w:t>appeal</w:t>
      </w:r>
      <w:r w:rsidRPr="00277FDE">
        <w:rPr>
          <w:bCs/>
          <w:sz w:val="24"/>
          <w:lang w:val="en-US"/>
        </w:rPr>
        <w:t xml:space="preserve"> of the Applicant for</w:t>
      </w:r>
      <w:r w:rsidR="00145089" w:rsidRPr="00277FDE">
        <w:rPr>
          <w:bCs/>
          <w:sz w:val="24"/>
          <w:lang w:val="en-US"/>
        </w:rPr>
        <w:t xml:space="preserve"> the</w:t>
      </w:r>
      <w:r w:rsidRPr="00277FDE">
        <w:rPr>
          <w:bCs/>
          <w:sz w:val="24"/>
          <w:lang w:val="en-US"/>
        </w:rPr>
        <w:t xml:space="preserve"> </w:t>
      </w:r>
      <w:r w:rsidR="00145089" w:rsidRPr="00277FDE">
        <w:rPr>
          <w:bCs/>
          <w:sz w:val="24"/>
          <w:lang w:val="en-US"/>
        </w:rPr>
        <w:t>establishment of</w:t>
      </w:r>
      <w:r w:rsidR="001B7AFE" w:rsidRPr="00277FDE">
        <w:rPr>
          <w:bCs/>
          <w:sz w:val="24"/>
          <w:lang w:val="en-US"/>
        </w:rPr>
        <w:t xml:space="preserve"> an</w:t>
      </w:r>
      <w:r w:rsidR="00145089" w:rsidRPr="00277FDE">
        <w:rPr>
          <w:bCs/>
          <w:sz w:val="24"/>
          <w:lang w:val="en-US"/>
        </w:rPr>
        <w:t xml:space="preserve"> </w:t>
      </w:r>
      <w:r w:rsidRPr="00277FDE">
        <w:rPr>
          <w:bCs/>
          <w:sz w:val="24"/>
          <w:lang w:val="en-US"/>
        </w:rPr>
        <w:t xml:space="preserve">employment </w:t>
      </w:r>
      <w:r w:rsidR="00145089" w:rsidRPr="00277FDE">
        <w:rPr>
          <w:bCs/>
          <w:sz w:val="24"/>
          <w:lang w:val="en-US"/>
        </w:rPr>
        <w:t xml:space="preserve">relationship </w:t>
      </w:r>
      <w:r w:rsidRPr="00277FDE">
        <w:rPr>
          <w:bCs/>
          <w:sz w:val="24"/>
          <w:lang w:val="en-US"/>
        </w:rPr>
        <w:t xml:space="preserve">in the position of specialist in orthodontics in the Health </w:t>
      </w:r>
      <w:r w:rsidR="000B744A" w:rsidRPr="00277FDE">
        <w:rPr>
          <w:bCs/>
          <w:sz w:val="24"/>
          <w:lang w:val="en-US"/>
        </w:rPr>
        <w:t>House</w:t>
      </w:r>
      <w:r w:rsidR="007C55B5" w:rsidRPr="00277FDE">
        <w:rPr>
          <w:bCs/>
          <w:sz w:val="24"/>
          <w:lang w:val="en-US"/>
        </w:rPr>
        <w:t xml:space="preserve"> in </w:t>
      </w:r>
      <w:proofErr w:type="spellStart"/>
      <w:r w:rsidRPr="00277FDE">
        <w:rPr>
          <w:bCs/>
          <w:sz w:val="24"/>
          <w:lang w:val="en-US"/>
        </w:rPr>
        <w:t>Pris</w:t>
      </w:r>
      <w:r w:rsidR="007C55B5" w:rsidRPr="00277FDE">
        <w:rPr>
          <w:bCs/>
          <w:sz w:val="24"/>
          <w:lang w:val="en-US"/>
        </w:rPr>
        <w:t>h</w:t>
      </w:r>
      <w:r w:rsidRPr="00277FDE">
        <w:rPr>
          <w:bCs/>
          <w:sz w:val="24"/>
          <w:lang w:val="en-US"/>
        </w:rPr>
        <w:t>tina</w:t>
      </w:r>
      <w:proofErr w:type="spellEnd"/>
      <w:r w:rsidRPr="00277FDE">
        <w:rPr>
          <w:bCs/>
          <w:sz w:val="24"/>
          <w:lang w:val="en-US"/>
        </w:rPr>
        <w:t>.</w:t>
      </w:r>
      <w:r w:rsidR="00F57335" w:rsidRPr="00277FDE">
        <w:rPr>
          <w:bCs/>
          <w:sz w:val="24"/>
          <w:lang w:val="en-US"/>
        </w:rPr>
        <w:t xml:space="preserve"> </w:t>
      </w:r>
    </w:p>
    <w:p w:rsidR="00BE3C33" w:rsidRPr="00277FDE" w:rsidRDefault="00BE3C33" w:rsidP="00277FDE">
      <w:pPr>
        <w:pStyle w:val="ListParagraph"/>
        <w:spacing w:line="240" w:lineRule="auto"/>
        <w:rPr>
          <w:bCs/>
          <w:sz w:val="24"/>
          <w:lang w:val="en-US"/>
        </w:rPr>
      </w:pPr>
    </w:p>
    <w:p w:rsidR="00D12BF8" w:rsidRPr="00277FDE" w:rsidRDefault="00F57335" w:rsidP="00277FDE">
      <w:pPr>
        <w:numPr>
          <w:ilvl w:val="0"/>
          <w:numId w:val="1"/>
        </w:numPr>
        <w:tabs>
          <w:tab w:val="clear" w:pos="720"/>
        </w:tabs>
        <w:spacing w:line="240" w:lineRule="auto"/>
        <w:ind w:left="630" w:hanging="630"/>
        <w:rPr>
          <w:bCs/>
          <w:sz w:val="24"/>
          <w:lang w:val="en-US"/>
        </w:rPr>
      </w:pPr>
      <w:r w:rsidRPr="00277FDE">
        <w:rPr>
          <w:bCs/>
          <w:sz w:val="24"/>
          <w:lang w:val="en-US"/>
        </w:rPr>
        <w:t xml:space="preserve">The IOBK reasoned that the </w:t>
      </w:r>
      <w:r w:rsidR="000B744A" w:rsidRPr="00277FDE">
        <w:rPr>
          <w:bCs/>
          <w:sz w:val="24"/>
          <w:lang w:val="en-US"/>
        </w:rPr>
        <w:t xml:space="preserve">employment </w:t>
      </w:r>
      <w:r w:rsidRPr="00277FDE">
        <w:rPr>
          <w:bCs/>
          <w:sz w:val="24"/>
          <w:lang w:val="en-US"/>
        </w:rPr>
        <w:t xml:space="preserve">contract on specialization as signed between </w:t>
      </w:r>
      <w:r w:rsidRPr="00277FDE">
        <w:rPr>
          <w:bCs/>
          <w:iCs/>
          <w:sz w:val="24"/>
          <w:lang w:val="en-US"/>
        </w:rPr>
        <w:t>the</w:t>
      </w:r>
      <w:r w:rsidRPr="00277FDE">
        <w:rPr>
          <w:bCs/>
          <w:sz w:val="24"/>
          <w:lang w:val="en-US"/>
        </w:rPr>
        <w:t xml:space="preserve"> Applicant and the Ministry of Health obliged the Applicant to continue to work for a period of </w:t>
      </w:r>
      <w:r w:rsidR="00BE3C33" w:rsidRPr="00277FDE">
        <w:rPr>
          <w:bCs/>
          <w:sz w:val="24"/>
          <w:lang w:val="en-US"/>
        </w:rPr>
        <w:t>five</w:t>
      </w:r>
      <w:r w:rsidRPr="00277FDE">
        <w:rPr>
          <w:bCs/>
          <w:sz w:val="24"/>
          <w:lang w:val="en-US"/>
        </w:rPr>
        <w:t xml:space="preserve"> years in the public health service, but did not contain any reciprocal obligation on the Ministry of Health to provide the Applicant with an employment position.</w:t>
      </w:r>
      <w:r w:rsidR="00BE3C33" w:rsidRPr="00277FDE">
        <w:rPr>
          <w:bCs/>
          <w:sz w:val="24"/>
          <w:lang w:val="en-US"/>
        </w:rPr>
        <w:t xml:space="preserve"> The IOBK considered that the lack of a reciprocal obligation for the Ministry of Health to provide a job was the reason for the Ministry of Health to suspend the obligation on the Applicant to continue to work for another five years in the public health service.</w:t>
      </w:r>
    </w:p>
    <w:p w:rsidR="000B744A" w:rsidRPr="00277FDE" w:rsidRDefault="000B744A" w:rsidP="00277FDE">
      <w:pPr>
        <w:pStyle w:val="ListParagraph"/>
        <w:spacing w:line="240" w:lineRule="auto"/>
        <w:rPr>
          <w:bCs/>
          <w:sz w:val="24"/>
          <w:lang w:val="en-US"/>
        </w:rPr>
      </w:pPr>
    </w:p>
    <w:p w:rsidR="000B744A" w:rsidRPr="00277FDE" w:rsidRDefault="000B744A" w:rsidP="00277FDE">
      <w:pPr>
        <w:spacing w:line="240" w:lineRule="auto"/>
        <w:ind w:left="630"/>
        <w:rPr>
          <w:b/>
          <w:bCs/>
          <w:i/>
          <w:sz w:val="24"/>
          <w:lang w:val="en-US"/>
        </w:rPr>
      </w:pPr>
      <w:r w:rsidRPr="00277FDE">
        <w:rPr>
          <w:b/>
          <w:bCs/>
          <w:i/>
          <w:sz w:val="24"/>
          <w:lang w:val="en-US"/>
        </w:rPr>
        <w:t>Request for reinstatement in the old position as dentist</w:t>
      </w:r>
    </w:p>
    <w:p w:rsidR="009A1E76" w:rsidRPr="00277FDE" w:rsidRDefault="009A1E76" w:rsidP="00277FDE">
      <w:pPr>
        <w:pStyle w:val="ListParagraph"/>
        <w:spacing w:line="240" w:lineRule="auto"/>
        <w:rPr>
          <w:bCs/>
          <w:sz w:val="24"/>
          <w:lang w:val="en-US"/>
        </w:rPr>
      </w:pPr>
    </w:p>
    <w:p w:rsidR="007C55B5" w:rsidRPr="00277FDE" w:rsidRDefault="007C55B5" w:rsidP="00277FDE">
      <w:pPr>
        <w:numPr>
          <w:ilvl w:val="0"/>
          <w:numId w:val="1"/>
        </w:numPr>
        <w:tabs>
          <w:tab w:val="clear" w:pos="720"/>
        </w:tabs>
        <w:spacing w:line="240" w:lineRule="auto"/>
        <w:ind w:left="630" w:hanging="630"/>
        <w:rPr>
          <w:bCs/>
          <w:sz w:val="24"/>
          <w:lang w:val="en-US"/>
        </w:rPr>
      </w:pPr>
      <w:r w:rsidRPr="00277FDE">
        <w:rPr>
          <w:bCs/>
          <w:sz w:val="24"/>
          <w:lang w:val="en-US"/>
        </w:rPr>
        <w:t xml:space="preserve">The Applicant filed a claim with the </w:t>
      </w:r>
      <w:r w:rsidR="00145089" w:rsidRPr="00277FDE">
        <w:rPr>
          <w:bCs/>
          <w:sz w:val="24"/>
          <w:lang w:val="en-US"/>
        </w:rPr>
        <w:t>Basic</w:t>
      </w:r>
      <w:r w:rsidRPr="00277FDE">
        <w:rPr>
          <w:bCs/>
          <w:sz w:val="24"/>
          <w:lang w:val="en-US"/>
        </w:rPr>
        <w:t xml:space="preserve"> Court in </w:t>
      </w:r>
      <w:proofErr w:type="spellStart"/>
      <w:r w:rsidRPr="00277FDE">
        <w:rPr>
          <w:bCs/>
          <w:sz w:val="24"/>
          <w:lang w:val="en-US"/>
        </w:rPr>
        <w:t>Prishtina</w:t>
      </w:r>
      <w:proofErr w:type="spellEnd"/>
      <w:r w:rsidRPr="00277FDE">
        <w:rPr>
          <w:bCs/>
          <w:sz w:val="24"/>
          <w:lang w:val="en-US"/>
        </w:rPr>
        <w:t xml:space="preserve"> in which she </w:t>
      </w:r>
      <w:r w:rsidRPr="00277FDE">
        <w:rPr>
          <w:bCs/>
          <w:iCs/>
          <w:sz w:val="24"/>
          <w:lang w:val="en-US"/>
        </w:rPr>
        <w:t>challenged</w:t>
      </w:r>
      <w:r w:rsidRPr="00277FDE">
        <w:rPr>
          <w:bCs/>
          <w:sz w:val="24"/>
          <w:lang w:val="en-US"/>
        </w:rPr>
        <w:t xml:space="preserve"> decision A. No. 02/117/2005, of the IOBK</w:t>
      </w:r>
      <w:r w:rsidR="008408A6" w:rsidRPr="00277FDE">
        <w:rPr>
          <w:bCs/>
          <w:sz w:val="24"/>
          <w:lang w:val="en-US"/>
        </w:rPr>
        <w:t xml:space="preserve"> of 13 July 2006,</w:t>
      </w:r>
      <w:r w:rsidRPr="00277FDE">
        <w:rPr>
          <w:bCs/>
          <w:sz w:val="24"/>
          <w:lang w:val="en-US"/>
        </w:rPr>
        <w:t xml:space="preserve"> and also requested that the respondent </w:t>
      </w:r>
      <w:r w:rsidR="00754378" w:rsidRPr="00277FDE">
        <w:rPr>
          <w:bCs/>
          <w:sz w:val="24"/>
          <w:lang w:val="en-US"/>
        </w:rPr>
        <w:t>M</w:t>
      </w:r>
      <w:r w:rsidRPr="00277FDE">
        <w:rPr>
          <w:bCs/>
          <w:sz w:val="24"/>
          <w:lang w:val="en-US"/>
        </w:rPr>
        <w:t>FM</w:t>
      </w:r>
      <w:r w:rsidR="008974A0" w:rsidRPr="00277FDE">
        <w:rPr>
          <w:bCs/>
          <w:sz w:val="24"/>
          <w:lang w:val="en-US"/>
        </w:rPr>
        <w:t>C</w:t>
      </w:r>
      <w:r w:rsidRPr="00277FDE">
        <w:rPr>
          <w:bCs/>
          <w:sz w:val="24"/>
          <w:lang w:val="en-US"/>
        </w:rPr>
        <w:t xml:space="preserve"> </w:t>
      </w:r>
      <w:r w:rsidR="00EE52D3" w:rsidRPr="00277FDE">
        <w:rPr>
          <w:bCs/>
          <w:sz w:val="24"/>
          <w:lang w:val="en-US"/>
        </w:rPr>
        <w:t xml:space="preserve">be ordered to </w:t>
      </w:r>
      <w:r w:rsidR="00145089" w:rsidRPr="00277FDE">
        <w:rPr>
          <w:bCs/>
          <w:sz w:val="24"/>
          <w:lang w:val="en-US"/>
        </w:rPr>
        <w:t>reinstate her</w:t>
      </w:r>
      <w:r w:rsidRPr="00277FDE">
        <w:rPr>
          <w:bCs/>
          <w:sz w:val="24"/>
          <w:lang w:val="en-US"/>
        </w:rPr>
        <w:t xml:space="preserve"> to</w:t>
      </w:r>
      <w:r w:rsidR="00B84FF2" w:rsidRPr="00277FDE">
        <w:rPr>
          <w:bCs/>
          <w:sz w:val="24"/>
          <w:lang w:val="en-US"/>
        </w:rPr>
        <w:t xml:space="preserve"> </w:t>
      </w:r>
      <w:r w:rsidR="00EE52D3" w:rsidRPr="00277FDE">
        <w:rPr>
          <w:bCs/>
          <w:sz w:val="24"/>
          <w:lang w:val="en-US"/>
        </w:rPr>
        <w:t>her</w:t>
      </w:r>
      <w:r w:rsidRPr="00277FDE">
        <w:rPr>
          <w:bCs/>
          <w:sz w:val="24"/>
          <w:lang w:val="en-US"/>
        </w:rPr>
        <w:t xml:space="preserve"> previous work assignment</w:t>
      </w:r>
      <w:r w:rsidR="00EE52D3" w:rsidRPr="00277FDE">
        <w:rPr>
          <w:bCs/>
          <w:sz w:val="24"/>
          <w:lang w:val="en-US"/>
        </w:rPr>
        <w:t xml:space="preserve"> as</w:t>
      </w:r>
      <w:r w:rsidRPr="00277FDE">
        <w:rPr>
          <w:bCs/>
          <w:sz w:val="24"/>
          <w:lang w:val="en-US"/>
        </w:rPr>
        <w:t xml:space="preserve"> a dentist, with all the rights arising from employment, starting from 04 January 2005.</w:t>
      </w:r>
    </w:p>
    <w:p w:rsidR="0079157F" w:rsidRPr="00277FDE" w:rsidRDefault="0079157F" w:rsidP="00277FDE">
      <w:pPr>
        <w:pStyle w:val="ListParagraph"/>
        <w:spacing w:line="240" w:lineRule="auto"/>
        <w:rPr>
          <w:color w:val="000000"/>
          <w:sz w:val="24"/>
          <w:lang w:val="en-US"/>
        </w:rPr>
      </w:pPr>
    </w:p>
    <w:p w:rsidR="007C55B5" w:rsidRPr="00277FDE" w:rsidRDefault="007C55B5" w:rsidP="00277FDE">
      <w:pPr>
        <w:numPr>
          <w:ilvl w:val="0"/>
          <w:numId w:val="1"/>
        </w:numPr>
        <w:tabs>
          <w:tab w:val="clear" w:pos="720"/>
        </w:tabs>
        <w:spacing w:line="240" w:lineRule="auto"/>
        <w:ind w:left="630" w:hanging="630"/>
        <w:rPr>
          <w:bCs/>
          <w:sz w:val="24"/>
          <w:lang w:val="en-US"/>
        </w:rPr>
      </w:pPr>
      <w:r w:rsidRPr="00277FDE">
        <w:rPr>
          <w:bCs/>
          <w:sz w:val="24"/>
          <w:lang w:val="en-US"/>
        </w:rPr>
        <w:t xml:space="preserve">On 29 August 2014, the Basic Court in </w:t>
      </w:r>
      <w:proofErr w:type="spellStart"/>
      <w:r w:rsidRPr="00277FDE">
        <w:rPr>
          <w:bCs/>
          <w:sz w:val="24"/>
          <w:lang w:val="en-US"/>
        </w:rPr>
        <w:t>Prishtina</w:t>
      </w:r>
      <w:proofErr w:type="spellEnd"/>
      <w:r w:rsidRPr="00277FDE">
        <w:rPr>
          <w:bCs/>
          <w:sz w:val="24"/>
          <w:lang w:val="en-US"/>
        </w:rPr>
        <w:t xml:space="preserve"> (Judgment C. No. 73/10) approved the request of </w:t>
      </w:r>
      <w:r w:rsidRPr="00277FDE">
        <w:rPr>
          <w:bCs/>
          <w:iCs/>
          <w:sz w:val="24"/>
          <w:lang w:val="en-US"/>
        </w:rPr>
        <w:t>the</w:t>
      </w:r>
      <w:r w:rsidRPr="00277FDE">
        <w:rPr>
          <w:bCs/>
          <w:sz w:val="24"/>
          <w:lang w:val="en-US"/>
        </w:rPr>
        <w:t xml:space="preserve"> Applicant as grounded </w:t>
      </w:r>
      <w:r w:rsidR="000479BD" w:rsidRPr="00277FDE">
        <w:rPr>
          <w:bCs/>
          <w:sz w:val="24"/>
          <w:lang w:val="en-US"/>
        </w:rPr>
        <w:t>because the Applicant had a legitimate expectation that she would be provided with an employment position at the end of her specialization, due to the contractual obligation to continue to work for another five years</w:t>
      </w:r>
      <w:r w:rsidR="006A49BC" w:rsidRPr="00277FDE">
        <w:rPr>
          <w:bCs/>
          <w:sz w:val="24"/>
          <w:lang w:val="en-US"/>
        </w:rPr>
        <w:t xml:space="preserve"> in the public health service</w:t>
      </w:r>
      <w:r w:rsidR="000479BD" w:rsidRPr="00277FDE">
        <w:rPr>
          <w:bCs/>
          <w:sz w:val="24"/>
          <w:lang w:val="en-US"/>
        </w:rPr>
        <w:t xml:space="preserve">. The Basic Court </w:t>
      </w:r>
      <w:r w:rsidRPr="00277FDE">
        <w:rPr>
          <w:bCs/>
          <w:sz w:val="24"/>
          <w:lang w:val="en-US"/>
        </w:rPr>
        <w:t>ordered:</w:t>
      </w:r>
    </w:p>
    <w:p w:rsidR="0079157F" w:rsidRPr="00277FDE" w:rsidRDefault="0079157F" w:rsidP="00277FDE">
      <w:pPr>
        <w:pStyle w:val="ListParagraph"/>
        <w:spacing w:line="240" w:lineRule="auto"/>
        <w:ind w:left="1080"/>
        <w:rPr>
          <w:color w:val="000000"/>
          <w:sz w:val="24"/>
          <w:lang w:val="en-US"/>
        </w:rPr>
      </w:pPr>
    </w:p>
    <w:p w:rsidR="0079157F" w:rsidRPr="00277FDE" w:rsidRDefault="00145089" w:rsidP="00277FDE">
      <w:pPr>
        <w:pStyle w:val="NoSpacing"/>
        <w:ind w:left="990"/>
        <w:jc w:val="both"/>
        <w:rPr>
          <w:rFonts w:ascii="Georgia" w:hAnsi="Georgia"/>
          <w:i/>
          <w:iCs/>
          <w:sz w:val="24"/>
          <w:szCs w:val="24"/>
        </w:rPr>
      </w:pPr>
      <w:r w:rsidRPr="00277FDE">
        <w:rPr>
          <w:rFonts w:ascii="Georgia" w:hAnsi="Georgia"/>
          <w:i/>
          <w:color w:val="000000"/>
          <w:sz w:val="24"/>
          <w:szCs w:val="24"/>
        </w:rPr>
        <w:t>“</w:t>
      </w:r>
      <w:r w:rsidR="004536EF" w:rsidRPr="00277FDE">
        <w:rPr>
          <w:rFonts w:ascii="Georgia" w:hAnsi="Georgia"/>
          <w:i/>
          <w:iCs/>
          <w:sz w:val="24"/>
          <w:szCs w:val="24"/>
        </w:rPr>
        <w:t>The Responding party – M</w:t>
      </w:r>
      <w:r w:rsidR="00754378" w:rsidRPr="00277FDE">
        <w:rPr>
          <w:rFonts w:ascii="Georgia" w:hAnsi="Georgia"/>
          <w:i/>
          <w:iCs/>
          <w:sz w:val="24"/>
          <w:szCs w:val="24"/>
        </w:rPr>
        <w:t>C</w:t>
      </w:r>
      <w:r w:rsidR="004536EF" w:rsidRPr="00277FDE">
        <w:rPr>
          <w:rFonts w:ascii="Georgia" w:hAnsi="Georgia"/>
          <w:i/>
          <w:iCs/>
          <w:sz w:val="24"/>
          <w:szCs w:val="24"/>
        </w:rPr>
        <w:t xml:space="preserve">FM, which falls under the management of the Municipality of </w:t>
      </w:r>
      <w:proofErr w:type="spellStart"/>
      <w:r w:rsidR="004536EF" w:rsidRPr="00277FDE">
        <w:rPr>
          <w:rFonts w:ascii="Georgia" w:hAnsi="Georgia"/>
          <w:i/>
          <w:iCs/>
          <w:sz w:val="24"/>
          <w:szCs w:val="24"/>
        </w:rPr>
        <w:t>Prishtina</w:t>
      </w:r>
      <w:proofErr w:type="spellEnd"/>
      <w:r w:rsidR="008974A0" w:rsidRPr="00277FDE">
        <w:rPr>
          <w:rFonts w:ascii="Georgia" w:hAnsi="Georgia"/>
          <w:i/>
          <w:iCs/>
          <w:sz w:val="24"/>
          <w:szCs w:val="24"/>
        </w:rPr>
        <w:t>-</w:t>
      </w:r>
      <w:r w:rsidR="004536EF" w:rsidRPr="00277FDE">
        <w:rPr>
          <w:rFonts w:ascii="Georgia" w:hAnsi="Georgia"/>
          <w:i/>
          <w:iCs/>
          <w:sz w:val="24"/>
          <w:szCs w:val="24"/>
        </w:rPr>
        <w:t xml:space="preserve">Directorate for Health, is obliged to reinstate </w:t>
      </w:r>
      <w:r w:rsidRPr="00277FDE">
        <w:rPr>
          <w:rFonts w:ascii="Georgia" w:hAnsi="Georgia"/>
          <w:i/>
          <w:iCs/>
          <w:sz w:val="24"/>
          <w:szCs w:val="24"/>
        </w:rPr>
        <w:t>c</w:t>
      </w:r>
      <w:r w:rsidR="004536EF" w:rsidRPr="00277FDE">
        <w:rPr>
          <w:rFonts w:ascii="Georgia" w:hAnsi="Georgia"/>
          <w:i/>
          <w:iCs/>
          <w:sz w:val="24"/>
          <w:szCs w:val="24"/>
        </w:rPr>
        <w:t xml:space="preserve">laimant </w:t>
      </w:r>
      <w:r w:rsidR="00F57335" w:rsidRPr="00277FDE">
        <w:rPr>
          <w:rFonts w:ascii="Georgia" w:hAnsi="Georgia"/>
          <w:i/>
          <w:iCs/>
          <w:sz w:val="24"/>
          <w:szCs w:val="24"/>
        </w:rPr>
        <w:t>[the Applicant]</w:t>
      </w:r>
      <w:r w:rsidR="004536EF" w:rsidRPr="00277FDE">
        <w:rPr>
          <w:rFonts w:ascii="Georgia" w:hAnsi="Georgia"/>
          <w:i/>
          <w:iCs/>
          <w:sz w:val="24"/>
          <w:szCs w:val="24"/>
        </w:rPr>
        <w:t xml:space="preserve"> to her</w:t>
      </w:r>
      <w:r w:rsidR="00AF0578" w:rsidRPr="00277FDE">
        <w:rPr>
          <w:rFonts w:ascii="Georgia" w:hAnsi="Georgia"/>
          <w:i/>
          <w:iCs/>
          <w:sz w:val="24"/>
          <w:szCs w:val="24"/>
        </w:rPr>
        <w:t xml:space="preserve"> previous work and work duties (</w:t>
      </w:r>
      <w:r w:rsidR="004536EF" w:rsidRPr="00277FDE">
        <w:rPr>
          <w:rFonts w:ascii="Georgia" w:hAnsi="Georgia"/>
          <w:i/>
          <w:iCs/>
          <w:sz w:val="24"/>
          <w:szCs w:val="24"/>
        </w:rPr>
        <w:t>dentist</w:t>
      </w:r>
      <w:r w:rsidR="00AF0578" w:rsidRPr="00277FDE">
        <w:rPr>
          <w:rFonts w:ascii="Georgia" w:hAnsi="Georgia"/>
          <w:i/>
          <w:iCs/>
          <w:sz w:val="24"/>
          <w:szCs w:val="24"/>
        </w:rPr>
        <w:t>)</w:t>
      </w:r>
      <w:r w:rsidR="004536EF" w:rsidRPr="00277FDE">
        <w:rPr>
          <w:rFonts w:ascii="Georgia" w:hAnsi="Georgia"/>
          <w:i/>
          <w:iCs/>
          <w:sz w:val="24"/>
          <w:szCs w:val="24"/>
        </w:rPr>
        <w:t>, with all the rights that derive from the employment relationship, starting from 04 January 2005</w:t>
      </w:r>
      <w:r w:rsidR="0079157F" w:rsidRPr="00277FDE">
        <w:rPr>
          <w:rFonts w:ascii="Georgia" w:hAnsi="Georgia"/>
          <w:i/>
          <w:color w:val="000000"/>
          <w:sz w:val="24"/>
          <w:szCs w:val="24"/>
        </w:rPr>
        <w:t>.</w:t>
      </w:r>
      <w:r w:rsidRPr="00277FDE">
        <w:rPr>
          <w:rFonts w:ascii="Georgia" w:hAnsi="Georgia"/>
          <w:i/>
          <w:color w:val="000000"/>
          <w:sz w:val="24"/>
          <w:szCs w:val="24"/>
        </w:rPr>
        <w:t>”</w:t>
      </w:r>
    </w:p>
    <w:p w:rsidR="0079157F" w:rsidRPr="00277FDE" w:rsidRDefault="0079157F" w:rsidP="00277FDE">
      <w:pPr>
        <w:pStyle w:val="ListParagraph"/>
        <w:spacing w:line="240" w:lineRule="auto"/>
        <w:rPr>
          <w:color w:val="000000"/>
          <w:sz w:val="24"/>
          <w:lang w:val="en-US"/>
        </w:rPr>
      </w:pPr>
    </w:p>
    <w:p w:rsidR="000479BD" w:rsidRPr="00277FDE" w:rsidRDefault="000479BD" w:rsidP="00277FDE">
      <w:pPr>
        <w:numPr>
          <w:ilvl w:val="0"/>
          <w:numId w:val="1"/>
        </w:numPr>
        <w:tabs>
          <w:tab w:val="clear" w:pos="720"/>
        </w:tabs>
        <w:spacing w:line="240" w:lineRule="auto"/>
        <w:ind w:left="630" w:hanging="630"/>
        <w:rPr>
          <w:bCs/>
          <w:sz w:val="24"/>
          <w:lang w:val="en-US"/>
        </w:rPr>
      </w:pPr>
      <w:r w:rsidRPr="00277FDE">
        <w:rPr>
          <w:bCs/>
          <w:sz w:val="24"/>
          <w:lang w:val="en-US"/>
        </w:rPr>
        <w:t>Furthermore,</w:t>
      </w:r>
      <w:r w:rsidR="007965CF" w:rsidRPr="00277FDE">
        <w:rPr>
          <w:bCs/>
          <w:sz w:val="24"/>
          <w:lang w:val="en-US"/>
        </w:rPr>
        <w:t xml:space="preserve"> the Basic Court considered that the Administrative Instruction (Health) 17/2000 did </w:t>
      </w:r>
      <w:r w:rsidR="007965CF" w:rsidRPr="00277FDE">
        <w:rPr>
          <w:bCs/>
          <w:iCs/>
          <w:sz w:val="24"/>
          <w:lang w:val="en-US"/>
        </w:rPr>
        <w:t>not</w:t>
      </w:r>
      <w:r w:rsidR="007965CF" w:rsidRPr="00277FDE">
        <w:rPr>
          <w:bCs/>
          <w:sz w:val="24"/>
          <w:lang w:val="en-US"/>
        </w:rPr>
        <w:t xml:space="preserve"> apply in the Applicant’s case, because her employment </w:t>
      </w:r>
      <w:r w:rsidRPr="00277FDE">
        <w:rPr>
          <w:bCs/>
          <w:sz w:val="24"/>
          <w:lang w:val="en-US"/>
        </w:rPr>
        <w:t xml:space="preserve">in the civil service of Kosovo dating from 10 July 1990 had not </w:t>
      </w:r>
      <w:r w:rsidRPr="00277FDE">
        <w:rPr>
          <w:bCs/>
          <w:sz w:val="24"/>
          <w:lang w:val="en-US"/>
        </w:rPr>
        <w:lastRenderedPageBreak/>
        <w:t>been terminated in compliance with the applicable law, namely</w:t>
      </w:r>
      <w:r w:rsidR="007965CF" w:rsidRPr="00277FDE">
        <w:rPr>
          <w:bCs/>
          <w:sz w:val="24"/>
          <w:lang w:val="en-US"/>
        </w:rPr>
        <w:t xml:space="preserve"> UNMIK Regulation </w:t>
      </w:r>
      <w:r w:rsidR="007965CF" w:rsidRPr="00277FDE">
        <w:rPr>
          <w:sz w:val="24"/>
          <w:lang w:val="en-US"/>
        </w:rPr>
        <w:t>No. 2001/36 on the Civil Service of Kosovo</w:t>
      </w:r>
      <w:r w:rsidRPr="00277FDE">
        <w:rPr>
          <w:sz w:val="24"/>
          <w:lang w:val="en-US"/>
        </w:rPr>
        <w:t>, and UNMIK Administrative Instruction No. 2003/2 on the Application of UNMIK Regulation No. 2001/36, Article 35.</w:t>
      </w:r>
    </w:p>
    <w:p w:rsidR="007965CF" w:rsidRPr="00277FDE" w:rsidRDefault="007965CF" w:rsidP="00277FDE">
      <w:pPr>
        <w:spacing w:line="240" w:lineRule="auto"/>
        <w:ind w:left="630"/>
        <w:rPr>
          <w:bCs/>
          <w:sz w:val="24"/>
          <w:lang w:val="en-US"/>
        </w:rPr>
      </w:pPr>
      <w:r w:rsidRPr="00277FDE">
        <w:rPr>
          <w:sz w:val="24"/>
          <w:lang w:val="en-US"/>
        </w:rPr>
        <w:t xml:space="preserve"> </w:t>
      </w:r>
    </w:p>
    <w:p w:rsidR="004536EF" w:rsidRPr="00277FDE" w:rsidRDefault="00EE52D3" w:rsidP="00277FDE">
      <w:pPr>
        <w:numPr>
          <w:ilvl w:val="0"/>
          <w:numId w:val="1"/>
        </w:numPr>
        <w:tabs>
          <w:tab w:val="clear" w:pos="720"/>
        </w:tabs>
        <w:spacing w:line="240" w:lineRule="auto"/>
        <w:ind w:left="630" w:hanging="630"/>
        <w:rPr>
          <w:bCs/>
          <w:sz w:val="24"/>
          <w:lang w:val="en-US"/>
        </w:rPr>
      </w:pPr>
      <w:r w:rsidRPr="00277FDE">
        <w:rPr>
          <w:bCs/>
          <w:sz w:val="24"/>
          <w:lang w:val="en-US"/>
        </w:rPr>
        <w:t>Bo</w:t>
      </w:r>
      <w:r w:rsidRPr="00277FDE">
        <w:rPr>
          <w:bCs/>
          <w:iCs/>
          <w:sz w:val="24"/>
          <w:lang w:val="en-US"/>
        </w:rPr>
        <w:t>t</w:t>
      </w:r>
      <w:r w:rsidRPr="00277FDE">
        <w:rPr>
          <w:bCs/>
          <w:sz w:val="24"/>
          <w:lang w:val="en-US"/>
        </w:rPr>
        <w:t xml:space="preserve">h the MFMC and the Municipality of </w:t>
      </w:r>
      <w:proofErr w:type="spellStart"/>
      <w:r w:rsidRPr="00277FDE">
        <w:rPr>
          <w:bCs/>
          <w:sz w:val="24"/>
          <w:lang w:val="en-US"/>
        </w:rPr>
        <w:t>Prishtina</w:t>
      </w:r>
      <w:proofErr w:type="spellEnd"/>
      <w:r w:rsidRPr="00277FDE">
        <w:rPr>
          <w:bCs/>
          <w:sz w:val="24"/>
          <w:lang w:val="en-US"/>
        </w:rPr>
        <w:t xml:space="preserve"> filed </w:t>
      </w:r>
      <w:r w:rsidR="008216D2" w:rsidRPr="00277FDE">
        <w:rPr>
          <w:bCs/>
          <w:sz w:val="24"/>
          <w:lang w:val="en-US"/>
        </w:rPr>
        <w:t>A</w:t>
      </w:r>
      <w:r w:rsidR="004536EF" w:rsidRPr="00277FDE">
        <w:rPr>
          <w:bCs/>
          <w:sz w:val="24"/>
          <w:lang w:val="en-US"/>
        </w:rPr>
        <w:t xml:space="preserve">ppeals against </w:t>
      </w:r>
      <w:r w:rsidR="006955FD" w:rsidRPr="00277FDE">
        <w:rPr>
          <w:bCs/>
          <w:iCs/>
          <w:sz w:val="24"/>
          <w:lang w:val="en-US"/>
        </w:rPr>
        <w:t>Judgment</w:t>
      </w:r>
      <w:r w:rsidR="004536EF" w:rsidRPr="00277FDE">
        <w:rPr>
          <w:bCs/>
          <w:sz w:val="24"/>
          <w:lang w:val="en-US"/>
        </w:rPr>
        <w:t xml:space="preserve"> C.</w:t>
      </w:r>
      <w:r w:rsidR="006955FD" w:rsidRPr="00277FDE">
        <w:rPr>
          <w:bCs/>
          <w:sz w:val="24"/>
          <w:lang w:val="en-US"/>
        </w:rPr>
        <w:t xml:space="preserve"> No</w:t>
      </w:r>
      <w:r w:rsidR="004536EF" w:rsidRPr="00277FDE">
        <w:rPr>
          <w:bCs/>
          <w:sz w:val="24"/>
          <w:lang w:val="en-US"/>
        </w:rPr>
        <w:t xml:space="preserve">. 73/2010 of the Basic Court in </w:t>
      </w:r>
      <w:proofErr w:type="spellStart"/>
      <w:r w:rsidR="004536EF" w:rsidRPr="00277FDE">
        <w:rPr>
          <w:bCs/>
          <w:sz w:val="24"/>
          <w:lang w:val="en-US"/>
        </w:rPr>
        <w:t>Pris</w:t>
      </w:r>
      <w:r w:rsidR="006955FD" w:rsidRPr="00277FDE">
        <w:rPr>
          <w:bCs/>
          <w:sz w:val="24"/>
          <w:lang w:val="en-US"/>
        </w:rPr>
        <w:t>h</w:t>
      </w:r>
      <w:r w:rsidR="004536EF" w:rsidRPr="00277FDE">
        <w:rPr>
          <w:bCs/>
          <w:sz w:val="24"/>
          <w:lang w:val="en-US"/>
        </w:rPr>
        <w:t>tina</w:t>
      </w:r>
      <w:proofErr w:type="spellEnd"/>
      <w:r w:rsidR="004536EF" w:rsidRPr="00277FDE">
        <w:rPr>
          <w:bCs/>
          <w:sz w:val="24"/>
          <w:lang w:val="en-US"/>
        </w:rPr>
        <w:t>.</w:t>
      </w:r>
    </w:p>
    <w:p w:rsidR="008C72C2" w:rsidRPr="00277FDE" w:rsidRDefault="008C72C2" w:rsidP="00277FDE">
      <w:pPr>
        <w:spacing w:line="240" w:lineRule="auto"/>
        <w:ind w:left="630"/>
        <w:rPr>
          <w:bCs/>
          <w:sz w:val="24"/>
          <w:lang w:val="en-US"/>
        </w:rPr>
      </w:pPr>
    </w:p>
    <w:p w:rsidR="008C72C2" w:rsidRPr="00277FDE" w:rsidRDefault="006955FD" w:rsidP="00277FDE">
      <w:pPr>
        <w:numPr>
          <w:ilvl w:val="0"/>
          <w:numId w:val="1"/>
        </w:numPr>
        <w:tabs>
          <w:tab w:val="clear" w:pos="720"/>
        </w:tabs>
        <w:spacing w:line="240" w:lineRule="auto"/>
        <w:ind w:left="630" w:hanging="630"/>
        <w:rPr>
          <w:bCs/>
          <w:sz w:val="24"/>
          <w:lang w:val="en-US"/>
        </w:rPr>
      </w:pPr>
      <w:r w:rsidRPr="00277FDE">
        <w:rPr>
          <w:color w:val="000000"/>
          <w:sz w:val="24"/>
          <w:lang w:val="en-US"/>
        </w:rPr>
        <w:t>On 7 April</w:t>
      </w:r>
      <w:r w:rsidR="00B57BEF" w:rsidRPr="00277FDE">
        <w:rPr>
          <w:color w:val="000000"/>
          <w:sz w:val="24"/>
          <w:lang w:val="en-US"/>
        </w:rPr>
        <w:t xml:space="preserve"> </w:t>
      </w:r>
      <w:r w:rsidRPr="00277FDE">
        <w:rPr>
          <w:color w:val="000000"/>
          <w:sz w:val="24"/>
          <w:lang w:val="en-US"/>
        </w:rPr>
        <w:t>2015, the Court of Appeal</w:t>
      </w:r>
      <w:r w:rsidR="00F4750B" w:rsidRPr="00277FDE">
        <w:rPr>
          <w:color w:val="000000"/>
          <w:sz w:val="24"/>
          <w:lang w:val="en-US"/>
        </w:rPr>
        <w:t>s</w:t>
      </w:r>
      <w:r w:rsidRPr="00277FDE">
        <w:rPr>
          <w:color w:val="000000"/>
          <w:sz w:val="24"/>
          <w:lang w:val="en-US"/>
        </w:rPr>
        <w:t xml:space="preserve"> of Kosovo</w:t>
      </w:r>
      <w:r w:rsidR="00EE52D3" w:rsidRPr="00277FDE">
        <w:rPr>
          <w:color w:val="000000"/>
          <w:sz w:val="24"/>
          <w:lang w:val="en-US"/>
        </w:rPr>
        <w:t>,</w:t>
      </w:r>
      <w:r w:rsidRPr="00277FDE">
        <w:rPr>
          <w:color w:val="000000"/>
          <w:sz w:val="24"/>
          <w:lang w:val="en-US"/>
        </w:rPr>
        <w:t xml:space="preserve"> by Judgment Ac. No. 4391/2014</w:t>
      </w:r>
      <w:r w:rsidR="00EE52D3" w:rsidRPr="00277FDE">
        <w:rPr>
          <w:color w:val="000000"/>
          <w:sz w:val="24"/>
          <w:lang w:val="en-US"/>
        </w:rPr>
        <w:t>,</w:t>
      </w:r>
      <w:r w:rsidRPr="00277FDE">
        <w:rPr>
          <w:color w:val="000000"/>
          <w:sz w:val="24"/>
          <w:lang w:val="en-US"/>
        </w:rPr>
        <w:t xml:space="preserve"> </w:t>
      </w:r>
      <w:r w:rsidR="00145089" w:rsidRPr="00277FDE">
        <w:rPr>
          <w:bCs/>
          <w:iCs/>
          <w:sz w:val="24"/>
          <w:lang w:val="en-US"/>
        </w:rPr>
        <w:t>rejected</w:t>
      </w:r>
      <w:r w:rsidR="006A49BC" w:rsidRPr="00277FDE">
        <w:rPr>
          <w:color w:val="000000"/>
          <w:sz w:val="24"/>
          <w:lang w:val="en-US"/>
        </w:rPr>
        <w:t xml:space="preserve"> the appeals as ungrounded. The Court of Appeals assessed the reasoning of the Basic Court to be fair and justified on the basis of the relevant legal provisions.</w:t>
      </w:r>
    </w:p>
    <w:p w:rsidR="008C72C2" w:rsidRPr="00277FDE" w:rsidRDefault="008C72C2" w:rsidP="00277FDE">
      <w:pPr>
        <w:pStyle w:val="ListParagraph"/>
        <w:spacing w:line="240" w:lineRule="auto"/>
        <w:rPr>
          <w:color w:val="000000"/>
          <w:sz w:val="24"/>
          <w:lang w:val="en-US"/>
        </w:rPr>
      </w:pPr>
    </w:p>
    <w:p w:rsidR="006955FD" w:rsidRPr="00277FDE" w:rsidRDefault="00145089" w:rsidP="00277FDE">
      <w:pPr>
        <w:numPr>
          <w:ilvl w:val="0"/>
          <w:numId w:val="1"/>
        </w:numPr>
        <w:tabs>
          <w:tab w:val="clear" w:pos="720"/>
        </w:tabs>
        <w:spacing w:line="240" w:lineRule="auto"/>
        <w:ind w:left="630" w:hanging="630"/>
        <w:rPr>
          <w:bCs/>
          <w:sz w:val="24"/>
          <w:lang w:val="en-US"/>
        </w:rPr>
      </w:pPr>
      <w:r w:rsidRPr="00277FDE">
        <w:rPr>
          <w:bCs/>
          <w:sz w:val="24"/>
          <w:lang w:val="en-US"/>
        </w:rPr>
        <w:t>B</w:t>
      </w:r>
      <w:r w:rsidR="006955FD" w:rsidRPr="00277FDE">
        <w:rPr>
          <w:bCs/>
          <w:sz w:val="24"/>
          <w:lang w:val="en-US"/>
        </w:rPr>
        <w:t>as</w:t>
      </w:r>
      <w:r w:rsidRPr="00277FDE">
        <w:rPr>
          <w:bCs/>
          <w:sz w:val="24"/>
          <w:lang w:val="en-US"/>
        </w:rPr>
        <w:t xml:space="preserve">ed </w:t>
      </w:r>
      <w:r w:rsidR="006955FD" w:rsidRPr="00277FDE">
        <w:rPr>
          <w:bCs/>
          <w:iCs/>
          <w:sz w:val="24"/>
          <w:lang w:val="en-US"/>
        </w:rPr>
        <w:t>o</w:t>
      </w:r>
      <w:r w:rsidRPr="00277FDE">
        <w:rPr>
          <w:bCs/>
          <w:iCs/>
          <w:sz w:val="24"/>
          <w:lang w:val="en-US"/>
        </w:rPr>
        <w:t>n</w:t>
      </w:r>
      <w:r w:rsidR="00B84FF2" w:rsidRPr="00277FDE">
        <w:rPr>
          <w:bCs/>
          <w:sz w:val="24"/>
          <w:lang w:val="en-US"/>
        </w:rPr>
        <w:t xml:space="preserve"> </w:t>
      </w:r>
      <w:r w:rsidR="006955FD" w:rsidRPr="00277FDE">
        <w:rPr>
          <w:bCs/>
          <w:iCs/>
          <w:sz w:val="24"/>
          <w:lang w:val="en-US"/>
        </w:rPr>
        <w:t>Judgment</w:t>
      </w:r>
      <w:r w:rsidR="006955FD" w:rsidRPr="00277FDE">
        <w:rPr>
          <w:bCs/>
          <w:sz w:val="24"/>
          <w:lang w:val="en-US"/>
        </w:rPr>
        <w:t xml:space="preserve"> Ac. No. 4391/2014 of the Court</w:t>
      </w:r>
      <w:r w:rsidRPr="00277FDE">
        <w:rPr>
          <w:bCs/>
          <w:sz w:val="24"/>
          <w:lang w:val="en-US"/>
        </w:rPr>
        <w:t xml:space="preserve"> of Appeals</w:t>
      </w:r>
      <w:r w:rsidR="006955FD" w:rsidRPr="00277FDE">
        <w:rPr>
          <w:bCs/>
          <w:sz w:val="24"/>
          <w:lang w:val="en-US"/>
        </w:rPr>
        <w:t xml:space="preserve">, the Applicant </w:t>
      </w:r>
      <w:r w:rsidR="00AF0578" w:rsidRPr="00277FDE">
        <w:rPr>
          <w:bCs/>
          <w:sz w:val="24"/>
          <w:lang w:val="en-US"/>
        </w:rPr>
        <w:t>initiated</w:t>
      </w:r>
      <w:r w:rsidR="006955FD" w:rsidRPr="00277FDE">
        <w:rPr>
          <w:bCs/>
          <w:sz w:val="24"/>
          <w:lang w:val="en-US"/>
        </w:rPr>
        <w:t xml:space="preserve"> enforcement </w:t>
      </w:r>
      <w:r w:rsidR="00AF0578" w:rsidRPr="00277FDE">
        <w:rPr>
          <w:bCs/>
          <w:sz w:val="24"/>
          <w:lang w:val="en-US"/>
        </w:rPr>
        <w:t xml:space="preserve">proceedings </w:t>
      </w:r>
      <w:r w:rsidRPr="00277FDE">
        <w:rPr>
          <w:bCs/>
          <w:sz w:val="24"/>
          <w:lang w:val="en-US"/>
        </w:rPr>
        <w:t>with</w:t>
      </w:r>
      <w:r w:rsidR="006955FD" w:rsidRPr="00277FDE">
        <w:rPr>
          <w:bCs/>
          <w:sz w:val="24"/>
          <w:lang w:val="en-US"/>
        </w:rPr>
        <w:t xml:space="preserve"> </w:t>
      </w:r>
      <w:r w:rsidR="008216D2" w:rsidRPr="00277FDE">
        <w:rPr>
          <w:bCs/>
          <w:sz w:val="24"/>
          <w:lang w:val="en-US"/>
        </w:rPr>
        <w:t xml:space="preserve">the </w:t>
      </w:r>
      <w:r w:rsidR="006955FD" w:rsidRPr="00277FDE">
        <w:rPr>
          <w:bCs/>
          <w:sz w:val="24"/>
          <w:lang w:val="en-US"/>
        </w:rPr>
        <w:t xml:space="preserve">Basic Court in </w:t>
      </w:r>
      <w:proofErr w:type="spellStart"/>
      <w:r w:rsidR="006955FD" w:rsidRPr="00277FDE">
        <w:rPr>
          <w:bCs/>
          <w:sz w:val="24"/>
          <w:lang w:val="en-US"/>
        </w:rPr>
        <w:t>Pris</w:t>
      </w:r>
      <w:r w:rsidRPr="00277FDE">
        <w:rPr>
          <w:bCs/>
          <w:sz w:val="24"/>
          <w:lang w:val="en-US"/>
        </w:rPr>
        <w:t>h</w:t>
      </w:r>
      <w:r w:rsidR="006955FD" w:rsidRPr="00277FDE">
        <w:rPr>
          <w:bCs/>
          <w:sz w:val="24"/>
          <w:lang w:val="en-US"/>
        </w:rPr>
        <w:t>tina</w:t>
      </w:r>
      <w:proofErr w:type="spellEnd"/>
      <w:r w:rsidR="006955FD" w:rsidRPr="00277FDE">
        <w:rPr>
          <w:bCs/>
          <w:sz w:val="24"/>
          <w:lang w:val="en-US"/>
        </w:rPr>
        <w:t>.</w:t>
      </w:r>
    </w:p>
    <w:p w:rsidR="00481329" w:rsidRPr="00277FDE" w:rsidRDefault="00481329" w:rsidP="00277FDE">
      <w:pPr>
        <w:pStyle w:val="ListParagraph"/>
        <w:spacing w:line="240" w:lineRule="auto"/>
        <w:rPr>
          <w:color w:val="000000"/>
          <w:sz w:val="24"/>
          <w:lang w:val="en-US"/>
        </w:rPr>
      </w:pPr>
    </w:p>
    <w:p w:rsidR="00481329" w:rsidRPr="00277FDE" w:rsidRDefault="007C02A5" w:rsidP="00277FDE">
      <w:pPr>
        <w:numPr>
          <w:ilvl w:val="0"/>
          <w:numId w:val="1"/>
        </w:numPr>
        <w:tabs>
          <w:tab w:val="clear" w:pos="720"/>
        </w:tabs>
        <w:spacing w:line="240" w:lineRule="auto"/>
        <w:ind w:left="630" w:hanging="630"/>
        <w:rPr>
          <w:bCs/>
          <w:sz w:val="24"/>
          <w:lang w:val="en-US"/>
        </w:rPr>
      </w:pPr>
      <w:r w:rsidRPr="00277FDE">
        <w:rPr>
          <w:sz w:val="24"/>
          <w:lang w:val="en-US"/>
        </w:rPr>
        <w:t xml:space="preserve">On 19 May 2015, the Basic Court in </w:t>
      </w:r>
      <w:proofErr w:type="spellStart"/>
      <w:r w:rsidRPr="00277FDE">
        <w:rPr>
          <w:sz w:val="24"/>
          <w:lang w:val="en-US"/>
        </w:rPr>
        <w:t>Prishtina</w:t>
      </w:r>
      <w:proofErr w:type="spellEnd"/>
      <w:r w:rsidR="007F303B" w:rsidRPr="00277FDE">
        <w:rPr>
          <w:sz w:val="24"/>
          <w:lang w:val="en-US"/>
        </w:rPr>
        <w:t>,</w:t>
      </w:r>
      <w:r w:rsidRPr="00277FDE">
        <w:rPr>
          <w:sz w:val="24"/>
          <w:lang w:val="en-US"/>
        </w:rPr>
        <w:t xml:space="preserve"> by D</w:t>
      </w:r>
      <w:r w:rsidR="00145089" w:rsidRPr="00277FDE">
        <w:rPr>
          <w:sz w:val="24"/>
          <w:lang w:val="en-US"/>
        </w:rPr>
        <w:t>ecision No.</w:t>
      </w:r>
      <w:r w:rsidRPr="00277FDE">
        <w:rPr>
          <w:sz w:val="24"/>
          <w:lang w:val="en-US"/>
        </w:rPr>
        <w:t>1087/2015</w:t>
      </w:r>
      <w:r w:rsidR="007F303B" w:rsidRPr="00277FDE">
        <w:rPr>
          <w:sz w:val="24"/>
          <w:lang w:val="en-US"/>
        </w:rPr>
        <w:t>,</w:t>
      </w:r>
      <w:r w:rsidRPr="00277FDE">
        <w:rPr>
          <w:sz w:val="24"/>
          <w:lang w:val="en-US"/>
        </w:rPr>
        <w:t xml:space="preserve"> approved the </w:t>
      </w:r>
      <w:r w:rsidRPr="00277FDE">
        <w:rPr>
          <w:bCs/>
          <w:iCs/>
          <w:sz w:val="24"/>
          <w:lang w:val="en-US"/>
        </w:rPr>
        <w:t>Applicant’s</w:t>
      </w:r>
      <w:r w:rsidRPr="00277FDE">
        <w:rPr>
          <w:sz w:val="24"/>
          <w:lang w:val="en-US"/>
        </w:rPr>
        <w:t xml:space="preserve"> proposal for </w:t>
      </w:r>
      <w:r w:rsidR="00145089" w:rsidRPr="00277FDE">
        <w:rPr>
          <w:sz w:val="24"/>
          <w:lang w:val="en-US"/>
        </w:rPr>
        <w:t>enforcement</w:t>
      </w:r>
      <w:r w:rsidRPr="00277FDE">
        <w:rPr>
          <w:sz w:val="24"/>
          <w:lang w:val="en-US"/>
        </w:rPr>
        <w:t xml:space="preserve"> and ordered</w:t>
      </w:r>
      <w:r w:rsidR="003B132E" w:rsidRPr="00277FDE">
        <w:rPr>
          <w:sz w:val="24"/>
          <w:lang w:val="en-US"/>
        </w:rPr>
        <w:t>:</w:t>
      </w:r>
    </w:p>
    <w:p w:rsidR="00481329" w:rsidRPr="00277FDE" w:rsidRDefault="00481329" w:rsidP="00277FDE">
      <w:pPr>
        <w:pStyle w:val="ListParagraph"/>
        <w:spacing w:line="240" w:lineRule="auto"/>
        <w:rPr>
          <w:color w:val="000000"/>
          <w:sz w:val="24"/>
          <w:lang w:val="en-US"/>
        </w:rPr>
      </w:pPr>
    </w:p>
    <w:p w:rsidR="00481329" w:rsidRPr="00277FDE" w:rsidRDefault="0083446C" w:rsidP="00277FDE">
      <w:pPr>
        <w:spacing w:line="240" w:lineRule="auto"/>
        <w:ind w:left="990"/>
        <w:rPr>
          <w:bCs/>
          <w:i/>
          <w:sz w:val="24"/>
          <w:lang w:val="en-US"/>
        </w:rPr>
      </w:pPr>
      <w:r w:rsidRPr="00277FDE">
        <w:rPr>
          <w:bCs/>
          <w:i/>
          <w:iCs/>
          <w:sz w:val="24"/>
          <w:lang w:val="en-US"/>
        </w:rPr>
        <w:t>“</w:t>
      </w:r>
      <w:r w:rsidR="007C02A5" w:rsidRPr="00277FDE">
        <w:rPr>
          <w:bCs/>
          <w:i/>
          <w:iCs/>
          <w:sz w:val="24"/>
          <w:lang w:val="en-US"/>
        </w:rPr>
        <w:t xml:space="preserve">ENFORCEMENT IS IMPOSED on the Debtor – Municipality of </w:t>
      </w:r>
      <w:proofErr w:type="spellStart"/>
      <w:r w:rsidR="007C02A5" w:rsidRPr="00277FDE">
        <w:rPr>
          <w:bCs/>
          <w:i/>
          <w:iCs/>
          <w:sz w:val="24"/>
          <w:lang w:val="en-US"/>
        </w:rPr>
        <w:t>Prishtina</w:t>
      </w:r>
      <w:proofErr w:type="spellEnd"/>
      <w:r w:rsidR="007C02A5" w:rsidRPr="00277FDE">
        <w:rPr>
          <w:bCs/>
          <w:i/>
          <w:iCs/>
          <w:sz w:val="24"/>
          <w:lang w:val="en-US"/>
        </w:rPr>
        <w:t xml:space="preserve">, Municipal Directorate of Health in </w:t>
      </w:r>
      <w:proofErr w:type="spellStart"/>
      <w:r w:rsidR="007C02A5" w:rsidRPr="00277FDE">
        <w:rPr>
          <w:bCs/>
          <w:i/>
          <w:iCs/>
          <w:sz w:val="24"/>
          <w:lang w:val="en-US"/>
        </w:rPr>
        <w:t>Prishtina</w:t>
      </w:r>
      <w:proofErr w:type="spellEnd"/>
      <w:r w:rsidR="007C02A5" w:rsidRPr="00277FDE">
        <w:rPr>
          <w:bCs/>
          <w:i/>
          <w:iCs/>
          <w:sz w:val="24"/>
          <w:lang w:val="en-US"/>
        </w:rPr>
        <w:t>, so the Debtor is obliged to reinstate</w:t>
      </w:r>
      <w:r w:rsidR="007C02A5" w:rsidRPr="00277FDE">
        <w:rPr>
          <w:i/>
          <w:iCs/>
          <w:sz w:val="24"/>
          <w:lang w:val="en-US"/>
        </w:rPr>
        <w:t xml:space="preserve"> </w:t>
      </w:r>
      <w:r w:rsidR="00F57335" w:rsidRPr="00277FDE">
        <w:rPr>
          <w:i/>
          <w:iCs/>
          <w:sz w:val="24"/>
          <w:lang w:val="en-US"/>
        </w:rPr>
        <w:t>[the Applicant</w:t>
      </w:r>
      <w:r w:rsidR="007965CF" w:rsidRPr="00277FDE">
        <w:rPr>
          <w:i/>
          <w:iCs/>
          <w:sz w:val="24"/>
          <w:lang w:val="en-US"/>
        </w:rPr>
        <w:t>]</w:t>
      </w:r>
      <w:r w:rsidR="007C02A5" w:rsidRPr="00277FDE">
        <w:rPr>
          <w:i/>
          <w:iCs/>
          <w:sz w:val="24"/>
          <w:lang w:val="en-US"/>
        </w:rPr>
        <w:t xml:space="preserve"> </w:t>
      </w:r>
      <w:r w:rsidR="00856C76" w:rsidRPr="00277FDE">
        <w:rPr>
          <w:i/>
          <w:color w:val="000000"/>
          <w:sz w:val="24"/>
          <w:lang w:val="en-US"/>
        </w:rPr>
        <w:t>[…]</w:t>
      </w:r>
      <w:r w:rsidR="00145089" w:rsidRPr="00277FDE">
        <w:rPr>
          <w:i/>
          <w:color w:val="000000"/>
          <w:sz w:val="24"/>
          <w:lang w:val="en-US"/>
        </w:rPr>
        <w:t xml:space="preserve"> </w:t>
      </w:r>
      <w:r w:rsidR="007C02A5" w:rsidRPr="00277FDE">
        <w:rPr>
          <w:i/>
          <w:iCs/>
          <w:sz w:val="24"/>
          <w:lang w:val="en-US"/>
        </w:rPr>
        <w:t>in the workplace and work duties as Dentist within MFM</w:t>
      </w:r>
      <w:r w:rsidR="008974A0" w:rsidRPr="00277FDE">
        <w:rPr>
          <w:i/>
          <w:iCs/>
          <w:sz w:val="24"/>
          <w:lang w:val="en-US"/>
        </w:rPr>
        <w:t>C</w:t>
      </w:r>
      <w:r w:rsidR="007C02A5" w:rsidRPr="00277FDE">
        <w:rPr>
          <w:i/>
          <w:iCs/>
          <w:sz w:val="24"/>
          <w:lang w:val="en-US"/>
        </w:rPr>
        <w:t>, and pay her 478.00 EUR on behalf of the contested proceeding costs within a time limit of 7 days starting from the date when this Decision is received</w:t>
      </w:r>
      <w:r w:rsidR="00481329" w:rsidRPr="00277FDE">
        <w:rPr>
          <w:i/>
          <w:color w:val="000000"/>
          <w:sz w:val="24"/>
          <w:lang w:val="en-US"/>
        </w:rPr>
        <w:t>.</w:t>
      </w:r>
      <w:r w:rsidRPr="00277FDE">
        <w:rPr>
          <w:i/>
          <w:color w:val="000000"/>
          <w:sz w:val="24"/>
          <w:lang w:val="en-US"/>
        </w:rPr>
        <w:t>”</w:t>
      </w:r>
    </w:p>
    <w:p w:rsidR="00481329" w:rsidRPr="00277FDE" w:rsidRDefault="00481329" w:rsidP="00277FDE">
      <w:pPr>
        <w:pStyle w:val="ListParagraph"/>
        <w:spacing w:line="240" w:lineRule="auto"/>
        <w:rPr>
          <w:color w:val="000000"/>
          <w:sz w:val="24"/>
          <w:lang w:val="en-US"/>
        </w:rPr>
      </w:pPr>
    </w:p>
    <w:p w:rsidR="007C02A5" w:rsidRPr="00277FDE" w:rsidRDefault="007C02A5" w:rsidP="00277FDE">
      <w:pPr>
        <w:numPr>
          <w:ilvl w:val="0"/>
          <w:numId w:val="1"/>
        </w:numPr>
        <w:tabs>
          <w:tab w:val="clear" w:pos="720"/>
        </w:tabs>
        <w:spacing w:line="240" w:lineRule="auto"/>
        <w:ind w:left="630" w:hanging="630"/>
        <w:rPr>
          <w:bCs/>
          <w:sz w:val="24"/>
          <w:lang w:val="en-US"/>
        </w:rPr>
      </w:pPr>
      <w:r w:rsidRPr="00277FDE">
        <w:rPr>
          <w:bCs/>
          <w:sz w:val="24"/>
          <w:lang w:val="en-US"/>
        </w:rPr>
        <w:t xml:space="preserve">The </w:t>
      </w:r>
      <w:r w:rsidRPr="00277FDE">
        <w:rPr>
          <w:bCs/>
          <w:iCs/>
          <w:sz w:val="24"/>
          <w:lang w:val="en-US"/>
        </w:rPr>
        <w:t>Municipality</w:t>
      </w:r>
      <w:r w:rsidRPr="00277FDE">
        <w:rPr>
          <w:bCs/>
          <w:sz w:val="24"/>
          <w:lang w:val="en-US"/>
        </w:rPr>
        <w:t xml:space="preserve"> of </w:t>
      </w:r>
      <w:proofErr w:type="spellStart"/>
      <w:r w:rsidRPr="00277FDE">
        <w:rPr>
          <w:bCs/>
          <w:sz w:val="24"/>
          <w:lang w:val="en-US"/>
        </w:rPr>
        <w:t>Prishtina</w:t>
      </w:r>
      <w:proofErr w:type="spellEnd"/>
      <w:r w:rsidRPr="00277FDE">
        <w:rPr>
          <w:bCs/>
          <w:sz w:val="24"/>
          <w:lang w:val="en-US"/>
        </w:rPr>
        <w:t xml:space="preserve"> f</w:t>
      </w:r>
      <w:r w:rsidR="00A363A6" w:rsidRPr="00277FDE">
        <w:rPr>
          <w:bCs/>
          <w:sz w:val="24"/>
          <w:lang w:val="en-US"/>
        </w:rPr>
        <w:t>iled an objection</w:t>
      </w:r>
      <w:r w:rsidRPr="00277FDE">
        <w:rPr>
          <w:bCs/>
          <w:sz w:val="24"/>
          <w:lang w:val="en-US"/>
        </w:rPr>
        <w:t xml:space="preserve"> </w:t>
      </w:r>
      <w:r w:rsidR="0083446C" w:rsidRPr="00277FDE">
        <w:rPr>
          <w:bCs/>
          <w:sz w:val="24"/>
          <w:lang w:val="en-US"/>
        </w:rPr>
        <w:t xml:space="preserve">with the Basic Court in </w:t>
      </w:r>
      <w:proofErr w:type="spellStart"/>
      <w:r w:rsidR="0083446C" w:rsidRPr="00277FDE">
        <w:rPr>
          <w:bCs/>
          <w:sz w:val="24"/>
          <w:lang w:val="en-US"/>
        </w:rPr>
        <w:t>Prishtina</w:t>
      </w:r>
      <w:proofErr w:type="spellEnd"/>
      <w:r w:rsidR="0083446C" w:rsidRPr="00277FDE">
        <w:rPr>
          <w:bCs/>
          <w:sz w:val="24"/>
          <w:lang w:val="en-US"/>
        </w:rPr>
        <w:t xml:space="preserve"> against the decision allowing the enforcement</w:t>
      </w:r>
      <w:r w:rsidRPr="00277FDE">
        <w:rPr>
          <w:bCs/>
          <w:sz w:val="24"/>
          <w:lang w:val="en-US"/>
        </w:rPr>
        <w:t>.</w:t>
      </w:r>
    </w:p>
    <w:p w:rsidR="00481329" w:rsidRPr="00277FDE" w:rsidRDefault="00481329" w:rsidP="00277FDE">
      <w:pPr>
        <w:spacing w:line="240" w:lineRule="auto"/>
        <w:ind w:left="630"/>
        <w:rPr>
          <w:bCs/>
          <w:sz w:val="24"/>
          <w:lang w:val="en-US"/>
        </w:rPr>
      </w:pPr>
    </w:p>
    <w:p w:rsidR="00481329" w:rsidRPr="00277FDE" w:rsidRDefault="00A363A6" w:rsidP="00277FDE">
      <w:pPr>
        <w:numPr>
          <w:ilvl w:val="0"/>
          <w:numId w:val="1"/>
        </w:numPr>
        <w:tabs>
          <w:tab w:val="clear" w:pos="720"/>
        </w:tabs>
        <w:spacing w:line="240" w:lineRule="auto"/>
        <w:ind w:left="630" w:hanging="630"/>
        <w:rPr>
          <w:i/>
          <w:sz w:val="24"/>
          <w:lang w:val="en-US"/>
        </w:rPr>
      </w:pPr>
      <w:r w:rsidRPr="00277FDE">
        <w:rPr>
          <w:sz w:val="24"/>
          <w:lang w:val="en-US"/>
        </w:rPr>
        <w:t xml:space="preserve">On 13 July </w:t>
      </w:r>
      <w:r w:rsidRPr="00277FDE">
        <w:rPr>
          <w:bCs/>
          <w:iCs/>
          <w:sz w:val="24"/>
          <w:lang w:val="en-US"/>
        </w:rPr>
        <w:t>2015</w:t>
      </w:r>
      <w:r w:rsidRPr="00277FDE">
        <w:rPr>
          <w:sz w:val="24"/>
          <w:lang w:val="en-US"/>
        </w:rPr>
        <w:t xml:space="preserve">, the Basic Court in </w:t>
      </w:r>
      <w:proofErr w:type="spellStart"/>
      <w:r w:rsidRPr="00277FDE">
        <w:rPr>
          <w:sz w:val="24"/>
          <w:lang w:val="en-US"/>
        </w:rPr>
        <w:t>Prishtina</w:t>
      </w:r>
      <w:proofErr w:type="spellEnd"/>
      <w:r w:rsidR="007F303B" w:rsidRPr="00277FDE">
        <w:rPr>
          <w:sz w:val="24"/>
          <w:lang w:val="en-US"/>
        </w:rPr>
        <w:t>,</w:t>
      </w:r>
      <w:r w:rsidRPr="00277FDE">
        <w:rPr>
          <w:sz w:val="24"/>
          <w:lang w:val="en-US"/>
        </w:rPr>
        <w:t xml:space="preserve"> by Decision E. no. 1087/2015</w:t>
      </w:r>
      <w:r w:rsidR="007F303B" w:rsidRPr="00277FDE">
        <w:rPr>
          <w:sz w:val="24"/>
          <w:lang w:val="en-US"/>
        </w:rPr>
        <w:t>,</w:t>
      </w:r>
      <w:r w:rsidRPr="00277FDE">
        <w:rPr>
          <w:sz w:val="24"/>
          <w:lang w:val="en-US"/>
        </w:rPr>
        <w:t xml:space="preserve"> rejected</w:t>
      </w:r>
      <w:r w:rsidR="0004745E" w:rsidRPr="00277FDE">
        <w:rPr>
          <w:sz w:val="24"/>
          <w:lang w:val="en-US"/>
        </w:rPr>
        <w:t xml:space="preserve"> </w:t>
      </w:r>
      <w:r w:rsidR="0083446C" w:rsidRPr="00277FDE">
        <w:rPr>
          <w:sz w:val="24"/>
          <w:lang w:val="en-US"/>
        </w:rPr>
        <w:t>“</w:t>
      </w:r>
      <w:r w:rsidR="00145089" w:rsidRPr="00277FDE">
        <w:rPr>
          <w:i/>
          <w:iCs/>
          <w:sz w:val="24"/>
          <w:lang w:val="en-US"/>
        </w:rPr>
        <w:t>t</w:t>
      </w:r>
      <w:r w:rsidRPr="00277FDE">
        <w:rPr>
          <w:i/>
          <w:iCs/>
          <w:sz w:val="24"/>
          <w:lang w:val="en-US"/>
        </w:rPr>
        <w:t xml:space="preserve">he objection of the </w:t>
      </w:r>
      <w:r w:rsidR="00145089" w:rsidRPr="00277FDE">
        <w:rPr>
          <w:i/>
          <w:iCs/>
          <w:sz w:val="24"/>
          <w:lang w:val="en-US"/>
        </w:rPr>
        <w:t>d</w:t>
      </w:r>
      <w:r w:rsidRPr="00277FDE">
        <w:rPr>
          <w:i/>
          <w:iCs/>
          <w:sz w:val="24"/>
          <w:lang w:val="en-US"/>
        </w:rPr>
        <w:t xml:space="preserve">ebtor – Municipality of </w:t>
      </w:r>
      <w:proofErr w:type="spellStart"/>
      <w:r w:rsidRPr="00277FDE">
        <w:rPr>
          <w:i/>
          <w:iCs/>
          <w:sz w:val="24"/>
          <w:lang w:val="en-US"/>
        </w:rPr>
        <w:t>Prishtina</w:t>
      </w:r>
      <w:proofErr w:type="spellEnd"/>
      <w:r w:rsidRPr="00277FDE">
        <w:rPr>
          <w:i/>
          <w:iCs/>
          <w:sz w:val="24"/>
          <w:lang w:val="en-US"/>
        </w:rPr>
        <w:t>, Municipal Directorate</w:t>
      </w:r>
      <w:r w:rsidRPr="00277FDE">
        <w:rPr>
          <w:bCs/>
          <w:iCs/>
          <w:sz w:val="24"/>
          <w:lang w:val="en-US"/>
        </w:rPr>
        <w:t xml:space="preserve"> </w:t>
      </w:r>
      <w:r w:rsidRPr="00277FDE">
        <w:rPr>
          <w:i/>
          <w:iCs/>
          <w:sz w:val="24"/>
          <w:lang w:val="en-US"/>
        </w:rPr>
        <w:t xml:space="preserve">of Health in </w:t>
      </w:r>
      <w:proofErr w:type="spellStart"/>
      <w:r w:rsidRPr="00277FDE">
        <w:rPr>
          <w:i/>
          <w:iCs/>
          <w:sz w:val="24"/>
          <w:lang w:val="en-US"/>
        </w:rPr>
        <w:t>Prishtina</w:t>
      </w:r>
      <w:proofErr w:type="spellEnd"/>
      <w:r w:rsidRPr="00277FDE">
        <w:rPr>
          <w:i/>
          <w:iCs/>
          <w:sz w:val="24"/>
          <w:lang w:val="en-US"/>
        </w:rPr>
        <w:t>, filed against Decision E. No. 1087/15 on allowing the enforcement, of 19 May 2015, is REJECTED as ungrounded.</w:t>
      </w:r>
      <w:r w:rsidR="0004745E" w:rsidRPr="00277FDE">
        <w:rPr>
          <w:i/>
          <w:sz w:val="24"/>
          <w:lang w:val="en-US"/>
        </w:rPr>
        <w:t>”</w:t>
      </w:r>
      <w:r w:rsidR="00481329" w:rsidRPr="00277FDE">
        <w:rPr>
          <w:sz w:val="24"/>
          <w:lang w:val="en-US"/>
        </w:rPr>
        <w:t xml:space="preserve"> </w:t>
      </w:r>
    </w:p>
    <w:p w:rsidR="00481329" w:rsidRPr="00277FDE" w:rsidRDefault="00481329" w:rsidP="00277FDE">
      <w:pPr>
        <w:pStyle w:val="ListParagraph"/>
        <w:spacing w:line="240" w:lineRule="auto"/>
        <w:rPr>
          <w:sz w:val="24"/>
          <w:lang w:val="en-US"/>
        </w:rPr>
      </w:pPr>
    </w:p>
    <w:p w:rsidR="00A363A6" w:rsidRPr="00277FDE" w:rsidRDefault="00A363A6" w:rsidP="00277FDE">
      <w:pPr>
        <w:numPr>
          <w:ilvl w:val="0"/>
          <w:numId w:val="1"/>
        </w:numPr>
        <w:tabs>
          <w:tab w:val="clear" w:pos="720"/>
        </w:tabs>
        <w:spacing w:line="240" w:lineRule="auto"/>
        <w:ind w:left="630" w:hanging="630"/>
        <w:rPr>
          <w:bCs/>
          <w:sz w:val="24"/>
          <w:lang w:val="en-US"/>
        </w:rPr>
      </w:pPr>
      <w:r w:rsidRPr="00277FDE">
        <w:rPr>
          <w:bCs/>
          <w:sz w:val="24"/>
          <w:lang w:val="en-US"/>
        </w:rPr>
        <w:t xml:space="preserve">Against the </w:t>
      </w:r>
      <w:r w:rsidRPr="00277FDE">
        <w:rPr>
          <w:bCs/>
          <w:iCs/>
          <w:sz w:val="24"/>
          <w:lang w:val="en-US"/>
        </w:rPr>
        <w:t>Decision</w:t>
      </w:r>
      <w:r w:rsidRPr="00277FDE">
        <w:rPr>
          <w:bCs/>
          <w:sz w:val="24"/>
          <w:lang w:val="en-US"/>
        </w:rPr>
        <w:t xml:space="preserve"> of the Basic Court, </w:t>
      </w:r>
      <w:r w:rsidR="00145089" w:rsidRPr="00277FDE">
        <w:rPr>
          <w:bCs/>
          <w:sz w:val="24"/>
          <w:lang w:val="en-US"/>
        </w:rPr>
        <w:t>which</w:t>
      </w:r>
      <w:r w:rsidRPr="00277FDE">
        <w:rPr>
          <w:bCs/>
          <w:sz w:val="24"/>
          <w:lang w:val="en-US"/>
        </w:rPr>
        <w:t xml:space="preserve"> </w:t>
      </w:r>
      <w:r w:rsidR="00897C00" w:rsidRPr="00277FDE">
        <w:rPr>
          <w:bCs/>
          <w:sz w:val="24"/>
          <w:lang w:val="en-US"/>
        </w:rPr>
        <w:t xml:space="preserve">rejected </w:t>
      </w:r>
      <w:r w:rsidRPr="00277FDE">
        <w:rPr>
          <w:bCs/>
          <w:sz w:val="24"/>
          <w:lang w:val="en-US"/>
        </w:rPr>
        <w:t xml:space="preserve">the </w:t>
      </w:r>
      <w:r w:rsidR="007F303B" w:rsidRPr="00277FDE">
        <w:rPr>
          <w:bCs/>
          <w:sz w:val="24"/>
          <w:lang w:val="en-US"/>
        </w:rPr>
        <w:t>objection</w:t>
      </w:r>
      <w:r w:rsidRPr="00277FDE">
        <w:rPr>
          <w:bCs/>
          <w:sz w:val="24"/>
          <w:lang w:val="en-US"/>
        </w:rPr>
        <w:t xml:space="preserve"> as ungrounded, the Municipality of </w:t>
      </w:r>
      <w:proofErr w:type="spellStart"/>
      <w:r w:rsidRPr="00277FDE">
        <w:rPr>
          <w:bCs/>
          <w:sz w:val="24"/>
          <w:lang w:val="en-US"/>
        </w:rPr>
        <w:t>Prishtina</w:t>
      </w:r>
      <w:proofErr w:type="spellEnd"/>
      <w:r w:rsidRPr="00277FDE">
        <w:rPr>
          <w:bCs/>
          <w:sz w:val="24"/>
          <w:lang w:val="en-US"/>
        </w:rPr>
        <w:t xml:space="preserve"> filed an appeal with the Court of Appeal</w:t>
      </w:r>
      <w:r w:rsidR="0083446C" w:rsidRPr="00277FDE">
        <w:rPr>
          <w:bCs/>
          <w:sz w:val="24"/>
          <w:lang w:val="en-US"/>
        </w:rPr>
        <w:t>s</w:t>
      </w:r>
      <w:r w:rsidRPr="00277FDE">
        <w:rPr>
          <w:bCs/>
          <w:sz w:val="24"/>
          <w:lang w:val="en-US"/>
        </w:rPr>
        <w:t>.</w:t>
      </w:r>
    </w:p>
    <w:p w:rsidR="0004745E" w:rsidRPr="00277FDE" w:rsidRDefault="0004745E" w:rsidP="00277FDE">
      <w:pPr>
        <w:pStyle w:val="ListParagraph"/>
        <w:spacing w:line="240" w:lineRule="auto"/>
        <w:rPr>
          <w:color w:val="000000"/>
          <w:sz w:val="24"/>
          <w:lang w:val="en-US"/>
        </w:rPr>
      </w:pPr>
    </w:p>
    <w:p w:rsidR="0004745E" w:rsidRPr="00277FDE" w:rsidRDefault="00A363A6" w:rsidP="00277FDE">
      <w:pPr>
        <w:numPr>
          <w:ilvl w:val="0"/>
          <w:numId w:val="1"/>
        </w:numPr>
        <w:tabs>
          <w:tab w:val="clear" w:pos="720"/>
        </w:tabs>
        <w:spacing w:line="240" w:lineRule="auto"/>
        <w:ind w:left="630" w:hanging="630"/>
        <w:rPr>
          <w:bCs/>
          <w:sz w:val="24"/>
          <w:lang w:val="en-US"/>
        </w:rPr>
      </w:pPr>
      <w:r w:rsidRPr="00277FDE">
        <w:rPr>
          <w:bCs/>
          <w:sz w:val="24"/>
          <w:lang w:val="en-US"/>
        </w:rPr>
        <w:t xml:space="preserve">On 10 </w:t>
      </w:r>
      <w:r w:rsidRPr="00277FDE">
        <w:rPr>
          <w:bCs/>
          <w:iCs/>
          <w:sz w:val="24"/>
          <w:lang w:val="en-US"/>
        </w:rPr>
        <w:t>December</w:t>
      </w:r>
      <w:r w:rsidRPr="00277FDE">
        <w:rPr>
          <w:bCs/>
          <w:sz w:val="24"/>
          <w:lang w:val="en-US"/>
        </w:rPr>
        <w:t xml:space="preserve"> 2015, the Court of Appeal</w:t>
      </w:r>
      <w:r w:rsidR="0083446C" w:rsidRPr="00277FDE">
        <w:rPr>
          <w:bCs/>
          <w:sz w:val="24"/>
          <w:lang w:val="en-US"/>
        </w:rPr>
        <w:t>s</w:t>
      </w:r>
      <w:r w:rsidR="007F303B" w:rsidRPr="00277FDE">
        <w:rPr>
          <w:bCs/>
          <w:sz w:val="24"/>
          <w:lang w:val="en-US"/>
        </w:rPr>
        <w:t>,</w:t>
      </w:r>
      <w:r w:rsidRPr="00277FDE">
        <w:rPr>
          <w:bCs/>
          <w:sz w:val="24"/>
          <w:lang w:val="en-US"/>
        </w:rPr>
        <w:t xml:space="preserve"> by Decision </w:t>
      </w:r>
      <w:r w:rsidR="000C19FC" w:rsidRPr="00277FDE">
        <w:rPr>
          <w:bCs/>
          <w:sz w:val="24"/>
          <w:lang w:val="en-US"/>
        </w:rPr>
        <w:t xml:space="preserve">Ac. </w:t>
      </w:r>
      <w:r w:rsidRPr="00277FDE">
        <w:rPr>
          <w:bCs/>
          <w:sz w:val="24"/>
          <w:lang w:val="en-US"/>
        </w:rPr>
        <w:t>No. 3084/15</w:t>
      </w:r>
      <w:r w:rsidR="007F303B" w:rsidRPr="00277FDE">
        <w:rPr>
          <w:bCs/>
          <w:sz w:val="24"/>
          <w:lang w:val="en-US"/>
        </w:rPr>
        <w:t>,</w:t>
      </w:r>
      <w:r w:rsidR="0083446C" w:rsidRPr="00277FDE">
        <w:rPr>
          <w:bCs/>
          <w:sz w:val="24"/>
          <w:lang w:val="en-US"/>
        </w:rPr>
        <w:t xml:space="preserve"> rejected “</w:t>
      </w:r>
      <w:r w:rsidR="000C19FC" w:rsidRPr="00277FDE">
        <w:rPr>
          <w:i/>
          <w:iCs/>
          <w:sz w:val="24"/>
          <w:lang w:val="en-US"/>
        </w:rPr>
        <w:t xml:space="preserve">the appeal of the representative of the </w:t>
      </w:r>
      <w:r w:rsidR="00897C00" w:rsidRPr="00277FDE">
        <w:rPr>
          <w:i/>
          <w:iCs/>
          <w:sz w:val="24"/>
          <w:lang w:val="en-US"/>
        </w:rPr>
        <w:t>d</w:t>
      </w:r>
      <w:r w:rsidR="000C19FC" w:rsidRPr="00277FDE">
        <w:rPr>
          <w:i/>
          <w:iCs/>
          <w:sz w:val="24"/>
          <w:lang w:val="en-US"/>
        </w:rPr>
        <w:t xml:space="preserve">ebtor – Municipality of </w:t>
      </w:r>
      <w:proofErr w:type="spellStart"/>
      <w:r w:rsidR="000C19FC" w:rsidRPr="00277FDE">
        <w:rPr>
          <w:i/>
          <w:iCs/>
          <w:sz w:val="24"/>
          <w:lang w:val="en-US"/>
        </w:rPr>
        <w:t>Prishtina</w:t>
      </w:r>
      <w:proofErr w:type="spellEnd"/>
      <w:r w:rsidR="000C19FC" w:rsidRPr="00277FDE">
        <w:rPr>
          <w:i/>
          <w:iCs/>
          <w:sz w:val="24"/>
          <w:lang w:val="en-US"/>
        </w:rPr>
        <w:t xml:space="preserve">, Municipal Directorate of Health in </w:t>
      </w:r>
      <w:proofErr w:type="spellStart"/>
      <w:r w:rsidR="000C19FC" w:rsidRPr="00277FDE">
        <w:rPr>
          <w:i/>
          <w:iCs/>
          <w:sz w:val="24"/>
          <w:lang w:val="en-US"/>
        </w:rPr>
        <w:t>Prishtina</w:t>
      </w:r>
      <w:proofErr w:type="spellEnd"/>
      <w:r w:rsidR="008974A0" w:rsidRPr="00277FDE">
        <w:rPr>
          <w:i/>
          <w:iCs/>
          <w:sz w:val="24"/>
          <w:lang w:val="en-US"/>
        </w:rPr>
        <w:t xml:space="preserve"> - </w:t>
      </w:r>
      <w:r w:rsidR="000C19FC" w:rsidRPr="00277FDE">
        <w:rPr>
          <w:i/>
          <w:iCs/>
          <w:sz w:val="24"/>
          <w:lang w:val="en-US"/>
        </w:rPr>
        <w:t xml:space="preserve">is REJECTED as ungrounded, whereas Decision E. No. 1087/2015 of the Basic Court in </w:t>
      </w:r>
      <w:proofErr w:type="spellStart"/>
      <w:r w:rsidR="000C19FC" w:rsidRPr="00277FDE">
        <w:rPr>
          <w:i/>
          <w:iCs/>
          <w:sz w:val="24"/>
          <w:lang w:val="en-US"/>
        </w:rPr>
        <w:t>Prishtina</w:t>
      </w:r>
      <w:proofErr w:type="spellEnd"/>
      <w:r w:rsidR="000C19FC" w:rsidRPr="00277FDE">
        <w:rPr>
          <w:i/>
          <w:iCs/>
          <w:sz w:val="24"/>
          <w:lang w:val="en-US"/>
        </w:rPr>
        <w:t>, of 13 July 2015 is UPHELD</w:t>
      </w:r>
      <w:r w:rsidR="0083446C" w:rsidRPr="00277FDE">
        <w:rPr>
          <w:bCs/>
          <w:i/>
          <w:sz w:val="24"/>
          <w:lang w:val="en-US"/>
        </w:rPr>
        <w:t>.”</w:t>
      </w:r>
    </w:p>
    <w:p w:rsidR="0004745E" w:rsidRPr="00277FDE" w:rsidRDefault="0004745E" w:rsidP="00277FDE">
      <w:pPr>
        <w:spacing w:line="240" w:lineRule="auto"/>
        <w:ind w:left="630"/>
        <w:rPr>
          <w:bCs/>
          <w:sz w:val="24"/>
          <w:lang w:val="en-US"/>
        </w:rPr>
      </w:pPr>
    </w:p>
    <w:p w:rsidR="005D209E" w:rsidRPr="00277FDE" w:rsidRDefault="005D209E" w:rsidP="00277FDE">
      <w:pPr>
        <w:numPr>
          <w:ilvl w:val="0"/>
          <w:numId w:val="1"/>
        </w:numPr>
        <w:tabs>
          <w:tab w:val="clear" w:pos="720"/>
        </w:tabs>
        <w:spacing w:line="240" w:lineRule="auto"/>
        <w:ind w:left="630" w:hanging="630"/>
        <w:rPr>
          <w:bCs/>
          <w:sz w:val="24"/>
          <w:lang w:val="en-US"/>
        </w:rPr>
      </w:pPr>
      <w:r w:rsidRPr="00277FDE">
        <w:rPr>
          <w:bCs/>
          <w:sz w:val="24"/>
          <w:lang w:val="en-US"/>
        </w:rPr>
        <w:t xml:space="preserve">Simultaneously with the enforcement proceedings, the Municipality of </w:t>
      </w:r>
      <w:proofErr w:type="spellStart"/>
      <w:r w:rsidRPr="00277FDE">
        <w:rPr>
          <w:bCs/>
          <w:sz w:val="24"/>
          <w:lang w:val="en-US"/>
        </w:rPr>
        <w:t>Prishtina</w:t>
      </w:r>
      <w:proofErr w:type="spellEnd"/>
      <w:r w:rsidRPr="00277FDE">
        <w:rPr>
          <w:bCs/>
          <w:sz w:val="24"/>
          <w:lang w:val="en-US"/>
        </w:rPr>
        <w:t xml:space="preserve"> filed </w:t>
      </w:r>
      <w:r w:rsidR="0083446C" w:rsidRPr="00277FDE">
        <w:rPr>
          <w:bCs/>
          <w:sz w:val="24"/>
          <w:lang w:val="en-US"/>
        </w:rPr>
        <w:t xml:space="preserve">a </w:t>
      </w:r>
      <w:r w:rsidR="0083446C" w:rsidRPr="00277FDE">
        <w:rPr>
          <w:bCs/>
          <w:iCs/>
          <w:sz w:val="24"/>
          <w:lang w:val="en-US"/>
        </w:rPr>
        <w:t>request</w:t>
      </w:r>
      <w:r w:rsidR="0083446C" w:rsidRPr="00277FDE">
        <w:rPr>
          <w:bCs/>
          <w:sz w:val="24"/>
          <w:lang w:val="en-US"/>
        </w:rPr>
        <w:t xml:space="preserve"> for revision with the Supreme Court of Kosovo </w:t>
      </w:r>
      <w:r w:rsidRPr="00277FDE">
        <w:rPr>
          <w:bCs/>
          <w:sz w:val="24"/>
          <w:lang w:val="en-US"/>
        </w:rPr>
        <w:t>against the Judgment of the Court of Appeal</w:t>
      </w:r>
      <w:r w:rsidR="00897C00" w:rsidRPr="00277FDE">
        <w:rPr>
          <w:bCs/>
          <w:sz w:val="24"/>
          <w:lang w:val="en-US"/>
        </w:rPr>
        <w:t>s</w:t>
      </w:r>
      <w:r w:rsidRPr="00277FDE">
        <w:rPr>
          <w:bCs/>
          <w:sz w:val="24"/>
          <w:lang w:val="en-US"/>
        </w:rPr>
        <w:t xml:space="preserve"> of Kosovo (Ac. </w:t>
      </w:r>
      <w:r w:rsidRPr="00277FDE">
        <w:rPr>
          <w:bCs/>
          <w:caps/>
          <w:sz w:val="24"/>
          <w:lang w:val="en-US"/>
        </w:rPr>
        <w:t>n</w:t>
      </w:r>
      <w:r w:rsidRPr="00277FDE">
        <w:rPr>
          <w:bCs/>
          <w:sz w:val="24"/>
          <w:lang w:val="en-US"/>
        </w:rPr>
        <w:t>o. 4391/2014) o</w:t>
      </w:r>
      <w:r w:rsidR="0083446C" w:rsidRPr="00277FDE">
        <w:rPr>
          <w:bCs/>
          <w:sz w:val="24"/>
          <w:lang w:val="en-US"/>
        </w:rPr>
        <w:t>f 7 April 2015</w:t>
      </w:r>
      <w:r w:rsidRPr="00277FDE">
        <w:rPr>
          <w:bCs/>
          <w:sz w:val="24"/>
          <w:lang w:val="en-US"/>
        </w:rPr>
        <w:t>.</w:t>
      </w:r>
    </w:p>
    <w:p w:rsidR="0004745E" w:rsidRPr="00277FDE" w:rsidRDefault="0004745E" w:rsidP="00277FDE">
      <w:pPr>
        <w:pStyle w:val="ListParagraph"/>
        <w:spacing w:line="240" w:lineRule="auto"/>
        <w:rPr>
          <w:sz w:val="24"/>
          <w:lang w:val="en-US"/>
        </w:rPr>
      </w:pPr>
    </w:p>
    <w:p w:rsidR="0057451D" w:rsidRPr="00277FDE" w:rsidRDefault="005D209E" w:rsidP="00277FDE">
      <w:pPr>
        <w:numPr>
          <w:ilvl w:val="0"/>
          <w:numId w:val="1"/>
        </w:numPr>
        <w:tabs>
          <w:tab w:val="clear" w:pos="720"/>
        </w:tabs>
        <w:spacing w:line="240" w:lineRule="auto"/>
        <w:ind w:left="630" w:hanging="630"/>
        <w:rPr>
          <w:bCs/>
          <w:sz w:val="24"/>
          <w:lang w:val="en-US"/>
        </w:rPr>
      </w:pPr>
      <w:r w:rsidRPr="00277FDE">
        <w:rPr>
          <w:color w:val="000000"/>
          <w:sz w:val="24"/>
          <w:lang w:val="en-US"/>
        </w:rPr>
        <w:lastRenderedPageBreak/>
        <w:t>On 9 December 2015, the Supreme Court of Kosovo</w:t>
      </w:r>
      <w:r w:rsidR="007F303B" w:rsidRPr="00277FDE">
        <w:rPr>
          <w:color w:val="000000"/>
          <w:sz w:val="24"/>
          <w:lang w:val="en-US"/>
        </w:rPr>
        <w:t>,</w:t>
      </w:r>
      <w:r w:rsidRPr="00277FDE">
        <w:rPr>
          <w:color w:val="000000"/>
          <w:sz w:val="24"/>
          <w:lang w:val="en-US"/>
        </w:rPr>
        <w:t xml:space="preserve"> by Judgment Rev. </w:t>
      </w:r>
      <w:r w:rsidRPr="00277FDE">
        <w:rPr>
          <w:caps/>
          <w:color w:val="000000"/>
          <w:sz w:val="24"/>
          <w:lang w:val="en-US"/>
        </w:rPr>
        <w:t>n</w:t>
      </w:r>
      <w:r w:rsidRPr="00277FDE">
        <w:rPr>
          <w:color w:val="000000"/>
          <w:sz w:val="24"/>
          <w:lang w:val="en-US"/>
        </w:rPr>
        <w:t>o. 295/2015</w:t>
      </w:r>
      <w:r w:rsidR="007F303B" w:rsidRPr="00277FDE">
        <w:rPr>
          <w:color w:val="000000"/>
          <w:sz w:val="24"/>
          <w:lang w:val="en-US"/>
        </w:rPr>
        <w:t>,</w:t>
      </w:r>
      <w:r w:rsidRPr="00277FDE">
        <w:rPr>
          <w:color w:val="000000"/>
          <w:sz w:val="24"/>
          <w:lang w:val="en-US"/>
        </w:rPr>
        <w:t xml:space="preserve"> </w:t>
      </w:r>
      <w:r w:rsidRPr="00277FDE">
        <w:rPr>
          <w:bCs/>
          <w:iCs/>
          <w:sz w:val="24"/>
          <w:lang w:val="en-US"/>
        </w:rPr>
        <w:t>approved</w:t>
      </w:r>
      <w:r w:rsidRPr="00277FDE">
        <w:rPr>
          <w:color w:val="000000"/>
          <w:sz w:val="24"/>
          <w:lang w:val="en-US"/>
        </w:rPr>
        <w:t xml:space="preserve"> the request for revision and </w:t>
      </w:r>
      <w:r w:rsidR="007965CF" w:rsidRPr="00277FDE">
        <w:rPr>
          <w:color w:val="000000"/>
          <w:sz w:val="24"/>
          <w:lang w:val="en-US"/>
        </w:rPr>
        <w:t>rejected as unfounded the statement of claim of the Applicant to be reinstated in her workplace.</w:t>
      </w:r>
      <w:r w:rsidR="007965CF" w:rsidRPr="00277FDE" w:rsidDel="007965CF">
        <w:rPr>
          <w:color w:val="000000"/>
          <w:sz w:val="24"/>
          <w:lang w:val="en-US"/>
        </w:rPr>
        <w:t xml:space="preserve"> </w:t>
      </w:r>
    </w:p>
    <w:p w:rsidR="007F303B" w:rsidRPr="00277FDE" w:rsidRDefault="007F303B" w:rsidP="00277FDE">
      <w:pPr>
        <w:spacing w:line="240" w:lineRule="auto"/>
        <w:ind w:left="0"/>
        <w:rPr>
          <w:bCs/>
          <w:sz w:val="24"/>
          <w:lang w:val="en-US"/>
        </w:rPr>
      </w:pPr>
    </w:p>
    <w:p w:rsidR="006A49BC" w:rsidRPr="00277FDE" w:rsidRDefault="005D209E" w:rsidP="00277FDE">
      <w:pPr>
        <w:numPr>
          <w:ilvl w:val="0"/>
          <w:numId w:val="1"/>
        </w:numPr>
        <w:tabs>
          <w:tab w:val="clear" w:pos="720"/>
        </w:tabs>
        <w:spacing w:line="240" w:lineRule="auto"/>
        <w:ind w:left="630" w:hanging="630"/>
        <w:rPr>
          <w:bCs/>
          <w:i/>
          <w:sz w:val="24"/>
          <w:lang w:val="en-US"/>
        </w:rPr>
      </w:pPr>
      <w:r w:rsidRPr="00277FDE">
        <w:rPr>
          <w:bCs/>
          <w:sz w:val="24"/>
          <w:lang w:val="en-US"/>
        </w:rPr>
        <w:t>The Supreme Court assessed that the lower instance courts</w:t>
      </w:r>
      <w:r w:rsidR="002F0206" w:rsidRPr="00277FDE">
        <w:rPr>
          <w:bCs/>
          <w:sz w:val="24"/>
          <w:lang w:val="en-US"/>
        </w:rPr>
        <w:t xml:space="preserve">, </w:t>
      </w:r>
    </w:p>
    <w:p w:rsidR="006A49BC" w:rsidRPr="00277FDE" w:rsidRDefault="006A49BC" w:rsidP="00277FDE">
      <w:pPr>
        <w:spacing w:line="240" w:lineRule="auto"/>
        <w:ind w:left="630"/>
        <w:rPr>
          <w:bCs/>
          <w:sz w:val="24"/>
          <w:lang w:val="en-US"/>
        </w:rPr>
      </w:pPr>
    </w:p>
    <w:p w:rsidR="002F0206" w:rsidRPr="00277FDE" w:rsidRDefault="002F0206" w:rsidP="00277FDE">
      <w:pPr>
        <w:spacing w:line="240" w:lineRule="auto"/>
        <w:ind w:left="990"/>
        <w:rPr>
          <w:bCs/>
          <w:i/>
          <w:sz w:val="24"/>
          <w:lang w:val="en-US"/>
        </w:rPr>
      </w:pPr>
      <w:r w:rsidRPr="00277FDE">
        <w:rPr>
          <w:bCs/>
          <w:sz w:val="24"/>
          <w:lang w:val="en-US"/>
        </w:rPr>
        <w:t>“</w:t>
      </w:r>
      <w:r w:rsidR="006A49BC" w:rsidRPr="00277FDE">
        <w:rPr>
          <w:bCs/>
          <w:sz w:val="24"/>
          <w:lang w:val="en-US"/>
        </w:rPr>
        <w:t xml:space="preserve">[…] </w:t>
      </w:r>
      <w:r w:rsidR="00B55E52" w:rsidRPr="00277FDE">
        <w:rPr>
          <w:i/>
          <w:iCs/>
          <w:sz w:val="24"/>
          <w:lang w:val="en-US"/>
        </w:rPr>
        <w:t xml:space="preserve">have completely ascertained the factual situation, however they have erroneously applied the substantive law, when they found that the statement of claim of the </w:t>
      </w:r>
      <w:r w:rsidR="00897C00" w:rsidRPr="00277FDE">
        <w:rPr>
          <w:i/>
          <w:iCs/>
          <w:sz w:val="24"/>
          <w:lang w:val="en-US"/>
        </w:rPr>
        <w:t>c</w:t>
      </w:r>
      <w:r w:rsidR="00B55E52" w:rsidRPr="00277FDE">
        <w:rPr>
          <w:i/>
          <w:iCs/>
          <w:sz w:val="24"/>
          <w:lang w:val="en-US"/>
        </w:rPr>
        <w:t xml:space="preserve">laimant is grounded. This is due to the reason that pursuant to Administrative Instruction No. 17/2000 of the Department of Health and Social Welfare, under item D, item 6, it is foreseen that doctors who have successfully completed their specialization training and are registered as specialists with a work permit, should </w:t>
      </w:r>
      <w:r w:rsidR="00897C00" w:rsidRPr="00277FDE">
        <w:rPr>
          <w:i/>
          <w:iCs/>
          <w:sz w:val="24"/>
          <w:lang w:val="en-US"/>
        </w:rPr>
        <w:t>apply</w:t>
      </w:r>
      <w:r w:rsidR="00B55E52" w:rsidRPr="00277FDE">
        <w:rPr>
          <w:i/>
          <w:iCs/>
          <w:sz w:val="24"/>
          <w:lang w:val="en-US"/>
        </w:rPr>
        <w:t xml:space="preserve"> for job positions at the Public Health Services in Kosovo. They may not remain in their training posts, and posts in the training institutions may not be offered to them automatically, whereas by item 7, it was determined that the system of sponsoring trainings by various institutions shall end when doctors accept the offer for specialization training from the Department of Health and Social Welfare; they should </w:t>
      </w:r>
      <w:r w:rsidR="00897C00" w:rsidRPr="00277FDE">
        <w:rPr>
          <w:i/>
          <w:iCs/>
          <w:sz w:val="24"/>
          <w:lang w:val="en-US"/>
        </w:rPr>
        <w:t>stop</w:t>
      </w:r>
      <w:r w:rsidR="00B55E52" w:rsidRPr="00277FDE">
        <w:rPr>
          <w:i/>
          <w:iCs/>
          <w:sz w:val="24"/>
          <w:lang w:val="en-US"/>
        </w:rPr>
        <w:t xml:space="preserve"> every attempt </w:t>
      </w:r>
      <w:r w:rsidR="00897C00" w:rsidRPr="00277FDE">
        <w:rPr>
          <w:i/>
          <w:iCs/>
          <w:sz w:val="24"/>
          <w:lang w:val="en-US"/>
        </w:rPr>
        <w:t>for employment with</w:t>
      </w:r>
      <w:r w:rsidR="00B55E52" w:rsidRPr="00277FDE">
        <w:rPr>
          <w:i/>
          <w:iCs/>
          <w:sz w:val="24"/>
          <w:lang w:val="en-US"/>
        </w:rPr>
        <w:t xml:space="preserve"> the previous employer and no contract should be </w:t>
      </w:r>
      <w:r w:rsidR="00897C00" w:rsidRPr="00277FDE">
        <w:rPr>
          <w:i/>
          <w:iCs/>
          <w:sz w:val="24"/>
          <w:lang w:val="en-US"/>
        </w:rPr>
        <w:t>established</w:t>
      </w:r>
      <w:r w:rsidR="00B55E52" w:rsidRPr="00277FDE">
        <w:rPr>
          <w:i/>
          <w:iCs/>
          <w:sz w:val="24"/>
          <w:lang w:val="en-US"/>
        </w:rPr>
        <w:t xml:space="preserve"> which creates a future obligation</w:t>
      </w:r>
      <w:r w:rsidRPr="00277FDE">
        <w:rPr>
          <w:bCs/>
          <w:i/>
          <w:sz w:val="24"/>
          <w:lang w:val="en-US"/>
        </w:rPr>
        <w:t>.</w:t>
      </w:r>
      <w:r w:rsidR="0083446C" w:rsidRPr="00277FDE">
        <w:rPr>
          <w:bCs/>
          <w:i/>
          <w:sz w:val="24"/>
          <w:lang w:val="en-US"/>
        </w:rPr>
        <w:t>”</w:t>
      </w:r>
    </w:p>
    <w:p w:rsidR="002F0206" w:rsidRPr="00277FDE" w:rsidRDefault="002F0206" w:rsidP="00277FDE">
      <w:pPr>
        <w:spacing w:line="240" w:lineRule="auto"/>
        <w:ind w:left="630"/>
        <w:rPr>
          <w:bCs/>
          <w:sz w:val="24"/>
          <w:lang w:val="en-US"/>
        </w:rPr>
      </w:pPr>
    </w:p>
    <w:p w:rsidR="006A49BC" w:rsidRPr="00277FDE" w:rsidRDefault="00B55E52" w:rsidP="00277FDE">
      <w:pPr>
        <w:numPr>
          <w:ilvl w:val="0"/>
          <w:numId w:val="1"/>
        </w:numPr>
        <w:tabs>
          <w:tab w:val="clear" w:pos="720"/>
        </w:tabs>
        <w:spacing w:line="240" w:lineRule="auto"/>
        <w:ind w:left="630" w:hanging="630"/>
        <w:rPr>
          <w:i/>
          <w:iCs/>
          <w:sz w:val="24"/>
          <w:lang w:val="en-US"/>
        </w:rPr>
      </w:pPr>
      <w:r w:rsidRPr="00277FDE">
        <w:rPr>
          <w:bCs/>
          <w:sz w:val="24"/>
          <w:lang w:val="en-US"/>
        </w:rPr>
        <w:t>The Supreme Court further reaso</w:t>
      </w:r>
      <w:r w:rsidRPr="00277FDE">
        <w:rPr>
          <w:color w:val="000000"/>
          <w:sz w:val="24"/>
          <w:lang w:val="en-US"/>
        </w:rPr>
        <w:t>n</w:t>
      </w:r>
      <w:r w:rsidRPr="00277FDE">
        <w:rPr>
          <w:bCs/>
          <w:sz w:val="24"/>
          <w:lang w:val="en-US"/>
        </w:rPr>
        <w:t>ed</w:t>
      </w:r>
      <w:r w:rsidR="00E44C3A" w:rsidRPr="00277FDE">
        <w:rPr>
          <w:bCs/>
          <w:sz w:val="24"/>
          <w:lang w:val="en-US"/>
        </w:rPr>
        <w:t xml:space="preserve"> that,</w:t>
      </w:r>
      <w:r w:rsidR="002F0206" w:rsidRPr="00277FDE">
        <w:rPr>
          <w:bCs/>
          <w:sz w:val="24"/>
          <w:lang w:val="en-US"/>
        </w:rPr>
        <w:t xml:space="preserve"> </w:t>
      </w:r>
    </w:p>
    <w:p w:rsidR="006A49BC" w:rsidRPr="00277FDE" w:rsidRDefault="006A49BC" w:rsidP="00277FDE">
      <w:pPr>
        <w:spacing w:line="240" w:lineRule="auto"/>
        <w:ind w:left="630"/>
        <w:rPr>
          <w:bCs/>
          <w:sz w:val="24"/>
          <w:lang w:val="en-US"/>
        </w:rPr>
      </w:pPr>
    </w:p>
    <w:p w:rsidR="002F0206" w:rsidRPr="00277FDE" w:rsidRDefault="002F0206" w:rsidP="00277FDE">
      <w:pPr>
        <w:spacing w:line="240" w:lineRule="auto"/>
        <w:ind w:left="990"/>
        <w:rPr>
          <w:i/>
          <w:iCs/>
          <w:sz w:val="24"/>
          <w:lang w:val="en-US"/>
        </w:rPr>
      </w:pPr>
      <w:r w:rsidRPr="00277FDE">
        <w:rPr>
          <w:bCs/>
          <w:sz w:val="24"/>
          <w:lang w:val="en-US"/>
        </w:rPr>
        <w:t>“</w:t>
      </w:r>
      <w:r w:rsidR="00900AA3" w:rsidRPr="00277FDE">
        <w:rPr>
          <w:i/>
          <w:iCs/>
          <w:sz w:val="24"/>
          <w:lang w:val="en-US"/>
        </w:rPr>
        <w:t xml:space="preserve">The allegation of the respondent mentioned in the revision that the lower instance courts </w:t>
      </w:r>
      <w:r w:rsidR="00900AA3" w:rsidRPr="00277FDE">
        <w:rPr>
          <w:bCs/>
          <w:sz w:val="24"/>
          <w:lang w:val="en-US"/>
        </w:rPr>
        <w:t>have</w:t>
      </w:r>
      <w:r w:rsidR="00900AA3" w:rsidRPr="00277FDE">
        <w:rPr>
          <w:i/>
          <w:iCs/>
          <w:sz w:val="24"/>
          <w:lang w:val="en-US"/>
        </w:rPr>
        <w:t xml:space="preserve"> erroneously applied the substantive law was considered by this </w:t>
      </w:r>
      <w:r w:rsidR="00897C00" w:rsidRPr="00277FDE">
        <w:rPr>
          <w:i/>
          <w:iCs/>
          <w:sz w:val="24"/>
          <w:lang w:val="en-US"/>
        </w:rPr>
        <w:t>c</w:t>
      </w:r>
      <w:r w:rsidR="00900AA3" w:rsidRPr="00277FDE">
        <w:rPr>
          <w:i/>
          <w:iCs/>
          <w:sz w:val="24"/>
          <w:lang w:val="en-US"/>
        </w:rPr>
        <w:t xml:space="preserve">ourt as grounded, as pursuant to the Instruction mentioned above, it results that the </w:t>
      </w:r>
      <w:r w:rsidR="002A4A61" w:rsidRPr="00277FDE">
        <w:rPr>
          <w:i/>
          <w:iCs/>
          <w:sz w:val="24"/>
          <w:lang w:val="en-US"/>
        </w:rPr>
        <w:t>r</w:t>
      </w:r>
      <w:r w:rsidR="00900AA3" w:rsidRPr="00277FDE">
        <w:rPr>
          <w:i/>
          <w:iCs/>
          <w:sz w:val="24"/>
          <w:lang w:val="en-US"/>
        </w:rPr>
        <w:t xml:space="preserve">espondent was entitled to request from the specialized persons to work </w:t>
      </w:r>
      <w:r w:rsidR="002A4A61" w:rsidRPr="00277FDE">
        <w:rPr>
          <w:i/>
          <w:iCs/>
          <w:sz w:val="24"/>
          <w:lang w:val="en-US"/>
        </w:rPr>
        <w:t>with</w:t>
      </w:r>
      <w:r w:rsidR="00900AA3" w:rsidRPr="00277FDE">
        <w:rPr>
          <w:i/>
          <w:iCs/>
          <w:sz w:val="24"/>
          <w:lang w:val="en-US"/>
        </w:rPr>
        <w:t xml:space="preserve"> the </w:t>
      </w:r>
      <w:r w:rsidR="002A4A61" w:rsidRPr="00277FDE">
        <w:rPr>
          <w:i/>
          <w:iCs/>
          <w:sz w:val="24"/>
          <w:lang w:val="en-US"/>
        </w:rPr>
        <w:t>r</w:t>
      </w:r>
      <w:r w:rsidR="00900AA3" w:rsidRPr="00277FDE">
        <w:rPr>
          <w:i/>
          <w:iCs/>
          <w:sz w:val="24"/>
          <w:lang w:val="en-US"/>
        </w:rPr>
        <w:t xml:space="preserve">espondent, however it was not obliged to secure them a job position automatically following the completion of the specialization, whereas the specialized persons should have </w:t>
      </w:r>
      <w:r w:rsidR="002A4A61" w:rsidRPr="00277FDE">
        <w:rPr>
          <w:i/>
          <w:iCs/>
          <w:sz w:val="24"/>
          <w:lang w:val="en-US"/>
        </w:rPr>
        <w:t>applied</w:t>
      </w:r>
      <w:r w:rsidR="00900AA3" w:rsidRPr="00277FDE">
        <w:rPr>
          <w:i/>
          <w:iCs/>
          <w:sz w:val="24"/>
          <w:lang w:val="en-US"/>
        </w:rPr>
        <w:t xml:space="preserve"> for the job positions in accordance with the completed specialization.</w:t>
      </w:r>
      <w:r w:rsidR="006A49BC" w:rsidRPr="00277FDE">
        <w:rPr>
          <w:i/>
          <w:iCs/>
          <w:sz w:val="24"/>
          <w:lang w:val="en-US"/>
        </w:rPr>
        <w:t>”</w:t>
      </w:r>
    </w:p>
    <w:p w:rsidR="00BA5B48" w:rsidRPr="00277FDE" w:rsidRDefault="00BA5B48" w:rsidP="00277FDE">
      <w:pPr>
        <w:pStyle w:val="ListParagraph"/>
        <w:spacing w:line="240" w:lineRule="auto"/>
        <w:rPr>
          <w:color w:val="000000"/>
          <w:sz w:val="24"/>
          <w:lang w:val="en-US"/>
        </w:rPr>
      </w:pPr>
    </w:p>
    <w:p w:rsidR="006877FE" w:rsidRPr="00277FDE" w:rsidRDefault="00900AA3" w:rsidP="00277FDE">
      <w:pPr>
        <w:spacing w:line="240" w:lineRule="auto"/>
        <w:ind w:left="0"/>
        <w:rPr>
          <w:b/>
          <w:sz w:val="24"/>
          <w:lang w:val="en-US"/>
        </w:rPr>
      </w:pPr>
      <w:r w:rsidRPr="00277FDE">
        <w:rPr>
          <w:b/>
          <w:sz w:val="24"/>
          <w:lang w:val="en-US"/>
        </w:rPr>
        <w:t>Applicant’s allegations</w:t>
      </w:r>
      <w:r w:rsidR="00B57BEF" w:rsidRPr="00277FDE">
        <w:rPr>
          <w:b/>
          <w:sz w:val="24"/>
          <w:lang w:val="en-US"/>
        </w:rPr>
        <w:t xml:space="preserve"> </w:t>
      </w:r>
    </w:p>
    <w:p w:rsidR="00143F0A" w:rsidRPr="00277FDE" w:rsidRDefault="00143F0A" w:rsidP="00277FDE">
      <w:pPr>
        <w:spacing w:line="240" w:lineRule="auto"/>
        <w:ind w:left="630"/>
        <w:rPr>
          <w:sz w:val="24"/>
          <w:lang w:val="en-US"/>
        </w:rPr>
      </w:pPr>
    </w:p>
    <w:p w:rsidR="005B39EC" w:rsidRPr="00277FDE" w:rsidRDefault="005B39EC" w:rsidP="00277FDE">
      <w:pPr>
        <w:numPr>
          <w:ilvl w:val="0"/>
          <w:numId w:val="1"/>
        </w:numPr>
        <w:tabs>
          <w:tab w:val="clear" w:pos="720"/>
        </w:tabs>
        <w:spacing w:line="240" w:lineRule="auto"/>
        <w:ind w:left="630" w:hanging="630"/>
        <w:rPr>
          <w:i/>
          <w:sz w:val="24"/>
          <w:lang w:val="en-US"/>
        </w:rPr>
      </w:pPr>
      <w:r w:rsidRPr="00277FDE">
        <w:rPr>
          <w:sz w:val="24"/>
          <w:lang w:val="en-US"/>
        </w:rPr>
        <w:t xml:space="preserve">The </w:t>
      </w:r>
      <w:r w:rsidRPr="00277FDE">
        <w:rPr>
          <w:bCs/>
          <w:iCs/>
          <w:sz w:val="24"/>
          <w:lang w:val="en-US"/>
        </w:rPr>
        <w:t>Applicant</w:t>
      </w:r>
      <w:r w:rsidRPr="00277FDE">
        <w:rPr>
          <w:sz w:val="24"/>
          <w:lang w:val="en-US"/>
        </w:rPr>
        <w:t xml:space="preserve"> claims that</w:t>
      </w:r>
      <w:r w:rsidR="00A557FA" w:rsidRPr="00277FDE">
        <w:rPr>
          <w:sz w:val="24"/>
          <w:lang w:val="en-US"/>
        </w:rPr>
        <w:t xml:space="preserve"> she should have been reinstated in her job as a dentist, because</w:t>
      </w:r>
      <w:r w:rsidRPr="00277FDE">
        <w:rPr>
          <w:sz w:val="24"/>
          <w:lang w:val="en-US"/>
        </w:rPr>
        <w:t xml:space="preserve"> </w:t>
      </w:r>
      <w:r w:rsidRPr="00277FDE">
        <w:rPr>
          <w:bCs/>
          <w:sz w:val="24"/>
          <w:lang w:val="en-US"/>
        </w:rPr>
        <w:t xml:space="preserve">UNMIK Regulation </w:t>
      </w:r>
      <w:r w:rsidRPr="00277FDE">
        <w:rPr>
          <w:sz w:val="24"/>
          <w:lang w:val="en-US"/>
        </w:rPr>
        <w:t>No. 2001/36 on the Civil Service of Kosovo, and UNMIK Administrative Instruction No. 2003/2 on the Application of UNMIK Regulation No. 2001/36, should have been applied to her case, because she had a permanent</w:t>
      </w:r>
      <w:r w:rsidR="00A557FA" w:rsidRPr="00277FDE">
        <w:rPr>
          <w:sz w:val="24"/>
          <w:lang w:val="en-US"/>
        </w:rPr>
        <w:t xml:space="preserve"> employment</w:t>
      </w:r>
      <w:r w:rsidRPr="00277FDE">
        <w:rPr>
          <w:sz w:val="24"/>
          <w:lang w:val="en-US"/>
        </w:rPr>
        <w:t xml:space="preserve"> contract as a dentist</w:t>
      </w:r>
      <w:r w:rsidR="00A557FA" w:rsidRPr="00277FDE">
        <w:rPr>
          <w:sz w:val="24"/>
          <w:lang w:val="en-US"/>
        </w:rPr>
        <w:t>. She considers that the</w:t>
      </w:r>
      <w:r w:rsidRPr="00277FDE">
        <w:rPr>
          <w:sz w:val="24"/>
          <w:lang w:val="en-US"/>
        </w:rPr>
        <w:t xml:space="preserve"> Administrative Instruction (Health) 17/2ooo, which regulated </w:t>
      </w:r>
      <w:r w:rsidR="00A557FA" w:rsidRPr="00277FDE">
        <w:rPr>
          <w:sz w:val="24"/>
          <w:lang w:val="en-US"/>
        </w:rPr>
        <w:t>the financing of her</w:t>
      </w:r>
      <w:r w:rsidRPr="00277FDE">
        <w:rPr>
          <w:sz w:val="24"/>
          <w:lang w:val="en-US"/>
        </w:rPr>
        <w:t xml:space="preserve"> studies for specialization as an orthodontist</w:t>
      </w:r>
      <w:r w:rsidR="00A557FA" w:rsidRPr="00277FDE">
        <w:rPr>
          <w:sz w:val="24"/>
          <w:lang w:val="en-US"/>
        </w:rPr>
        <w:t>, should not have been applied</w:t>
      </w:r>
      <w:r w:rsidRPr="00277FDE">
        <w:rPr>
          <w:sz w:val="24"/>
          <w:lang w:val="en-US"/>
        </w:rPr>
        <w:t xml:space="preserve">. </w:t>
      </w:r>
    </w:p>
    <w:p w:rsidR="00A557FA" w:rsidRPr="00277FDE" w:rsidRDefault="00A557FA" w:rsidP="00277FDE">
      <w:pPr>
        <w:spacing w:line="240" w:lineRule="auto"/>
        <w:ind w:left="630"/>
        <w:rPr>
          <w:i/>
          <w:sz w:val="24"/>
          <w:lang w:val="en-US"/>
        </w:rPr>
      </w:pPr>
    </w:p>
    <w:p w:rsidR="005B39EC" w:rsidRPr="00277FDE" w:rsidRDefault="00900AA3" w:rsidP="00277FDE">
      <w:pPr>
        <w:numPr>
          <w:ilvl w:val="0"/>
          <w:numId w:val="1"/>
        </w:numPr>
        <w:tabs>
          <w:tab w:val="clear" w:pos="720"/>
        </w:tabs>
        <w:spacing w:line="240" w:lineRule="auto"/>
        <w:ind w:left="630" w:hanging="630"/>
        <w:rPr>
          <w:i/>
          <w:sz w:val="24"/>
          <w:lang w:val="en-US"/>
        </w:rPr>
      </w:pPr>
      <w:r w:rsidRPr="00277FDE">
        <w:rPr>
          <w:color w:val="000000"/>
          <w:sz w:val="24"/>
          <w:lang w:val="en-US"/>
        </w:rPr>
        <w:t xml:space="preserve">The </w:t>
      </w:r>
      <w:r w:rsidRPr="00277FDE">
        <w:rPr>
          <w:bCs/>
          <w:sz w:val="24"/>
          <w:lang w:val="en-US"/>
        </w:rPr>
        <w:t>Applicant</w:t>
      </w:r>
      <w:r w:rsidRPr="00277FDE">
        <w:rPr>
          <w:color w:val="000000"/>
          <w:sz w:val="24"/>
          <w:lang w:val="en-US"/>
        </w:rPr>
        <w:t xml:space="preserve"> </w:t>
      </w:r>
      <w:r w:rsidR="005B39EC" w:rsidRPr="00277FDE">
        <w:rPr>
          <w:color w:val="000000"/>
          <w:sz w:val="24"/>
          <w:lang w:val="en-US"/>
        </w:rPr>
        <w:t>alleges that</w:t>
      </w:r>
      <w:r w:rsidR="00A557FA" w:rsidRPr="00277FDE">
        <w:rPr>
          <w:color w:val="000000"/>
          <w:sz w:val="24"/>
          <w:lang w:val="en-US"/>
        </w:rPr>
        <w:t>,</w:t>
      </w:r>
      <w:r w:rsidR="005B39EC" w:rsidRPr="00277FDE">
        <w:rPr>
          <w:color w:val="000000"/>
          <w:sz w:val="24"/>
          <w:lang w:val="en-US"/>
        </w:rPr>
        <w:t xml:space="preserve"> because the Supreme Court applied the Administrative Instruction (Health) 17/2000, instead of </w:t>
      </w:r>
      <w:r w:rsidR="005B39EC" w:rsidRPr="00277FDE">
        <w:rPr>
          <w:bCs/>
          <w:sz w:val="24"/>
          <w:lang w:val="en-US"/>
        </w:rPr>
        <w:t xml:space="preserve">UNMIK Regulation </w:t>
      </w:r>
      <w:r w:rsidR="005B39EC" w:rsidRPr="00277FDE">
        <w:rPr>
          <w:sz w:val="24"/>
          <w:lang w:val="en-US"/>
        </w:rPr>
        <w:t xml:space="preserve">No. 2001/36 </w:t>
      </w:r>
      <w:r w:rsidR="005B39EC" w:rsidRPr="00277FDE">
        <w:rPr>
          <w:bCs/>
          <w:iCs/>
          <w:sz w:val="24"/>
          <w:lang w:val="en-US"/>
        </w:rPr>
        <w:t>on</w:t>
      </w:r>
      <w:r w:rsidR="005B39EC" w:rsidRPr="00277FDE">
        <w:rPr>
          <w:sz w:val="24"/>
          <w:lang w:val="en-US"/>
        </w:rPr>
        <w:t xml:space="preserve"> the Civil Service of Kosovo, and UNMIK Administrative Instruction No. 2003/2 on the Application of UNMIK Regulation No. 2001/36, the </w:t>
      </w:r>
      <w:r w:rsidR="005B39EC" w:rsidRPr="00277FDE">
        <w:rPr>
          <w:color w:val="000000"/>
          <w:sz w:val="24"/>
          <w:lang w:val="en-US"/>
        </w:rPr>
        <w:t xml:space="preserve">Supreme Court violated her right to equal treatment before the law as guaranteed by Article 24 [Equality Before the Law] of the Constitution. The </w:t>
      </w:r>
      <w:r w:rsidR="005B39EC" w:rsidRPr="00277FDE">
        <w:rPr>
          <w:color w:val="000000"/>
          <w:sz w:val="24"/>
          <w:lang w:val="en-US"/>
        </w:rPr>
        <w:lastRenderedPageBreak/>
        <w:t xml:space="preserve">Applicant alleges that, thereby, the Supreme Court gave an unfair advantage to the Municipality of </w:t>
      </w:r>
      <w:proofErr w:type="spellStart"/>
      <w:r w:rsidR="005B39EC" w:rsidRPr="00277FDE">
        <w:rPr>
          <w:color w:val="000000"/>
          <w:sz w:val="24"/>
          <w:lang w:val="en-US"/>
        </w:rPr>
        <w:t>Prishtina</w:t>
      </w:r>
      <w:proofErr w:type="spellEnd"/>
      <w:r w:rsidR="005B39EC" w:rsidRPr="00277FDE">
        <w:rPr>
          <w:color w:val="000000"/>
          <w:sz w:val="24"/>
          <w:lang w:val="en-US"/>
        </w:rPr>
        <w:t>, and disadvantaged the Applicant.</w:t>
      </w:r>
    </w:p>
    <w:p w:rsidR="006832CB" w:rsidRPr="00277FDE" w:rsidRDefault="006832CB" w:rsidP="00277FDE">
      <w:pPr>
        <w:spacing w:line="240" w:lineRule="auto"/>
        <w:ind w:left="630"/>
        <w:rPr>
          <w:sz w:val="24"/>
          <w:lang w:val="en-US"/>
        </w:rPr>
      </w:pPr>
    </w:p>
    <w:p w:rsidR="00A557FA" w:rsidRPr="00277FDE" w:rsidRDefault="00900AA3" w:rsidP="00277FDE">
      <w:pPr>
        <w:numPr>
          <w:ilvl w:val="0"/>
          <w:numId w:val="1"/>
        </w:numPr>
        <w:tabs>
          <w:tab w:val="clear" w:pos="720"/>
        </w:tabs>
        <w:spacing w:line="240" w:lineRule="auto"/>
        <w:ind w:left="630" w:hanging="630"/>
        <w:rPr>
          <w:sz w:val="24"/>
          <w:lang w:val="en-US"/>
        </w:rPr>
      </w:pPr>
      <w:r w:rsidRPr="00277FDE">
        <w:rPr>
          <w:sz w:val="24"/>
          <w:lang w:val="en-US"/>
        </w:rPr>
        <w:t xml:space="preserve">Furthermore, the </w:t>
      </w:r>
      <w:r w:rsidR="00563626" w:rsidRPr="00277FDE">
        <w:rPr>
          <w:sz w:val="24"/>
          <w:lang w:val="en-US"/>
        </w:rPr>
        <w:t>A</w:t>
      </w:r>
      <w:r w:rsidRPr="00277FDE">
        <w:rPr>
          <w:sz w:val="24"/>
          <w:lang w:val="en-US"/>
        </w:rPr>
        <w:t xml:space="preserve">pplicant </w:t>
      </w:r>
      <w:r w:rsidR="00A557FA" w:rsidRPr="00277FDE">
        <w:rPr>
          <w:sz w:val="24"/>
          <w:lang w:val="en-US"/>
        </w:rPr>
        <w:t xml:space="preserve">alleges that she has been denied her right to a fair and impartial trial, as guaranteed by Article 31 [Right to Fair and Impartial Trial] of the </w:t>
      </w:r>
      <w:r w:rsidR="00A557FA" w:rsidRPr="00277FDE">
        <w:rPr>
          <w:bCs/>
          <w:iCs/>
          <w:sz w:val="24"/>
          <w:lang w:val="en-US"/>
        </w:rPr>
        <w:t>Constitution</w:t>
      </w:r>
      <w:r w:rsidR="00A557FA" w:rsidRPr="00277FDE">
        <w:rPr>
          <w:sz w:val="24"/>
          <w:lang w:val="en-US"/>
        </w:rPr>
        <w:t xml:space="preserve"> and by Article 6.1 (Right to a fair trial) of the ECHR, because the Supreme Court did not provide proper reasoning in its Judgment</w:t>
      </w:r>
      <w:r w:rsidR="008F1E1F" w:rsidRPr="00277FDE">
        <w:rPr>
          <w:sz w:val="24"/>
          <w:lang w:val="en-US"/>
        </w:rPr>
        <w:t>.</w:t>
      </w:r>
    </w:p>
    <w:p w:rsidR="008F1E1F" w:rsidRPr="00277FDE" w:rsidRDefault="008F1E1F" w:rsidP="00277FDE">
      <w:pPr>
        <w:pStyle w:val="ListParagraph"/>
        <w:spacing w:line="240" w:lineRule="auto"/>
        <w:rPr>
          <w:sz w:val="24"/>
          <w:lang w:val="en-US"/>
        </w:rPr>
      </w:pPr>
    </w:p>
    <w:p w:rsidR="008F1E1F" w:rsidRPr="00277FDE" w:rsidRDefault="008F1E1F" w:rsidP="00277FDE">
      <w:pPr>
        <w:numPr>
          <w:ilvl w:val="0"/>
          <w:numId w:val="1"/>
        </w:numPr>
        <w:tabs>
          <w:tab w:val="clear" w:pos="720"/>
        </w:tabs>
        <w:spacing w:line="240" w:lineRule="auto"/>
        <w:ind w:left="630" w:hanging="630"/>
        <w:rPr>
          <w:sz w:val="24"/>
          <w:lang w:val="en-US"/>
        </w:rPr>
      </w:pPr>
      <w:r w:rsidRPr="00277FDE">
        <w:rPr>
          <w:sz w:val="24"/>
          <w:lang w:val="en-US"/>
        </w:rPr>
        <w:t xml:space="preserve">The </w:t>
      </w:r>
      <w:r w:rsidRPr="00277FDE">
        <w:rPr>
          <w:bCs/>
          <w:sz w:val="24"/>
          <w:lang w:val="en-US"/>
        </w:rPr>
        <w:t>Applicant</w:t>
      </w:r>
      <w:r w:rsidRPr="00277FDE">
        <w:rPr>
          <w:sz w:val="24"/>
          <w:lang w:val="en-US"/>
        </w:rPr>
        <w:t xml:space="preserve"> alleges that the Supreme Court not only incorrectly failed to apply the relevant </w:t>
      </w:r>
      <w:r w:rsidRPr="00277FDE">
        <w:rPr>
          <w:bCs/>
          <w:iCs/>
          <w:sz w:val="24"/>
          <w:lang w:val="en-US"/>
        </w:rPr>
        <w:t>law</w:t>
      </w:r>
      <w:r w:rsidRPr="00277FDE">
        <w:rPr>
          <w:sz w:val="24"/>
          <w:lang w:val="en-US"/>
        </w:rPr>
        <w:t xml:space="preserve"> on civil service, but also incorrectly referred to the decision of the Ministry of Health </w:t>
      </w:r>
      <w:r w:rsidRPr="00277FDE">
        <w:rPr>
          <w:bCs/>
          <w:sz w:val="24"/>
          <w:lang w:val="en-US"/>
        </w:rPr>
        <w:t xml:space="preserve">(No. 20-03-2006) </w:t>
      </w:r>
      <w:r w:rsidRPr="00277FDE">
        <w:rPr>
          <w:sz w:val="24"/>
          <w:lang w:val="en-US"/>
        </w:rPr>
        <w:t>of</w:t>
      </w:r>
      <w:r w:rsidRPr="00277FDE">
        <w:rPr>
          <w:bCs/>
          <w:sz w:val="24"/>
          <w:lang w:val="en-US"/>
        </w:rPr>
        <w:t xml:space="preserve"> 12 May 2006, which suspended the implementation of items 9 and 10 of the Agreement on financing of postgraduate studies (specialization) and the obligations taken by them after the completion of specialization. The Applicant alleges that this decision was taken more than one year after she had completed her studies for specialization, and, therefore, this decision of the Ministry of Health should not have been applied to her request for reinstatement in her previous position as a dentist. </w:t>
      </w:r>
    </w:p>
    <w:p w:rsidR="008F1E1F" w:rsidRPr="00277FDE" w:rsidRDefault="008F1E1F" w:rsidP="00277FDE">
      <w:pPr>
        <w:pStyle w:val="ListParagraph"/>
        <w:spacing w:line="240" w:lineRule="auto"/>
        <w:rPr>
          <w:sz w:val="24"/>
          <w:lang w:val="en-US"/>
        </w:rPr>
      </w:pPr>
    </w:p>
    <w:p w:rsidR="008F1E1F" w:rsidRPr="00277FDE" w:rsidRDefault="008F1E1F" w:rsidP="00277FDE">
      <w:pPr>
        <w:numPr>
          <w:ilvl w:val="0"/>
          <w:numId w:val="1"/>
        </w:numPr>
        <w:tabs>
          <w:tab w:val="clear" w:pos="720"/>
        </w:tabs>
        <w:spacing w:line="240" w:lineRule="auto"/>
        <w:ind w:left="630" w:hanging="630"/>
        <w:rPr>
          <w:sz w:val="24"/>
          <w:lang w:val="en-US"/>
        </w:rPr>
      </w:pPr>
      <w:r w:rsidRPr="00277FDE">
        <w:rPr>
          <w:sz w:val="24"/>
          <w:lang w:val="en-US"/>
        </w:rPr>
        <w:t xml:space="preserve">The </w:t>
      </w:r>
      <w:r w:rsidRPr="00277FDE">
        <w:rPr>
          <w:bCs/>
          <w:sz w:val="24"/>
          <w:lang w:val="en-US"/>
        </w:rPr>
        <w:t>Applicant</w:t>
      </w:r>
      <w:r w:rsidRPr="00277FDE">
        <w:rPr>
          <w:sz w:val="24"/>
          <w:lang w:val="en-US"/>
        </w:rPr>
        <w:t xml:space="preserve"> alleges that the Supreme Court did not provide proper reasoning to justify its Judgment, in violation of her right to a reasoned decision. </w:t>
      </w:r>
      <w:r w:rsidR="005E677F" w:rsidRPr="00277FDE">
        <w:rPr>
          <w:sz w:val="24"/>
          <w:lang w:val="en-US"/>
        </w:rPr>
        <w:t>The Applicant</w:t>
      </w:r>
      <w:r w:rsidRPr="00277FDE">
        <w:rPr>
          <w:sz w:val="24"/>
          <w:lang w:val="en-US"/>
        </w:rPr>
        <w:t xml:space="preserve"> refers to the case law of the Constitutional Court, namely cases KI120/10 of </w:t>
      </w:r>
      <w:r w:rsidRPr="00277FDE">
        <w:rPr>
          <w:bCs/>
          <w:iCs/>
          <w:sz w:val="24"/>
          <w:lang w:val="en-US"/>
        </w:rPr>
        <w:t>29</w:t>
      </w:r>
      <w:r w:rsidRPr="00277FDE">
        <w:rPr>
          <w:sz w:val="24"/>
          <w:lang w:val="en-US"/>
        </w:rPr>
        <w:t xml:space="preserve"> January 2013, and KI189/13 of 12 March 2013, as regards the failure of the Supreme Court to provide the proper reasoning in the Judgment rendered in relation to these cases.</w:t>
      </w:r>
    </w:p>
    <w:p w:rsidR="005E677F" w:rsidRPr="00277FDE" w:rsidRDefault="005E677F" w:rsidP="00277FDE">
      <w:pPr>
        <w:pStyle w:val="ListParagraph"/>
        <w:spacing w:line="240" w:lineRule="auto"/>
        <w:rPr>
          <w:sz w:val="24"/>
          <w:lang w:val="en-US"/>
        </w:rPr>
      </w:pPr>
    </w:p>
    <w:p w:rsidR="005E677F" w:rsidRPr="00277FDE" w:rsidRDefault="005E677F" w:rsidP="00277FDE">
      <w:pPr>
        <w:numPr>
          <w:ilvl w:val="0"/>
          <w:numId w:val="1"/>
        </w:numPr>
        <w:tabs>
          <w:tab w:val="clear" w:pos="720"/>
        </w:tabs>
        <w:spacing w:line="240" w:lineRule="auto"/>
        <w:ind w:left="630" w:hanging="630"/>
        <w:rPr>
          <w:i/>
          <w:sz w:val="24"/>
          <w:lang w:val="en-US"/>
        </w:rPr>
      </w:pPr>
      <w:r w:rsidRPr="00277FDE">
        <w:rPr>
          <w:sz w:val="24"/>
          <w:lang w:val="en-US"/>
        </w:rPr>
        <w:t xml:space="preserve">In </w:t>
      </w:r>
      <w:r w:rsidRPr="00277FDE">
        <w:rPr>
          <w:bCs/>
          <w:sz w:val="24"/>
          <w:lang w:val="en-US"/>
        </w:rPr>
        <w:t>addition</w:t>
      </w:r>
      <w:r w:rsidRPr="00277FDE">
        <w:rPr>
          <w:sz w:val="24"/>
          <w:lang w:val="en-US"/>
        </w:rPr>
        <w:t>, the Applicant alleges that she “</w:t>
      </w:r>
      <w:r w:rsidRPr="00277FDE">
        <w:rPr>
          <w:i/>
          <w:sz w:val="24"/>
          <w:lang w:val="en-US"/>
        </w:rPr>
        <w:t xml:space="preserve">has been deprived unfairly from benefiting from the final form which is in her favor. Therefore, non-application of the final Judgment Ac. No. 3084/15 of the Court of Appeals of Kosovo, of 10 December 2015 and the unreasonable delay of the resolution of this legal matter by the Employer – Main Family Medicine Center under the management of the Department of Health before the Municipality of </w:t>
      </w:r>
      <w:proofErr w:type="spellStart"/>
      <w:r w:rsidRPr="00277FDE">
        <w:rPr>
          <w:i/>
          <w:sz w:val="24"/>
          <w:lang w:val="en-US"/>
        </w:rPr>
        <w:t>Prishtina</w:t>
      </w:r>
      <w:proofErr w:type="spellEnd"/>
      <w:r w:rsidRPr="00277FDE">
        <w:rPr>
          <w:i/>
          <w:sz w:val="24"/>
          <w:lang w:val="en-US"/>
        </w:rPr>
        <w:t>, according to the Applicant, constitutes a violation of Article 31 of the provisions of the Constitution, as well as of Article 6 of the European Convention on Human Rights.”</w:t>
      </w:r>
    </w:p>
    <w:p w:rsidR="00EC2227" w:rsidRPr="00277FDE" w:rsidRDefault="00EC2227" w:rsidP="00277FDE">
      <w:pPr>
        <w:pStyle w:val="ListParagraph"/>
        <w:spacing w:line="240" w:lineRule="auto"/>
        <w:rPr>
          <w:i/>
          <w:sz w:val="24"/>
          <w:lang w:val="en-US"/>
        </w:rPr>
      </w:pPr>
    </w:p>
    <w:p w:rsidR="005E677F" w:rsidRPr="00277FDE" w:rsidRDefault="005E677F" w:rsidP="00277FDE">
      <w:pPr>
        <w:numPr>
          <w:ilvl w:val="0"/>
          <w:numId w:val="1"/>
        </w:numPr>
        <w:tabs>
          <w:tab w:val="clear" w:pos="720"/>
        </w:tabs>
        <w:spacing w:line="240" w:lineRule="auto"/>
        <w:ind w:left="630" w:hanging="630"/>
        <w:rPr>
          <w:i/>
          <w:sz w:val="24"/>
          <w:lang w:val="en-US"/>
        </w:rPr>
      </w:pPr>
      <w:r w:rsidRPr="00277FDE">
        <w:rPr>
          <w:sz w:val="24"/>
          <w:lang w:val="en-US"/>
        </w:rPr>
        <w:t xml:space="preserve">The Applicant alleges that, because the Supreme Court has prevented the employer to </w:t>
      </w:r>
      <w:r w:rsidRPr="00277FDE">
        <w:rPr>
          <w:bCs/>
          <w:iCs/>
          <w:sz w:val="24"/>
          <w:lang w:val="en-US"/>
        </w:rPr>
        <w:t>reinstate</w:t>
      </w:r>
      <w:r w:rsidRPr="00277FDE">
        <w:rPr>
          <w:sz w:val="24"/>
          <w:lang w:val="en-US"/>
        </w:rPr>
        <w:t xml:space="preserve"> the Applicant to her workplace, this is a denial of the Applicant’s right to work and exercise a profession, in violation of Article 49 [Right to Work and Exercise Profession]</w:t>
      </w:r>
      <w:r w:rsidR="003F1CF3" w:rsidRPr="00277FDE">
        <w:rPr>
          <w:sz w:val="24"/>
          <w:lang w:val="en-US"/>
        </w:rPr>
        <w:t xml:space="preserve"> of the Constitution.</w:t>
      </w:r>
      <w:r w:rsidR="003F1CF3" w:rsidRPr="00277FDE">
        <w:rPr>
          <w:i/>
          <w:sz w:val="24"/>
          <w:lang w:val="en-US"/>
        </w:rPr>
        <w:t xml:space="preserve"> </w:t>
      </w:r>
    </w:p>
    <w:p w:rsidR="005E677F" w:rsidRPr="00277FDE" w:rsidRDefault="005E677F" w:rsidP="00277FDE">
      <w:pPr>
        <w:spacing w:line="240" w:lineRule="auto"/>
        <w:ind w:left="630"/>
        <w:rPr>
          <w:sz w:val="24"/>
          <w:lang w:val="en-US"/>
        </w:rPr>
      </w:pPr>
    </w:p>
    <w:p w:rsidR="005E677F" w:rsidRPr="00277FDE" w:rsidRDefault="005E677F" w:rsidP="00277FDE">
      <w:pPr>
        <w:numPr>
          <w:ilvl w:val="0"/>
          <w:numId w:val="1"/>
        </w:numPr>
        <w:tabs>
          <w:tab w:val="clear" w:pos="720"/>
        </w:tabs>
        <w:spacing w:line="240" w:lineRule="auto"/>
        <w:ind w:left="630" w:hanging="630"/>
        <w:rPr>
          <w:sz w:val="24"/>
          <w:lang w:val="en-US"/>
        </w:rPr>
      </w:pPr>
      <w:r w:rsidRPr="00277FDE">
        <w:rPr>
          <w:bCs/>
          <w:sz w:val="24"/>
          <w:lang w:val="en-US"/>
        </w:rPr>
        <w:t>Furthermore</w:t>
      </w:r>
      <w:r w:rsidRPr="00277FDE">
        <w:rPr>
          <w:sz w:val="24"/>
          <w:lang w:val="en-US"/>
        </w:rPr>
        <w:t xml:space="preserve">, the Applicant alleges that by denying her right to reinstatement to her </w:t>
      </w:r>
      <w:r w:rsidRPr="00277FDE">
        <w:rPr>
          <w:bCs/>
          <w:iCs/>
          <w:sz w:val="24"/>
          <w:lang w:val="en-US"/>
        </w:rPr>
        <w:t>previous</w:t>
      </w:r>
      <w:r w:rsidRPr="00277FDE">
        <w:rPr>
          <w:sz w:val="24"/>
          <w:lang w:val="en-US"/>
        </w:rPr>
        <w:t xml:space="preserve"> employment as a dentist, the Supreme Court has denied her right to judicial protection of her rights, in violation of Article 54 [Judicial Protection of Rights] of the Constitution.</w:t>
      </w:r>
    </w:p>
    <w:p w:rsidR="00E34AD5" w:rsidRPr="00277FDE" w:rsidRDefault="00E34AD5" w:rsidP="00277FDE">
      <w:pPr>
        <w:spacing w:line="240" w:lineRule="auto"/>
        <w:ind w:left="0"/>
        <w:rPr>
          <w:sz w:val="24"/>
          <w:lang w:val="en-US"/>
        </w:rPr>
      </w:pPr>
    </w:p>
    <w:p w:rsidR="005E677F" w:rsidRPr="00277FDE" w:rsidRDefault="00563626" w:rsidP="00277FDE">
      <w:pPr>
        <w:numPr>
          <w:ilvl w:val="0"/>
          <w:numId w:val="1"/>
        </w:numPr>
        <w:tabs>
          <w:tab w:val="clear" w:pos="720"/>
        </w:tabs>
        <w:spacing w:line="240" w:lineRule="auto"/>
        <w:ind w:left="630" w:hanging="630"/>
        <w:rPr>
          <w:b/>
          <w:sz w:val="24"/>
          <w:lang w:val="en-US"/>
        </w:rPr>
      </w:pPr>
      <w:r w:rsidRPr="00277FDE">
        <w:rPr>
          <w:bCs/>
          <w:iCs/>
          <w:sz w:val="24"/>
          <w:lang w:val="en-US"/>
        </w:rPr>
        <w:t>The Applicant proposes that</w:t>
      </w:r>
      <w:r w:rsidR="005E677F" w:rsidRPr="00277FDE">
        <w:rPr>
          <w:bCs/>
          <w:iCs/>
          <w:sz w:val="24"/>
          <w:lang w:val="en-US"/>
        </w:rPr>
        <w:t xml:space="preserve"> the Constitutional Court finds that there has been a violation of her constitutional rights and declares the Judgment </w:t>
      </w:r>
      <w:r w:rsidR="005E677F" w:rsidRPr="00277FDE">
        <w:rPr>
          <w:color w:val="000000"/>
          <w:sz w:val="24"/>
          <w:lang w:val="en-US"/>
        </w:rPr>
        <w:t xml:space="preserve">Rev. </w:t>
      </w:r>
      <w:r w:rsidR="005E677F" w:rsidRPr="00277FDE">
        <w:rPr>
          <w:caps/>
          <w:color w:val="000000"/>
          <w:sz w:val="24"/>
          <w:lang w:val="en-US"/>
        </w:rPr>
        <w:t>n</w:t>
      </w:r>
      <w:r w:rsidR="005E677F" w:rsidRPr="00277FDE">
        <w:rPr>
          <w:color w:val="000000"/>
          <w:sz w:val="24"/>
          <w:lang w:val="en-US"/>
        </w:rPr>
        <w:t>o. 295/2015 of the Supreme Court of 9 December 2015 to be invalid.</w:t>
      </w:r>
    </w:p>
    <w:p w:rsidR="005E677F" w:rsidRPr="00277FDE" w:rsidRDefault="005E677F" w:rsidP="00277FDE">
      <w:pPr>
        <w:pStyle w:val="ListParagraph"/>
        <w:spacing w:line="240" w:lineRule="auto"/>
        <w:rPr>
          <w:i/>
          <w:sz w:val="24"/>
          <w:lang w:val="en-US"/>
        </w:rPr>
      </w:pPr>
    </w:p>
    <w:p w:rsidR="00277FDE" w:rsidRPr="00277FDE" w:rsidRDefault="00277FDE">
      <w:pPr>
        <w:spacing w:line="240" w:lineRule="auto"/>
        <w:ind w:left="0"/>
        <w:jc w:val="left"/>
        <w:rPr>
          <w:b/>
          <w:sz w:val="24"/>
          <w:lang w:val="en-US"/>
        </w:rPr>
      </w:pPr>
      <w:r w:rsidRPr="00277FDE">
        <w:rPr>
          <w:b/>
          <w:sz w:val="24"/>
          <w:lang w:val="en-US"/>
        </w:rPr>
        <w:br w:type="page"/>
      </w:r>
    </w:p>
    <w:p w:rsidR="00F454A7" w:rsidRPr="00277FDE" w:rsidRDefault="00563626" w:rsidP="00277FDE">
      <w:pPr>
        <w:spacing w:line="240" w:lineRule="auto"/>
        <w:ind w:left="0"/>
        <w:rPr>
          <w:b/>
          <w:sz w:val="24"/>
          <w:lang w:val="en-US"/>
        </w:rPr>
      </w:pPr>
      <w:r w:rsidRPr="00277FDE">
        <w:rPr>
          <w:b/>
          <w:sz w:val="24"/>
          <w:lang w:val="en-US"/>
        </w:rPr>
        <w:lastRenderedPageBreak/>
        <w:t>Assessment of the admissibility of Referral</w:t>
      </w:r>
    </w:p>
    <w:p w:rsidR="00F454A7" w:rsidRPr="00277FDE" w:rsidRDefault="00F454A7" w:rsidP="00277FDE">
      <w:pPr>
        <w:pStyle w:val="ListParagraph"/>
        <w:spacing w:line="240" w:lineRule="auto"/>
        <w:rPr>
          <w:sz w:val="24"/>
          <w:lang w:val="en-US"/>
        </w:rPr>
      </w:pPr>
    </w:p>
    <w:p w:rsidR="00F454A7" w:rsidRPr="00277FDE" w:rsidRDefault="00F454A7" w:rsidP="00277FDE">
      <w:pPr>
        <w:numPr>
          <w:ilvl w:val="0"/>
          <w:numId w:val="1"/>
        </w:numPr>
        <w:tabs>
          <w:tab w:val="clear" w:pos="720"/>
        </w:tabs>
        <w:spacing w:line="240" w:lineRule="auto"/>
        <w:ind w:left="630" w:hanging="630"/>
        <w:rPr>
          <w:b/>
          <w:sz w:val="24"/>
          <w:lang w:val="en-US"/>
        </w:rPr>
      </w:pPr>
      <w:r w:rsidRPr="00277FDE">
        <w:rPr>
          <w:sz w:val="24"/>
          <w:lang w:val="en-US"/>
        </w:rPr>
        <w:t xml:space="preserve">The Court first </w:t>
      </w:r>
      <w:r w:rsidRPr="00277FDE">
        <w:rPr>
          <w:bCs/>
          <w:iCs/>
          <w:sz w:val="24"/>
          <w:lang w:val="en-US"/>
        </w:rPr>
        <w:t xml:space="preserve">examines whether the Referral has fulfilled the admissibility requirements established by the Constitution and as </w:t>
      </w:r>
      <w:r w:rsidRPr="00277FDE">
        <w:rPr>
          <w:sz w:val="24"/>
          <w:lang w:val="en-US"/>
        </w:rPr>
        <w:t>further</w:t>
      </w:r>
      <w:r w:rsidRPr="00277FDE">
        <w:rPr>
          <w:bCs/>
          <w:iCs/>
          <w:sz w:val="24"/>
          <w:lang w:val="en-US"/>
        </w:rPr>
        <w:t xml:space="preserve"> provided by the Law and foreseen by the Rules of Procedure</w:t>
      </w:r>
      <w:r w:rsidRPr="00277FDE">
        <w:rPr>
          <w:sz w:val="24"/>
          <w:lang w:val="en-US"/>
        </w:rPr>
        <w:t>.</w:t>
      </w:r>
    </w:p>
    <w:p w:rsidR="00277FDE" w:rsidRPr="00277FDE" w:rsidRDefault="00277FDE" w:rsidP="00277FDE">
      <w:pPr>
        <w:spacing w:line="240" w:lineRule="auto"/>
        <w:ind w:left="630"/>
        <w:rPr>
          <w:b/>
          <w:sz w:val="24"/>
          <w:lang w:val="en-US"/>
        </w:rPr>
      </w:pPr>
    </w:p>
    <w:p w:rsidR="00F454A7" w:rsidRPr="00277FDE" w:rsidRDefault="00F454A7" w:rsidP="00277FDE">
      <w:pPr>
        <w:numPr>
          <w:ilvl w:val="0"/>
          <w:numId w:val="1"/>
        </w:numPr>
        <w:tabs>
          <w:tab w:val="clear" w:pos="720"/>
        </w:tabs>
        <w:spacing w:line="240" w:lineRule="auto"/>
        <w:ind w:left="630" w:hanging="630"/>
        <w:rPr>
          <w:b/>
          <w:sz w:val="24"/>
          <w:lang w:val="en-US"/>
        </w:rPr>
      </w:pPr>
      <w:r w:rsidRPr="00277FDE">
        <w:rPr>
          <w:color w:val="000000"/>
          <w:sz w:val="24"/>
          <w:lang w:val="en-US"/>
        </w:rPr>
        <w:t xml:space="preserve">In this </w:t>
      </w:r>
      <w:r w:rsidRPr="00277FDE">
        <w:rPr>
          <w:bCs/>
          <w:iCs/>
          <w:sz w:val="24"/>
          <w:lang w:val="en-US"/>
        </w:rPr>
        <w:t>respect</w:t>
      </w:r>
      <w:r w:rsidRPr="00277FDE">
        <w:rPr>
          <w:color w:val="000000"/>
          <w:sz w:val="24"/>
          <w:lang w:val="en-US"/>
        </w:rPr>
        <w:t xml:space="preserve">, </w:t>
      </w:r>
      <w:r w:rsidRPr="00277FDE">
        <w:rPr>
          <w:bCs/>
          <w:iCs/>
          <w:sz w:val="24"/>
          <w:lang w:val="en-US"/>
        </w:rPr>
        <w:t>the</w:t>
      </w:r>
      <w:r w:rsidRPr="00277FDE">
        <w:rPr>
          <w:color w:val="000000"/>
          <w:sz w:val="24"/>
          <w:lang w:val="en-US"/>
        </w:rPr>
        <w:t xml:space="preserve"> Court refers to paragraphs 1 and 7 of Article 113 [</w:t>
      </w:r>
      <w:r w:rsidRPr="00277FDE">
        <w:rPr>
          <w:bCs/>
          <w:sz w:val="24"/>
          <w:lang w:val="en-US"/>
        </w:rPr>
        <w:t>Jurisdiction and Authorized Parties</w:t>
      </w:r>
      <w:r w:rsidRPr="00277FDE">
        <w:rPr>
          <w:color w:val="000000"/>
          <w:sz w:val="24"/>
          <w:lang w:val="en-US"/>
        </w:rPr>
        <w:t>] of the Constitution which establish:</w:t>
      </w:r>
    </w:p>
    <w:p w:rsidR="00F454A7" w:rsidRPr="00277FDE" w:rsidRDefault="00F454A7" w:rsidP="00277FDE">
      <w:pPr>
        <w:pStyle w:val="ListParagraph"/>
        <w:spacing w:line="240" w:lineRule="auto"/>
        <w:rPr>
          <w:i/>
          <w:sz w:val="24"/>
          <w:lang w:val="en-US"/>
        </w:rPr>
      </w:pPr>
    </w:p>
    <w:p w:rsidR="00F454A7" w:rsidRPr="00277FDE" w:rsidRDefault="00F454A7" w:rsidP="00277FDE">
      <w:pPr>
        <w:spacing w:line="240" w:lineRule="auto"/>
        <w:ind w:left="990"/>
        <w:rPr>
          <w:b/>
          <w:sz w:val="24"/>
          <w:lang w:val="en-US"/>
        </w:rPr>
      </w:pPr>
      <w:r w:rsidRPr="00277FDE">
        <w:rPr>
          <w:i/>
          <w:sz w:val="24"/>
          <w:lang w:val="en-US"/>
        </w:rPr>
        <w:t xml:space="preserve">1. The Constitutional Court </w:t>
      </w:r>
      <w:r w:rsidRPr="00277FDE">
        <w:rPr>
          <w:bCs/>
          <w:i/>
          <w:iCs/>
          <w:sz w:val="24"/>
          <w:lang w:val="en-US"/>
        </w:rPr>
        <w:t>decides</w:t>
      </w:r>
      <w:r w:rsidRPr="00277FDE">
        <w:rPr>
          <w:i/>
          <w:sz w:val="24"/>
          <w:lang w:val="en-US"/>
        </w:rPr>
        <w:t xml:space="preserve"> only on matters referred to the court in a legal manner by authorized parties.</w:t>
      </w:r>
    </w:p>
    <w:p w:rsidR="00F454A7" w:rsidRPr="00277FDE" w:rsidRDefault="00F454A7" w:rsidP="00277FDE">
      <w:pPr>
        <w:pStyle w:val="ListParagraph"/>
        <w:spacing w:line="240" w:lineRule="auto"/>
        <w:rPr>
          <w:i/>
          <w:sz w:val="24"/>
          <w:lang w:val="en-US"/>
        </w:rPr>
      </w:pPr>
    </w:p>
    <w:p w:rsidR="00F454A7" w:rsidRPr="00277FDE" w:rsidRDefault="00F454A7" w:rsidP="00277FDE">
      <w:pPr>
        <w:spacing w:line="240" w:lineRule="auto"/>
        <w:ind w:left="990"/>
        <w:rPr>
          <w:b/>
          <w:sz w:val="24"/>
          <w:lang w:val="en-US"/>
        </w:rPr>
      </w:pPr>
      <w:r w:rsidRPr="00277FDE">
        <w:rPr>
          <w:i/>
          <w:sz w:val="24"/>
          <w:lang w:val="en-US"/>
        </w:rPr>
        <w:t>[…]</w:t>
      </w:r>
    </w:p>
    <w:p w:rsidR="00F454A7" w:rsidRPr="00277FDE" w:rsidRDefault="00F454A7" w:rsidP="00277FDE">
      <w:pPr>
        <w:pStyle w:val="ListParagraph"/>
        <w:spacing w:line="240" w:lineRule="auto"/>
        <w:rPr>
          <w:color w:val="000000"/>
          <w:sz w:val="24"/>
          <w:lang w:val="en-US"/>
        </w:rPr>
      </w:pPr>
    </w:p>
    <w:p w:rsidR="00F454A7" w:rsidRPr="00277FDE" w:rsidRDefault="00F454A7" w:rsidP="00277FDE">
      <w:pPr>
        <w:spacing w:line="240" w:lineRule="auto"/>
        <w:ind w:left="990"/>
        <w:rPr>
          <w:b/>
          <w:sz w:val="24"/>
          <w:lang w:val="en-US"/>
        </w:rPr>
      </w:pPr>
      <w:r w:rsidRPr="00277FDE">
        <w:rPr>
          <w:color w:val="000000"/>
          <w:sz w:val="24"/>
          <w:lang w:val="en-US"/>
        </w:rPr>
        <w:t xml:space="preserve">7. </w:t>
      </w:r>
      <w:r w:rsidRPr="00277FDE">
        <w:rPr>
          <w:i/>
          <w:color w:val="000000"/>
          <w:sz w:val="24"/>
          <w:lang w:val="en-US"/>
        </w:rPr>
        <w:t xml:space="preserve">Individuals are authorized to refer violations by public authorities of their individual rights </w:t>
      </w:r>
      <w:r w:rsidRPr="00277FDE">
        <w:rPr>
          <w:i/>
          <w:sz w:val="24"/>
          <w:lang w:val="en-US"/>
        </w:rPr>
        <w:t>and</w:t>
      </w:r>
      <w:r w:rsidRPr="00277FDE">
        <w:rPr>
          <w:i/>
          <w:color w:val="000000"/>
          <w:sz w:val="24"/>
          <w:lang w:val="en-US"/>
        </w:rPr>
        <w:t xml:space="preserve"> freedoms guaranteed by the Constitution, but only after exhaustion of all legal remedies provided by law</w:t>
      </w:r>
      <w:r w:rsidRPr="00277FDE">
        <w:rPr>
          <w:rFonts w:eastAsia="Calibri" w:cs="TimesNewRomanPSMT"/>
          <w:i/>
          <w:sz w:val="24"/>
          <w:lang w:val="en-US" w:eastAsia="sq-AL"/>
        </w:rPr>
        <w:t>.</w:t>
      </w:r>
    </w:p>
    <w:p w:rsidR="00F454A7" w:rsidRPr="00277FDE" w:rsidRDefault="00F454A7" w:rsidP="00277FDE">
      <w:pPr>
        <w:pStyle w:val="ListParagraph"/>
        <w:spacing w:line="240" w:lineRule="auto"/>
        <w:rPr>
          <w:sz w:val="24"/>
          <w:lang w:val="en-US"/>
        </w:rPr>
      </w:pPr>
    </w:p>
    <w:p w:rsidR="00F454A7" w:rsidRPr="00277FDE" w:rsidRDefault="00F454A7" w:rsidP="00277FDE">
      <w:pPr>
        <w:numPr>
          <w:ilvl w:val="0"/>
          <w:numId w:val="1"/>
        </w:numPr>
        <w:tabs>
          <w:tab w:val="clear" w:pos="720"/>
        </w:tabs>
        <w:spacing w:line="240" w:lineRule="auto"/>
        <w:ind w:left="630" w:hanging="630"/>
        <w:rPr>
          <w:sz w:val="24"/>
          <w:lang w:val="en-US"/>
        </w:rPr>
      </w:pPr>
      <w:r w:rsidRPr="00277FDE">
        <w:rPr>
          <w:rFonts w:cs="Arial"/>
          <w:color w:val="000000"/>
          <w:sz w:val="24"/>
          <w:lang w:val="en-US"/>
        </w:rPr>
        <w:t xml:space="preserve">The </w:t>
      </w:r>
      <w:r w:rsidRPr="00277FDE">
        <w:rPr>
          <w:bCs/>
          <w:iCs/>
          <w:sz w:val="24"/>
          <w:lang w:val="en-US"/>
        </w:rPr>
        <w:t>Court</w:t>
      </w:r>
      <w:r w:rsidRPr="00277FDE">
        <w:rPr>
          <w:rFonts w:cs="Arial"/>
          <w:color w:val="000000"/>
          <w:sz w:val="24"/>
          <w:lang w:val="en-US"/>
        </w:rPr>
        <w:t xml:space="preserve"> </w:t>
      </w:r>
      <w:r w:rsidRPr="00277FDE">
        <w:rPr>
          <w:bCs/>
          <w:sz w:val="24"/>
          <w:lang w:val="en-US"/>
        </w:rPr>
        <w:t>also</w:t>
      </w:r>
      <w:r w:rsidRPr="00277FDE">
        <w:rPr>
          <w:rFonts w:cs="Arial"/>
          <w:color w:val="000000"/>
          <w:sz w:val="24"/>
          <w:lang w:val="en-US"/>
        </w:rPr>
        <w:t xml:space="preserve"> </w:t>
      </w:r>
      <w:r w:rsidRPr="00277FDE">
        <w:rPr>
          <w:bCs/>
          <w:iCs/>
          <w:sz w:val="24"/>
          <w:lang w:val="en-US"/>
        </w:rPr>
        <w:t>refers</w:t>
      </w:r>
      <w:r w:rsidRPr="00277FDE">
        <w:rPr>
          <w:rFonts w:cs="Arial"/>
          <w:color w:val="000000"/>
          <w:sz w:val="24"/>
          <w:lang w:val="en-US"/>
        </w:rPr>
        <w:t xml:space="preserve"> to </w:t>
      </w:r>
      <w:r w:rsidRPr="00277FDE">
        <w:rPr>
          <w:rFonts w:eastAsia="Calibri"/>
          <w:bCs/>
          <w:sz w:val="24"/>
          <w:lang w:val="en-US"/>
        </w:rPr>
        <w:t>Article 49 [Deadlines] of the Law, which provides:</w:t>
      </w:r>
    </w:p>
    <w:p w:rsidR="00F454A7" w:rsidRPr="00277FDE" w:rsidRDefault="00F454A7" w:rsidP="00277FDE">
      <w:pPr>
        <w:pStyle w:val="ListParagraph"/>
        <w:spacing w:line="240" w:lineRule="auto"/>
        <w:rPr>
          <w:rFonts w:eastAsia="Calibri"/>
          <w:i/>
          <w:sz w:val="24"/>
          <w:lang w:val="en-US"/>
        </w:rPr>
      </w:pPr>
    </w:p>
    <w:p w:rsidR="00F454A7" w:rsidRPr="00277FDE" w:rsidRDefault="00F454A7" w:rsidP="00277FDE">
      <w:pPr>
        <w:spacing w:line="240" w:lineRule="auto"/>
        <w:ind w:left="990"/>
        <w:rPr>
          <w:sz w:val="24"/>
          <w:lang w:val="en-US"/>
        </w:rPr>
      </w:pPr>
      <w:r w:rsidRPr="00277FDE">
        <w:rPr>
          <w:rFonts w:eastAsia="Calibri"/>
          <w:i/>
          <w:sz w:val="24"/>
          <w:lang w:val="en-US"/>
        </w:rPr>
        <w:t xml:space="preserve">The referral </w:t>
      </w:r>
      <w:r w:rsidRPr="00277FDE">
        <w:rPr>
          <w:bCs/>
          <w:i/>
          <w:iCs/>
          <w:sz w:val="24"/>
          <w:lang w:val="en-US"/>
        </w:rPr>
        <w:t>should be submitted within a period of four (4) months. The deadline shall be</w:t>
      </w:r>
      <w:r w:rsidRPr="00277FDE">
        <w:rPr>
          <w:rFonts w:eastAsia="Calibri"/>
          <w:i/>
          <w:sz w:val="24"/>
          <w:lang w:val="en-US"/>
        </w:rPr>
        <w:t xml:space="preserve"> counted </w:t>
      </w:r>
      <w:r w:rsidRPr="00277FDE">
        <w:rPr>
          <w:bCs/>
          <w:i/>
          <w:iCs/>
          <w:sz w:val="24"/>
          <w:lang w:val="en-US"/>
        </w:rPr>
        <w:t>from</w:t>
      </w:r>
      <w:r w:rsidRPr="00277FDE">
        <w:rPr>
          <w:rFonts w:eastAsia="Calibri"/>
          <w:i/>
          <w:sz w:val="24"/>
          <w:lang w:val="en-US"/>
        </w:rPr>
        <w:t xml:space="preserve"> the day upon which the claimant has been served with a court decision.</w:t>
      </w:r>
    </w:p>
    <w:p w:rsidR="00F454A7" w:rsidRPr="00277FDE" w:rsidRDefault="00F454A7" w:rsidP="00277FDE">
      <w:pPr>
        <w:pStyle w:val="ListParagraph"/>
        <w:spacing w:line="240" w:lineRule="auto"/>
        <w:rPr>
          <w:rFonts w:cs="Arial"/>
          <w:color w:val="000000"/>
          <w:sz w:val="24"/>
          <w:lang w:val="en-US"/>
        </w:rPr>
      </w:pPr>
    </w:p>
    <w:p w:rsidR="00F454A7" w:rsidRPr="00277FDE" w:rsidRDefault="00F454A7" w:rsidP="00277FDE">
      <w:pPr>
        <w:numPr>
          <w:ilvl w:val="0"/>
          <w:numId w:val="1"/>
        </w:numPr>
        <w:tabs>
          <w:tab w:val="clear" w:pos="720"/>
        </w:tabs>
        <w:spacing w:line="240" w:lineRule="auto"/>
        <w:ind w:left="630" w:hanging="630"/>
        <w:rPr>
          <w:sz w:val="24"/>
          <w:lang w:val="en-US"/>
        </w:rPr>
      </w:pPr>
      <w:r w:rsidRPr="00277FDE">
        <w:rPr>
          <w:rFonts w:cs="Arial"/>
          <w:color w:val="000000"/>
          <w:sz w:val="24"/>
          <w:lang w:val="en-US"/>
        </w:rPr>
        <w:t xml:space="preserve">The </w:t>
      </w:r>
      <w:r w:rsidRPr="00277FDE">
        <w:rPr>
          <w:bCs/>
          <w:iCs/>
          <w:sz w:val="24"/>
          <w:lang w:val="en-US"/>
        </w:rPr>
        <w:t>Court</w:t>
      </w:r>
      <w:r w:rsidRPr="00277FDE">
        <w:rPr>
          <w:rFonts w:cs="Arial"/>
          <w:color w:val="000000"/>
          <w:sz w:val="24"/>
          <w:lang w:val="en-US"/>
        </w:rPr>
        <w:t xml:space="preserve"> considers that the Applicant is an authorized party, has exhausted the available </w:t>
      </w:r>
      <w:r w:rsidRPr="00277FDE">
        <w:rPr>
          <w:bCs/>
          <w:sz w:val="24"/>
          <w:lang w:val="en-US"/>
        </w:rPr>
        <w:t>legal</w:t>
      </w:r>
      <w:r w:rsidRPr="00277FDE">
        <w:rPr>
          <w:rFonts w:cs="Arial"/>
          <w:color w:val="000000"/>
          <w:sz w:val="24"/>
          <w:lang w:val="en-US"/>
        </w:rPr>
        <w:t xml:space="preserve"> </w:t>
      </w:r>
      <w:r w:rsidRPr="00277FDE">
        <w:rPr>
          <w:sz w:val="24"/>
          <w:lang w:val="en-US"/>
        </w:rPr>
        <w:t>remedies</w:t>
      </w:r>
      <w:r w:rsidRPr="00277FDE">
        <w:rPr>
          <w:rFonts w:cs="Arial"/>
          <w:color w:val="000000"/>
          <w:sz w:val="24"/>
          <w:lang w:val="en-US"/>
        </w:rPr>
        <w:t xml:space="preserve"> and </w:t>
      </w:r>
      <w:r w:rsidR="0043100F" w:rsidRPr="00277FDE">
        <w:rPr>
          <w:rFonts w:cs="Arial"/>
          <w:color w:val="000000"/>
          <w:sz w:val="24"/>
          <w:lang w:val="en-US"/>
        </w:rPr>
        <w:t xml:space="preserve">has </w:t>
      </w:r>
      <w:r w:rsidRPr="00277FDE">
        <w:rPr>
          <w:rFonts w:cs="Arial"/>
          <w:color w:val="000000"/>
          <w:sz w:val="24"/>
          <w:lang w:val="en-US"/>
        </w:rPr>
        <w:t>submitted the Referral in due time.</w:t>
      </w:r>
    </w:p>
    <w:p w:rsidR="00F454A7" w:rsidRPr="00277FDE" w:rsidRDefault="00F454A7" w:rsidP="00277FDE">
      <w:pPr>
        <w:pStyle w:val="ListParagraph"/>
        <w:spacing w:line="240" w:lineRule="auto"/>
        <w:rPr>
          <w:bCs/>
          <w:iCs/>
          <w:sz w:val="24"/>
          <w:lang w:val="en-US"/>
        </w:rPr>
      </w:pPr>
    </w:p>
    <w:p w:rsidR="00F454A7" w:rsidRPr="00277FDE" w:rsidRDefault="00F454A7" w:rsidP="00277FDE">
      <w:pPr>
        <w:numPr>
          <w:ilvl w:val="0"/>
          <w:numId w:val="1"/>
        </w:numPr>
        <w:tabs>
          <w:tab w:val="clear" w:pos="720"/>
        </w:tabs>
        <w:spacing w:line="240" w:lineRule="auto"/>
        <w:ind w:left="630" w:hanging="630"/>
        <w:rPr>
          <w:sz w:val="24"/>
          <w:lang w:val="en-US"/>
        </w:rPr>
      </w:pPr>
      <w:r w:rsidRPr="00277FDE">
        <w:rPr>
          <w:bCs/>
          <w:iCs/>
          <w:sz w:val="24"/>
          <w:lang w:val="en-US"/>
        </w:rPr>
        <w:t>However</w:t>
      </w:r>
      <w:r w:rsidRPr="00277FDE">
        <w:rPr>
          <w:sz w:val="24"/>
          <w:lang w:val="en-US"/>
        </w:rPr>
        <w:t xml:space="preserve">, the </w:t>
      </w:r>
      <w:r w:rsidRPr="00277FDE">
        <w:rPr>
          <w:bCs/>
          <w:iCs/>
          <w:sz w:val="24"/>
          <w:lang w:val="en-US"/>
        </w:rPr>
        <w:t>Court</w:t>
      </w:r>
      <w:r w:rsidRPr="00277FDE">
        <w:rPr>
          <w:sz w:val="24"/>
          <w:lang w:val="en-US"/>
        </w:rPr>
        <w:t xml:space="preserve"> refers to </w:t>
      </w:r>
      <w:r w:rsidRPr="00277FDE">
        <w:rPr>
          <w:color w:val="000000"/>
          <w:sz w:val="24"/>
          <w:lang w:val="en-US"/>
        </w:rPr>
        <w:t>Article 48 [</w:t>
      </w:r>
      <w:r w:rsidRPr="00277FDE">
        <w:rPr>
          <w:sz w:val="24"/>
          <w:lang w:val="en-US"/>
        </w:rPr>
        <w:t>Accuracy of the Referral</w:t>
      </w:r>
      <w:r w:rsidRPr="00277FDE">
        <w:rPr>
          <w:color w:val="000000"/>
          <w:sz w:val="24"/>
          <w:lang w:val="en-US"/>
        </w:rPr>
        <w:t xml:space="preserve">] of the Law, which </w:t>
      </w:r>
      <w:r w:rsidRPr="00277FDE">
        <w:rPr>
          <w:bCs/>
          <w:sz w:val="24"/>
          <w:lang w:val="en-US"/>
        </w:rPr>
        <w:t>provides</w:t>
      </w:r>
      <w:r w:rsidRPr="00277FDE">
        <w:rPr>
          <w:color w:val="000000"/>
          <w:sz w:val="24"/>
          <w:lang w:val="en-US"/>
        </w:rPr>
        <w:t>:</w:t>
      </w:r>
    </w:p>
    <w:p w:rsidR="00F454A7" w:rsidRPr="00277FDE" w:rsidRDefault="00F454A7" w:rsidP="00277FDE">
      <w:pPr>
        <w:pStyle w:val="ListParagraph"/>
        <w:spacing w:line="240" w:lineRule="auto"/>
        <w:rPr>
          <w:i/>
          <w:color w:val="000000"/>
          <w:sz w:val="24"/>
          <w:lang w:val="en-US"/>
        </w:rPr>
      </w:pPr>
    </w:p>
    <w:p w:rsidR="00F454A7" w:rsidRPr="00277FDE" w:rsidRDefault="00F454A7" w:rsidP="00277FDE">
      <w:pPr>
        <w:spacing w:line="240" w:lineRule="auto"/>
        <w:ind w:left="990"/>
        <w:rPr>
          <w:sz w:val="24"/>
          <w:lang w:val="en-US"/>
        </w:rPr>
      </w:pPr>
      <w:r w:rsidRPr="00277FDE">
        <w:rPr>
          <w:i/>
          <w:color w:val="000000"/>
          <w:sz w:val="24"/>
          <w:lang w:val="en-US"/>
        </w:rPr>
        <w:t xml:space="preserve">In his/her referral, the claimant should accurately clarify what rights and freedoms he/she </w:t>
      </w:r>
      <w:r w:rsidRPr="00277FDE">
        <w:rPr>
          <w:i/>
          <w:sz w:val="24"/>
          <w:lang w:val="en-US"/>
        </w:rPr>
        <w:t>claims</w:t>
      </w:r>
      <w:r w:rsidRPr="00277FDE">
        <w:rPr>
          <w:i/>
          <w:color w:val="000000"/>
          <w:sz w:val="24"/>
          <w:lang w:val="en-US"/>
        </w:rPr>
        <w:t xml:space="preserve"> to have </w:t>
      </w:r>
      <w:r w:rsidRPr="00277FDE">
        <w:rPr>
          <w:i/>
          <w:sz w:val="24"/>
          <w:lang w:val="en-US"/>
        </w:rPr>
        <w:t>been</w:t>
      </w:r>
      <w:r w:rsidRPr="00277FDE">
        <w:rPr>
          <w:i/>
          <w:color w:val="000000"/>
          <w:sz w:val="24"/>
          <w:lang w:val="en-US"/>
        </w:rPr>
        <w:t xml:space="preserve"> violated and what concrete act of public authority is subject to challenge</w:t>
      </w:r>
      <w:r w:rsidRPr="00277FDE">
        <w:rPr>
          <w:i/>
          <w:sz w:val="24"/>
          <w:lang w:val="en-US"/>
        </w:rPr>
        <w:t>.</w:t>
      </w:r>
    </w:p>
    <w:p w:rsidR="00F454A7" w:rsidRPr="00277FDE" w:rsidRDefault="00F454A7" w:rsidP="00277FDE">
      <w:pPr>
        <w:pStyle w:val="ListParagraph"/>
        <w:spacing w:line="240" w:lineRule="auto"/>
        <w:rPr>
          <w:sz w:val="24"/>
          <w:lang w:val="en-US"/>
        </w:rPr>
      </w:pPr>
    </w:p>
    <w:p w:rsidR="00942FFC" w:rsidRPr="00277FDE" w:rsidRDefault="00F454A7" w:rsidP="00277FDE">
      <w:pPr>
        <w:numPr>
          <w:ilvl w:val="0"/>
          <w:numId w:val="1"/>
        </w:numPr>
        <w:tabs>
          <w:tab w:val="clear" w:pos="720"/>
        </w:tabs>
        <w:spacing w:line="240" w:lineRule="auto"/>
        <w:ind w:left="630" w:hanging="630"/>
        <w:rPr>
          <w:sz w:val="24"/>
          <w:lang w:val="en-US"/>
        </w:rPr>
      </w:pPr>
      <w:r w:rsidRPr="00277FDE">
        <w:rPr>
          <w:sz w:val="24"/>
          <w:lang w:val="en-US"/>
        </w:rPr>
        <w:t xml:space="preserve">In </w:t>
      </w:r>
      <w:r w:rsidRPr="00277FDE">
        <w:rPr>
          <w:bCs/>
          <w:sz w:val="24"/>
          <w:lang w:val="en-US"/>
        </w:rPr>
        <w:t>addition</w:t>
      </w:r>
      <w:r w:rsidRPr="00277FDE">
        <w:rPr>
          <w:sz w:val="24"/>
          <w:lang w:val="en-US"/>
        </w:rPr>
        <w:t>, the Court refers to paragraphs (1)(d) and (2)(d) of Rule 36 [</w:t>
      </w:r>
      <w:r w:rsidRPr="00277FDE">
        <w:rPr>
          <w:bCs/>
          <w:iCs/>
          <w:sz w:val="24"/>
          <w:lang w:val="en-US"/>
        </w:rPr>
        <w:t>Admissibility</w:t>
      </w:r>
      <w:r w:rsidRPr="00277FDE">
        <w:rPr>
          <w:sz w:val="24"/>
          <w:lang w:val="en-US"/>
        </w:rPr>
        <w:t xml:space="preserve"> Criteria] of the Rules of Procedure, which foresee:</w:t>
      </w:r>
    </w:p>
    <w:p w:rsidR="00942FFC" w:rsidRPr="00277FDE" w:rsidRDefault="00942FFC" w:rsidP="00277FDE">
      <w:pPr>
        <w:pStyle w:val="ListParagraph"/>
        <w:spacing w:line="240" w:lineRule="auto"/>
        <w:contextualSpacing/>
        <w:rPr>
          <w:sz w:val="24"/>
          <w:lang w:val="en-US"/>
        </w:rPr>
      </w:pPr>
    </w:p>
    <w:p w:rsidR="00F454A7" w:rsidRPr="00277FDE" w:rsidRDefault="00F454A7" w:rsidP="00277FDE">
      <w:pPr>
        <w:spacing w:line="240" w:lineRule="auto"/>
        <w:ind w:left="990"/>
        <w:rPr>
          <w:sz w:val="24"/>
          <w:lang w:val="en-US"/>
        </w:rPr>
      </w:pPr>
      <w:r w:rsidRPr="00277FDE">
        <w:rPr>
          <w:i/>
          <w:color w:val="000000"/>
          <w:sz w:val="24"/>
          <w:lang w:val="en-US"/>
        </w:rPr>
        <w:t xml:space="preserve">(1) </w:t>
      </w:r>
      <w:r w:rsidRPr="00277FDE">
        <w:rPr>
          <w:rFonts w:cs="Georgia"/>
          <w:i/>
          <w:sz w:val="24"/>
          <w:lang w:val="en-US"/>
        </w:rPr>
        <w:t xml:space="preserve">The Court may </w:t>
      </w:r>
      <w:r w:rsidRPr="00277FDE">
        <w:rPr>
          <w:i/>
          <w:sz w:val="24"/>
          <w:lang w:val="en-US"/>
        </w:rPr>
        <w:t>consider</w:t>
      </w:r>
      <w:r w:rsidRPr="00277FDE">
        <w:rPr>
          <w:rFonts w:cs="Georgia"/>
          <w:i/>
          <w:sz w:val="24"/>
          <w:lang w:val="en-US"/>
        </w:rPr>
        <w:t xml:space="preserve"> a referral if:</w:t>
      </w:r>
    </w:p>
    <w:p w:rsidR="00F454A7" w:rsidRPr="00277FDE" w:rsidRDefault="00F454A7" w:rsidP="00277FDE">
      <w:pPr>
        <w:pStyle w:val="ListParagraph"/>
        <w:spacing w:line="240" w:lineRule="auto"/>
        <w:ind w:left="1440"/>
        <w:rPr>
          <w:sz w:val="24"/>
          <w:lang w:val="en-US"/>
        </w:rPr>
      </w:pPr>
      <w:r w:rsidRPr="00277FDE">
        <w:rPr>
          <w:i/>
          <w:color w:val="000000"/>
          <w:sz w:val="24"/>
          <w:lang w:val="en-US"/>
        </w:rPr>
        <w:t>[...]</w:t>
      </w:r>
    </w:p>
    <w:p w:rsidR="00F454A7" w:rsidRPr="00277FDE" w:rsidRDefault="00F454A7" w:rsidP="00277FDE">
      <w:pPr>
        <w:pStyle w:val="ListParagraph"/>
        <w:spacing w:line="240" w:lineRule="auto"/>
        <w:ind w:left="1440"/>
        <w:rPr>
          <w:sz w:val="24"/>
          <w:lang w:val="en-US"/>
        </w:rPr>
      </w:pPr>
      <w:r w:rsidRPr="00277FDE">
        <w:rPr>
          <w:rFonts w:cs="Georgia"/>
          <w:i/>
          <w:sz w:val="24"/>
          <w:lang w:val="en-US"/>
        </w:rPr>
        <w:t xml:space="preserve">(d) </w:t>
      </w:r>
      <w:proofErr w:type="gramStart"/>
      <w:r w:rsidRPr="00277FDE">
        <w:rPr>
          <w:i/>
          <w:sz w:val="24"/>
          <w:lang w:val="en-US"/>
        </w:rPr>
        <w:t>the</w:t>
      </w:r>
      <w:proofErr w:type="gramEnd"/>
      <w:r w:rsidRPr="00277FDE">
        <w:rPr>
          <w:i/>
          <w:sz w:val="24"/>
          <w:lang w:val="en-US"/>
        </w:rPr>
        <w:t xml:space="preserve"> referral is prima facie justified or not manifestly ill-founded.</w:t>
      </w:r>
    </w:p>
    <w:p w:rsidR="00F454A7" w:rsidRPr="00277FDE" w:rsidRDefault="00F454A7" w:rsidP="00277FDE">
      <w:pPr>
        <w:pStyle w:val="ListParagraph"/>
        <w:spacing w:line="240" w:lineRule="auto"/>
        <w:rPr>
          <w:i/>
          <w:sz w:val="24"/>
          <w:lang w:val="en-US"/>
        </w:rPr>
      </w:pPr>
    </w:p>
    <w:p w:rsidR="00F454A7" w:rsidRPr="00277FDE" w:rsidRDefault="00F454A7" w:rsidP="00277FDE">
      <w:pPr>
        <w:spacing w:line="240" w:lineRule="auto"/>
        <w:ind w:left="990"/>
        <w:rPr>
          <w:sz w:val="24"/>
          <w:lang w:val="en-US"/>
        </w:rPr>
      </w:pPr>
      <w:r w:rsidRPr="00277FDE">
        <w:rPr>
          <w:i/>
          <w:sz w:val="24"/>
          <w:lang w:val="en-US"/>
        </w:rPr>
        <w:t xml:space="preserve">(2) </w:t>
      </w:r>
      <w:r w:rsidRPr="00277FDE">
        <w:rPr>
          <w:i/>
          <w:color w:val="000000"/>
          <w:sz w:val="24"/>
          <w:lang w:val="en-US"/>
        </w:rPr>
        <w:t xml:space="preserve">The Court </w:t>
      </w:r>
      <w:r w:rsidRPr="00277FDE">
        <w:rPr>
          <w:i/>
          <w:sz w:val="24"/>
          <w:lang w:val="en-US"/>
        </w:rPr>
        <w:t>shall</w:t>
      </w:r>
      <w:r w:rsidRPr="00277FDE">
        <w:rPr>
          <w:i/>
          <w:color w:val="000000"/>
          <w:sz w:val="24"/>
          <w:lang w:val="en-US"/>
        </w:rPr>
        <w:t xml:space="preserve"> </w:t>
      </w:r>
      <w:r w:rsidRPr="00277FDE">
        <w:rPr>
          <w:i/>
          <w:sz w:val="24"/>
          <w:lang w:val="en-US"/>
        </w:rPr>
        <w:t>declare</w:t>
      </w:r>
      <w:r w:rsidRPr="00277FDE">
        <w:rPr>
          <w:i/>
          <w:color w:val="000000"/>
          <w:sz w:val="24"/>
          <w:lang w:val="en-US"/>
        </w:rPr>
        <w:t xml:space="preserve"> a referral as being manifestly ill-founded when it is satisfied that:</w:t>
      </w:r>
    </w:p>
    <w:p w:rsidR="00F454A7" w:rsidRPr="00277FDE" w:rsidRDefault="00F454A7" w:rsidP="00277FDE">
      <w:pPr>
        <w:pStyle w:val="ListParagraph"/>
        <w:spacing w:line="240" w:lineRule="auto"/>
        <w:ind w:left="1440"/>
        <w:rPr>
          <w:sz w:val="24"/>
          <w:lang w:val="en-US"/>
        </w:rPr>
      </w:pPr>
      <w:r w:rsidRPr="00277FDE">
        <w:rPr>
          <w:rFonts w:cs="Arial"/>
          <w:i/>
          <w:sz w:val="24"/>
          <w:lang w:val="en-US"/>
        </w:rPr>
        <w:t>[…]</w:t>
      </w:r>
    </w:p>
    <w:p w:rsidR="00F454A7" w:rsidRPr="00277FDE" w:rsidRDefault="00F454A7" w:rsidP="00277FDE">
      <w:pPr>
        <w:pStyle w:val="ListParagraph"/>
        <w:spacing w:line="240" w:lineRule="auto"/>
        <w:ind w:left="1440"/>
        <w:rPr>
          <w:sz w:val="24"/>
          <w:lang w:val="en-US"/>
        </w:rPr>
      </w:pPr>
      <w:r w:rsidRPr="00277FDE">
        <w:rPr>
          <w:i/>
          <w:sz w:val="24"/>
          <w:lang w:val="en-US"/>
        </w:rPr>
        <w:t xml:space="preserve">d) </w:t>
      </w:r>
      <w:proofErr w:type="gramStart"/>
      <w:r w:rsidRPr="00277FDE">
        <w:rPr>
          <w:i/>
          <w:sz w:val="24"/>
          <w:lang w:val="en-US"/>
        </w:rPr>
        <w:t>the</w:t>
      </w:r>
      <w:proofErr w:type="gramEnd"/>
      <w:r w:rsidRPr="00277FDE">
        <w:rPr>
          <w:i/>
          <w:sz w:val="24"/>
          <w:lang w:val="en-US"/>
        </w:rPr>
        <w:t xml:space="preserve"> </w:t>
      </w:r>
      <w:r w:rsidRPr="00277FDE">
        <w:rPr>
          <w:i/>
          <w:color w:val="000000"/>
          <w:sz w:val="24"/>
          <w:lang w:val="en-US"/>
        </w:rPr>
        <w:t>Applicant</w:t>
      </w:r>
      <w:r w:rsidRPr="00277FDE">
        <w:rPr>
          <w:i/>
          <w:sz w:val="24"/>
          <w:lang w:val="en-US"/>
        </w:rPr>
        <w:t xml:space="preserve"> does not sufficiently substantiate his claim.</w:t>
      </w:r>
    </w:p>
    <w:p w:rsidR="00F454A7" w:rsidRPr="00277FDE" w:rsidRDefault="00F454A7" w:rsidP="00277FDE">
      <w:pPr>
        <w:pStyle w:val="ListParagraph"/>
        <w:spacing w:line="240" w:lineRule="auto"/>
        <w:rPr>
          <w:sz w:val="24"/>
          <w:lang w:val="en-US"/>
        </w:rPr>
      </w:pPr>
    </w:p>
    <w:p w:rsidR="00C85A42" w:rsidRPr="00277FDE" w:rsidRDefault="00F454A7" w:rsidP="00277FDE">
      <w:pPr>
        <w:numPr>
          <w:ilvl w:val="0"/>
          <w:numId w:val="1"/>
        </w:numPr>
        <w:tabs>
          <w:tab w:val="clear" w:pos="720"/>
        </w:tabs>
        <w:spacing w:line="240" w:lineRule="auto"/>
        <w:ind w:left="630" w:hanging="630"/>
        <w:rPr>
          <w:sz w:val="24"/>
          <w:lang w:val="en-US"/>
        </w:rPr>
      </w:pPr>
      <w:r w:rsidRPr="00277FDE">
        <w:rPr>
          <w:bCs/>
          <w:iCs/>
          <w:sz w:val="24"/>
          <w:lang w:val="en-US"/>
        </w:rPr>
        <w:t>In that</w:t>
      </w:r>
      <w:r w:rsidRPr="00277FDE">
        <w:rPr>
          <w:bCs/>
          <w:sz w:val="24"/>
          <w:lang w:val="en-US"/>
        </w:rPr>
        <w:t xml:space="preserve"> </w:t>
      </w:r>
      <w:r w:rsidRPr="00277FDE">
        <w:rPr>
          <w:bCs/>
          <w:iCs/>
          <w:sz w:val="24"/>
          <w:lang w:val="en-US"/>
        </w:rPr>
        <w:t xml:space="preserve">respect, </w:t>
      </w:r>
      <w:r w:rsidRPr="00277FDE">
        <w:rPr>
          <w:sz w:val="24"/>
          <w:lang w:val="en-US"/>
        </w:rPr>
        <w:t>the</w:t>
      </w:r>
      <w:r w:rsidRPr="00277FDE">
        <w:rPr>
          <w:bCs/>
          <w:iCs/>
          <w:sz w:val="24"/>
          <w:lang w:val="en-US"/>
        </w:rPr>
        <w:t xml:space="preserve"> Court recalls that the Applicant </w:t>
      </w:r>
      <w:r w:rsidRPr="00277FDE">
        <w:rPr>
          <w:sz w:val="24"/>
          <w:lang w:val="en-US"/>
        </w:rPr>
        <w:t xml:space="preserve">claims that the Supreme Court </w:t>
      </w:r>
      <w:r w:rsidRPr="00277FDE">
        <w:rPr>
          <w:bCs/>
          <w:iCs/>
          <w:sz w:val="24"/>
          <w:lang w:val="en-US"/>
        </w:rPr>
        <w:t xml:space="preserve">violated </w:t>
      </w:r>
      <w:r w:rsidR="00A741E5" w:rsidRPr="00277FDE">
        <w:rPr>
          <w:bCs/>
          <w:iCs/>
          <w:sz w:val="24"/>
          <w:lang w:val="en-US"/>
        </w:rPr>
        <w:t>her</w:t>
      </w:r>
      <w:r w:rsidRPr="00277FDE">
        <w:rPr>
          <w:bCs/>
          <w:iCs/>
          <w:sz w:val="24"/>
          <w:lang w:val="en-US"/>
        </w:rPr>
        <w:t xml:space="preserve"> right to a fair trial by </w:t>
      </w:r>
      <w:r w:rsidR="00C85A42" w:rsidRPr="00277FDE">
        <w:rPr>
          <w:bCs/>
          <w:iCs/>
          <w:sz w:val="24"/>
          <w:lang w:val="en-US"/>
        </w:rPr>
        <w:t>not</w:t>
      </w:r>
      <w:r w:rsidR="00842E30" w:rsidRPr="00277FDE">
        <w:rPr>
          <w:bCs/>
          <w:iCs/>
          <w:sz w:val="24"/>
          <w:lang w:val="en-US"/>
        </w:rPr>
        <w:t xml:space="preserve"> apply</w:t>
      </w:r>
      <w:r w:rsidR="00C85A42" w:rsidRPr="00277FDE">
        <w:rPr>
          <w:bCs/>
          <w:iCs/>
          <w:sz w:val="24"/>
          <w:lang w:val="en-US"/>
        </w:rPr>
        <w:t>ing</w:t>
      </w:r>
      <w:r w:rsidR="00842E30" w:rsidRPr="00277FDE">
        <w:rPr>
          <w:bCs/>
          <w:iCs/>
          <w:sz w:val="24"/>
          <w:lang w:val="en-US"/>
        </w:rPr>
        <w:t xml:space="preserve"> the correct law</w:t>
      </w:r>
      <w:r w:rsidR="00C85A42" w:rsidRPr="00277FDE">
        <w:rPr>
          <w:bCs/>
          <w:iCs/>
          <w:sz w:val="24"/>
          <w:lang w:val="en-US"/>
        </w:rPr>
        <w:t xml:space="preserve"> when reasoning its decision</w:t>
      </w:r>
      <w:r w:rsidR="00842E30" w:rsidRPr="00277FDE">
        <w:rPr>
          <w:bCs/>
          <w:iCs/>
          <w:sz w:val="24"/>
          <w:lang w:val="en-US"/>
        </w:rPr>
        <w:t xml:space="preserve">. </w:t>
      </w:r>
      <w:r w:rsidR="00C85A42" w:rsidRPr="00277FDE">
        <w:rPr>
          <w:bCs/>
          <w:iCs/>
          <w:sz w:val="24"/>
          <w:lang w:val="en-US"/>
        </w:rPr>
        <w:t xml:space="preserve">The Applicant alleges that the failure of the Supreme Court to properly reason its decision, and the fact that the Supreme Court reversed the previous decisions of the Basic Court and Court of Appeals </w:t>
      </w:r>
      <w:r w:rsidR="00C85A42" w:rsidRPr="00277FDE">
        <w:rPr>
          <w:bCs/>
          <w:iCs/>
          <w:sz w:val="24"/>
          <w:lang w:val="en-US"/>
        </w:rPr>
        <w:lastRenderedPageBreak/>
        <w:t xml:space="preserve">ordering the Applicant to be reinstated in her previous employment as a dentist, violated her right to a fair trial, as guaranteed by </w:t>
      </w:r>
      <w:r w:rsidR="00C85A42" w:rsidRPr="00277FDE">
        <w:rPr>
          <w:sz w:val="24"/>
          <w:lang w:val="en-US"/>
        </w:rPr>
        <w:t>Article 31 [Right to Fair and Impartial Trial] of the Constitution and by Article 6.1 (Right to a fair trial) of the ECHR.</w:t>
      </w:r>
    </w:p>
    <w:p w:rsidR="00C85A42" w:rsidRPr="00277FDE" w:rsidRDefault="00C85A42" w:rsidP="00277FDE">
      <w:pPr>
        <w:spacing w:line="240" w:lineRule="auto"/>
        <w:ind w:left="630"/>
        <w:rPr>
          <w:sz w:val="24"/>
          <w:lang w:val="en-US"/>
        </w:rPr>
      </w:pPr>
    </w:p>
    <w:p w:rsidR="00F454A7" w:rsidRPr="00277FDE" w:rsidRDefault="00842E30" w:rsidP="00277FDE">
      <w:pPr>
        <w:numPr>
          <w:ilvl w:val="0"/>
          <w:numId w:val="1"/>
        </w:numPr>
        <w:tabs>
          <w:tab w:val="clear" w:pos="720"/>
        </w:tabs>
        <w:spacing w:line="240" w:lineRule="auto"/>
        <w:ind w:left="630" w:hanging="630"/>
        <w:rPr>
          <w:sz w:val="24"/>
          <w:lang w:val="en-US"/>
        </w:rPr>
      </w:pPr>
      <w:r w:rsidRPr="00277FDE">
        <w:rPr>
          <w:bCs/>
          <w:iCs/>
          <w:sz w:val="24"/>
          <w:lang w:val="en-US"/>
        </w:rPr>
        <w:t xml:space="preserve">The </w:t>
      </w:r>
      <w:r w:rsidRPr="00277FDE">
        <w:rPr>
          <w:bCs/>
          <w:sz w:val="24"/>
          <w:lang w:val="en-US"/>
        </w:rPr>
        <w:t>Applicant</w:t>
      </w:r>
      <w:r w:rsidRPr="00277FDE">
        <w:rPr>
          <w:bCs/>
          <w:iCs/>
          <w:sz w:val="24"/>
          <w:lang w:val="en-US"/>
        </w:rPr>
        <w:t xml:space="preserve"> alleged that the Supreme Court</w:t>
      </w:r>
      <w:r w:rsidR="00A741E5" w:rsidRPr="00277FDE">
        <w:rPr>
          <w:bCs/>
          <w:iCs/>
          <w:sz w:val="24"/>
          <w:lang w:val="en-US"/>
        </w:rPr>
        <w:t>,</w:t>
      </w:r>
      <w:r w:rsidRPr="00277FDE">
        <w:rPr>
          <w:bCs/>
          <w:iCs/>
          <w:sz w:val="24"/>
          <w:lang w:val="en-US"/>
        </w:rPr>
        <w:t xml:space="preserve"> </w:t>
      </w:r>
      <w:r w:rsidRPr="00277FDE">
        <w:rPr>
          <w:bCs/>
          <w:i/>
          <w:iCs/>
          <w:sz w:val="24"/>
          <w:lang w:val="en-US"/>
        </w:rPr>
        <w:t xml:space="preserve">“[…] refers exclusively to </w:t>
      </w:r>
      <w:r w:rsidRPr="00277FDE">
        <w:rPr>
          <w:i/>
          <w:sz w:val="24"/>
          <w:lang w:val="en-US"/>
        </w:rPr>
        <w:t>Administrative Instruction No. 17/2000, on the basis of which the employment relationship of the Applicant is terminated by the employer. This sub-legal act cannot be applied in the case of the Applicant due to the fact that her employment relationship in the period of conclusion of the contract for specialization, is regulated by UNMIK Regulation No. 2001/36 on the Kosovo Civil Service.”</w:t>
      </w:r>
    </w:p>
    <w:p w:rsidR="0043100F" w:rsidRPr="00277FDE" w:rsidRDefault="0043100F" w:rsidP="00277FDE">
      <w:pPr>
        <w:pStyle w:val="ListParagraph"/>
        <w:spacing w:line="240" w:lineRule="auto"/>
        <w:rPr>
          <w:sz w:val="24"/>
          <w:lang w:val="en-US"/>
        </w:rPr>
      </w:pPr>
    </w:p>
    <w:p w:rsidR="0043100F" w:rsidRPr="00277FDE" w:rsidRDefault="0043100F" w:rsidP="00277FDE">
      <w:pPr>
        <w:numPr>
          <w:ilvl w:val="0"/>
          <w:numId w:val="1"/>
        </w:numPr>
        <w:tabs>
          <w:tab w:val="clear" w:pos="720"/>
        </w:tabs>
        <w:spacing w:line="240" w:lineRule="auto"/>
        <w:ind w:left="630" w:hanging="630"/>
        <w:rPr>
          <w:sz w:val="24"/>
          <w:lang w:val="en-US"/>
        </w:rPr>
      </w:pPr>
      <w:r w:rsidRPr="00277FDE">
        <w:rPr>
          <w:sz w:val="24"/>
          <w:lang w:val="en-US"/>
        </w:rPr>
        <w:t xml:space="preserve">The </w:t>
      </w:r>
      <w:r w:rsidRPr="00277FDE">
        <w:rPr>
          <w:bCs/>
          <w:sz w:val="24"/>
          <w:lang w:val="en-US"/>
        </w:rPr>
        <w:t>Court</w:t>
      </w:r>
      <w:r w:rsidRPr="00277FDE">
        <w:rPr>
          <w:sz w:val="24"/>
          <w:lang w:val="en-US"/>
        </w:rPr>
        <w:t xml:space="preserve"> notes that the Applicant has precisely clarified what rights have allegedly been violated by the challenged Judgment of the Supreme Court.</w:t>
      </w:r>
    </w:p>
    <w:p w:rsidR="00277FDE" w:rsidRPr="00277FDE" w:rsidRDefault="00277FDE" w:rsidP="00277FDE">
      <w:pPr>
        <w:spacing w:line="240" w:lineRule="auto"/>
        <w:ind w:left="0"/>
        <w:rPr>
          <w:sz w:val="24"/>
          <w:lang w:val="en-US"/>
        </w:rPr>
      </w:pPr>
    </w:p>
    <w:p w:rsidR="0043100F" w:rsidRPr="00277FDE" w:rsidRDefault="0043100F" w:rsidP="00277FDE">
      <w:pPr>
        <w:numPr>
          <w:ilvl w:val="0"/>
          <w:numId w:val="1"/>
        </w:numPr>
        <w:tabs>
          <w:tab w:val="clear" w:pos="720"/>
        </w:tabs>
        <w:spacing w:line="240" w:lineRule="auto"/>
        <w:ind w:left="630" w:hanging="630"/>
        <w:rPr>
          <w:sz w:val="24"/>
          <w:lang w:val="en-US"/>
        </w:rPr>
      </w:pPr>
      <w:r w:rsidRPr="00277FDE">
        <w:rPr>
          <w:sz w:val="24"/>
          <w:lang w:val="en-US"/>
        </w:rPr>
        <w:t xml:space="preserve">In </w:t>
      </w:r>
      <w:r w:rsidRPr="00277FDE">
        <w:rPr>
          <w:bCs/>
          <w:iCs/>
          <w:sz w:val="24"/>
          <w:lang w:val="en-US"/>
        </w:rPr>
        <w:t>sum</w:t>
      </w:r>
      <w:r w:rsidRPr="00277FDE">
        <w:rPr>
          <w:sz w:val="24"/>
          <w:lang w:val="en-US"/>
        </w:rPr>
        <w:t>, the Court considers that the Applicant is an authorized party, has exhausted all effective legal remedies provided by law, has submitted the Referral in due time, and has accurately clarified the alleged violation of her constitutional rights.</w:t>
      </w:r>
    </w:p>
    <w:p w:rsidR="0043100F" w:rsidRPr="00277FDE" w:rsidRDefault="0043100F" w:rsidP="00277FDE">
      <w:pPr>
        <w:pStyle w:val="ListParagraph"/>
        <w:spacing w:line="240" w:lineRule="auto"/>
        <w:rPr>
          <w:sz w:val="24"/>
          <w:lang w:val="en-US"/>
        </w:rPr>
      </w:pPr>
    </w:p>
    <w:p w:rsidR="0043100F" w:rsidRPr="00277FDE" w:rsidRDefault="0043100F" w:rsidP="00277FDE">
      <w:pPr>
        <w:numPr>
          <w:ilvl w:val="0"/>
          <w:numId w:val="1"/>
        </w:numPr>
        <w:tabs>
          <w:tab w:val="clear" w:pos="720"/>
        </w:tabs>
        <w:spacing w:line="240" w:lineRule="auto"/>
        <w:ind w:left="630" w:hanging="630"/>
        <w:rPr>
          <w:sz w:val="24"/>
          <w:lang w:val="en-US"/>
        </w:rPr>
      </w:pPr>
      <w:r w:rsidRPr="00277FDE">
        <w:rPr>
          <w:bCs/>
          <w:iCs/>
          <w:sz w:val="24"/>
          <w:lang w:val="en-US"/>
        </w:rPr>
        <w:t>Having</w:t>
      </w:r>
      <w:r w:rsidRPr="00277FDE">
        <w:rPr>
          <w:sz w:val="24"/>
          <w:lang w:val="en-US"/>
        </w:rPr>
        <w:t xml:space="preserve"> </w:t>
      </w:r>
      <w:r w:rsidRPr="00277FDE">
        <w:rPr>
          <w:bCs/>
          <w:sz w:val="24"/>
          <w:lang w:val="en-US"/>
        </w:rPr>
        <w:t>examined</w:t>
      </w:r>
      <w:r w:rsidRPr="00277FDE">
        <w:rPr>
          <w:sz w:val="24"/>
          <w:lang w:val="en-US"/>
        </w:rPr>
        <w:t xml:space="preserve"> the Applicant’s complaints and observations, the Court considers that the Referral raises serious questions of fact and law which are of such complexity that their determination should depend on an examination of the merits. The Referral cannot, therefore, be regarded as being manifestly ill-founded within the meaning of Rule 36 (1) (d) of the Rules of Procedures, and no other ground for declaring it inadmissible has been established (See Case of A and B v. Norway, [GC], applications nos. 24130/11 and 29758/11, Judgment of 15 November 2016, paragraph 55 and also see mutatis mutandis Case No. KI132/15, </w:t>
      </w:r>
      <w:proofErr w:type="spellStart"/>
      <w:r w:rsidRPr="00277FDE">
        <w:rPr>
          <w:sz w:val="24"/>
          <w:lang w:val="en-US"/>
        </w:rPr>
        <w:t>Visoki</w:t>
      </w:r>
      <w:proofErr w:type="spellEnd"/>
      <w:r w:rsidRPr="00277FDE">
        <w:rPr>
          <w:sz w:val="24"/>
          <w:lang w:val="en-US"/>
        </w:rPr>
        <w:t xml:space="preserve"> </w:t>
      </w:r>
      <w:proofErr w:type="spellStart"/>
      <w:r w:rsidRPr="00277FDE">
        <w:rPr>
          <w:sz w:val="24"/>
          <w:lang w:val="en-US"/>
        </w:rPr>
        <w:t>Dečani</w:t>
      </w:r>
      <w:proofErr w:type="spellEnd"/>
      <w:r w:rsidRPr="00277FDE">
        <w:rPr>
          <w:sz w:val="24"/>
          <w:lang w:val="en-US"/>
        </w:rPr>
        <w:t xml:space="preserve"> Monastery, Judgment of the Constitutional Court of 20 May 2016).</w:t>
      </w:r>
    </w:p>
    <w:p w:rsidR="0043100F" w:rsidRPr="00277FDE" w:rsidRDefault="0043100F" w:rsidP="00277FDE">
      <w:pPr>
        <w:spacing w:line="240" w:lineRule="auto"/>
        <w:ind w:left="0"/>
        <w:rPr>
          <w:sz w:val="24"/>
          <w:lang w:val="en-US"/>
        </w:rPr>
      </w:pPr>
    </w:p>
    <w:p w:rsidR="0043100F" w:rsidRPr="00277FDE" w:rsidRDefault="0043100F" w:rsidP="00277FDE">
      <w:pPr>
        <w:spacing w:line="240" w:lineRule="auto"/>
        <w:ind w:left="0"/>
        <w:rPr>
          <w:b/>
          <w:sz w:val="24"/>
          <w:lang w:val="en-US"/>
        </w:rPr>
      </w:pPr>
      <w:r w:rsidRPr="00277FDE">
        <w:rPr>
          <w:b/>
          <w:sz w:val="24"/>
          <w:lang w:val="en-US"/>
        </w:rPr>
        <w:t>Merits of the referral</w:t>
      </w:r>
    </w:p>
    <w:p w:rsidR="0043100F" w:rsidRPr="00277FDE" w:rsidRDefault="0043100F" w:rsidP="00277FDE">
      <w:pPr>
        <w:pStyle w:val="ListParagraph"/>
        <w:spacing w:line="240" w:lineRule="auto"/>
        <w:rPr>
          <w:sz w:val="24"/>
          <w:lang w:val="en-US"/>
        </w:rPr>
      </w:pPr>
    </w:p>
    <w:p w:rsidR="0043100F" w:rsidRPr="00277FDE" w:rsidRDefault="0043100F" w:rsidP="00277FDE">
      <w:pPr>
        <w:numPr>
          <w:ilvl w:val="0"/>
          <w:numId w:val="1"/>
        </w:numPr>
        <w:tabs>
          <w:tab w:val="clear" w:pos="720"/>
        </w:tabs>
        <w:spacing w:line="240" w:lineRule="auto"/>
        <w:ind w:left="630" w:hanging="630"/>
        <w:rPr>
          <w:sz w:val="24"/>
          <w:lang w:val="en-US"/>
        </w:rPr>
      </w:pPr>
      <w:r w:rsidRPr="00277FDE">
        <w:rPr>
          <w:sz w:val="24"/>
          <w:lang w:val="en-US"/>
        </w:rPr>
        <w:t xml:space="preserve">The Court recalls that the Applicant claims a violation of her right to a fair and impartial </w:t>
      </w:r>
      <w:r w:rsidRPr="00277FDE">
        <w:rPr>
          <w:bCs/>
          <w:sz w:val="24"/>
          <w:lang w:val="en-US"/>
        </w:rPr>
        <w:t>t</w:t>
      </w:r>
      <w:r w:rsidRPr="00277FDE">
        <w:rPr>
          <w:sz w:val="24"/>
          <w:lang w:val="en-US"/>
        </w:rPr>
        <w:t>rial as guaranteed by Article 31 (2) of the Constitution and Article 6 (1) of the ECHR.</w:t>
      </w:r>
    </w:p>
    <w:p w:rsidR="00F454A7" w:rsidRPr="00277FDE" w:rsidRDefault="00F454A7" w:rsidP="00277FDE">
      <w:pPr>
        <w:pStyle w:val="ListParagraph"/>
        <w:spacing w:line="240" w:lineRule="auto"/>
        <w:rPr>
          <w:sz w:val="24"/>
          <w:lang w:val="en-US"/>
        </w:rPr>
      </w:pPr>
    </w:p>
    <w:p w:rsidR="00F83756" w:rsidRPr="00277FDE" w:rsidRDefault="00F83756" w:rsidP="00277FDE">
      <w:pPr>
        <w:numPr>
          <w:ilvl w:val="0"/>
          <w:numId w:val="1"/>
        </w:numPr>
        <w:tabs>
          <w:tab w:val="clear" w:pos="720"/>
        </w:tabs>
        <w:spacing w:line="240" w:lineRule="auto"/>
        <w:ind w:left="630" w:hanging="630"/>
        <w:rPr>
          <w:sz w:val="24"/>
          <w:lang w:val="en-US"/>
        </w:rPr>
      </w:pPr>
      <w:r w:rsidRPr="00277FDE">
        <w:rPr>
          <w:sz w:val="24"/>
          <w:lang w:val="en-US"/>
        </w:rPr>
        <w:t xml:space="preserve">The Court </w:t>
      </w:r>
      <w:r w:rsidRPr="00277FDE">
        <w:rPr>
          <w:bCs/>
          <w:sz w:val="24"/>
          <w:lang w:val="en-US"/>
        </w:rPr>
        <w:t>recalls</w:t>
      </w:r>
      <w:r w:rsidRPr="00277FDE">
        <w:rPr>
          <w:sz w:val="24"/>
          <w:lang w:val="en-US"/>
        </w:rPr>
        <w:t xml:space="preserve"> Article 31 (2) of the Constitution, which </w:t>
      </w:r>
      <w:r w:rsidR="0043100F" w:rsidRPr="00277FDE">
        <w:rPr>
          <w:sz w:val="24"/>
          <w:lang w:val="en-US"/>
        </w:rPr>
        <w:t>provides that,</w:t>
      </w:r>
    </w:p>
    <w:p w:rsidR="00F83756" w:rsidRPr="00277FDE" w:rsidRDefault="00F83756" w:rsidP="00277FDE">
      <w:pPr>
        <w:pStyle w:val="ListParagraph"/>
        <w:spacing w:line="240" w:lineRule="auto"/>
        <w:rPr>
          <w:sz w:val="24"/>
          <w:lang w:val="en-US"/>
        </w:rPr>
      </w:pPr>
    </w:p>
    <w:p w:rsidR="00F83756" w:rsidRPr="00277FDE" w:rsidRDefault="0043100F" w:rsidP="00277FDE">
      <w:pPr>
        <w:spacing w:line="240" w:lineRule="auto"/>
        <w:ind w:left="990"/>
        <w:rPr>
          <w:i/>
          <w:sz w:val="24"/>
          <w:lang w:val="en-US"/>
        </w:rPr>
      </w:pPr>
      <w:r w:rsidRPr="00277FDE">
        <w:rPr>
          <w:i/>
          <w:sz w:val="24"/>
          <w:lang w:val="en-US"/>
        </w:rPr>
        <w:t>“</w:t>
      </w:r>
      <w:r w:rsidR="00F83756" w:rsidRPr="00277FDE">
        <w:rPr>
          <w:i/>
          <w:sz w:val="24"/>
          <w:lang w:val="en-US"/>
        </w:rPr>
        <w:t xml:space="preserve">2. Everyone is entitled to a fair and impartial public hearing as to the determination of one’s </w:t>
      </w:r>
      <w:r w:rsidR="00F83756" w:rsidRPr="00277FDE">
        <w:rPr>
          <w:i/>
          <w:color w:val="000000"/>
          <w:sz w:val="24"/>
          <w:lang w:val="en-US"/>
        </w:rPr>
        <w:t>rights</w:t>
      </w:r>
      <w:r w:rsidR="00F83756" w:rsidRPr="00277FDE">
        <w:rPr>
          <w:i/>
          <w:sz w:val="24"/>
          <w:lang w:val="en-US"/>
        </w:rPr>
        <w:t xml:space="preserve"> and obligations or as to any criminal charges within a reasonable time by an independent and impartial tribunal established by law.</w:t>
      </w:r>
      <w:r w:rsidRPr="00277FDE">
        <w:rPr>
          <w:i/>
          <w:sz w:val="24"/>
          <w:lang w:val="en-US"/>
        </w:rPr>
        <w:t>”</w:t>
      </w:r>
    </w:p>
    <w:p w:rsidR="00F83756" w:rsidRPr="00277FDE" w:rsidRDefault="00F83756" w:rsidP="00277FDE">
      <w:pPr>
        <w:pStyle w:val="ListParagraph"/>
        <w:spacing w:line="240" w:lineRule="auto"/>
        <w:rPr>
          <w:sz w:val="24"/>
          <w:lang w:val="en-US"/>
        </w:rPr>
      </w:pPr>
    </w:p>
    <w:p w:rsidR="00F83756" w:rsidRPr="00277FDE" w:rsidRDefault="00F83756" w:rsidP="00277FDE">
      <w:pPr>
        <w:numPr>
          <w:ilvl w:val="0"/>
          <w:numId w:val="1"/>
        </w:numPr>
        <w:tabs>
          <w:tab w:val="clear" w:pos="720"/>
        </w:tabs>
        <w:spacing w:line="240" w:lineRule="auto"/>
        <w:ind w:left="630" w:hanging="630"/>
        <w:rPr>
          <w:sz w:val="24"/>
          <w:lang w:val="en-US"/>
        </w:rPr>
      </w:pPr>
      <w:r w:rsidRPr="00277FDE">
        <w:rPr>
          <w:sz w:val="24"/>
          <w:lang w:val="en-US"/>
        </w:rPr>
        <w:t xml:space="preserve">The </w:t>
      </w:r>
      <w:r w:rsidRPr="00277FDE">
        <w:rPr>
          <w:bCs/>
          <w:sz w:val="24"/>
          <w:lang w:val="en-US"/>
        </w:rPr>
        <w:t>Court</w:t>
      </w:r>
      <w:r w:rsidRPr="00277FDE">
        <w:rPr>
          <w:sz w:val="24"/>
          <w:lang w:val="en-US"/>
        </w:rPr>
        <w:t xml:space="preserve"> </w:t>
      </w:r>
      <w:r w:rsidRPr="00277FDE">
        <w:rPr>
          <w:bCs/>
          <w:iCs/>
          <w:sz w:val="24"/>
          <w:lang w:val="en-US"/>
        </w:rPr>
        <w:t>also</w:t>
      </w:r>
      <w:r w:rsidRPr="00277FDE">
        <w:rPr>
          <w:sz w:val="24"/>
          <w:lang w:val="en-US"/>
        </w:rPr>
        <w:t xml:space="preserve"> recalls Article 6 (1) of the ECHR, which in its relevant parts, </w:t>
      </w:r>
      <w:r w:rsidR="0043100F" w:rsidRPr="00277FDE">
        <w:rPr>
          <w:sz w:val="24"/>
          <w:lang w:val="en-US"/>
        </w:rPr>
        <w:t>provides that,</w:t>
      </w:r>
    </w:p>
    <w:p w:rsidR="00F83756" w:rsidRPr="00277FDE" w:rsidRDefault="00F83756" w:rsidP="00277FDE">
      <w:pPr>
        <w:pStyle w:val="ListParagraph"/>
        <w:spacing w:line="240" w:lineRule="auto"/>
        <w:rPr>
          <w:sz w:val="24"/>
          <w:lang w:val="en-US"/>
        </w:rPr>
      </w:pPr>
    </w:p>
    <w:p w:rsidR="00F83756" w:rsidRPr="00277FDE" w:rsidRDefault="0043100F" w:rsidP="00277FDE">
      <w:pPr>
        <w:spacing w:line="240" w:lineRule="auto"/>
        <w:ind w:left="990"/>
        <w:rPr>
          <w:i/>
          <w:sz w:val="24"/>
          <w:lang w:val="en-US"/>
        </w:rPr>
      </w:pPr>
      <w:r w:rsidRPr="00277FDE">
        <w:rPr>
          <w:i/>
          <w:sz w:val="24"/>
          <w:lang w:val="en-US"/>
        </w:rPr>
        <w:t>“</w:t>
      </w:r>
      <w:r w:rsidR="00F83756" w:rsidRPr="00277FDE">
        <w:rPr>
          <w:i/>
          <w:sz w:val="24"/>
          <w:lang w:val="en-US"/>
        </w:rPr>
        <w:t xml:space="preserve">1. In the determination of his civil rights and obligations or of any criminal charge against him, </w:t>
      </w:r>
      <w:r w:rsidR="00F83756" w:rsidRPr="00277FDE">
        <w:rPr>
          <w:i/>
          <w:color w:val="000000"/>
          <w:sz w:val="24"/>
          <w:lang w:val="en-US"/>
        </w:rPr>
        <w:t>everyone</w:t>
      </w:r>
      <w:r w:rsidR="00F83756" w:rsidRPr="00277FDE">
        <w:rPr>
          <w:i/>
          <w:sz w:val="24"/>
          <w:lang w:val="en-US"/>
        </w:rPr>
        <w:t xml:space="preserve"> is entitled to a fair and public </w:t>
      </w:r>
      <w:r w:rsidR="00F83756" w:rsidRPr="00277FDE">
        <w:rPr>
          <w:i/>
          <w:sz w:val="24"/>
          <w:lang w:val="en-US"/>
        </w:rPr>
        <w:lastRenderedPageBreak/>
        <w:t>hearing within a reasonable time by an independent and impartial tribunal established by law. [...].</w:t>
      </w:r>
      <w:r w:rsidRPr="00277FDE">
        <w:rPr>
          <w:i/>
          <w:sz w:val="24"/>
          <w:lang w:val="en-US"/>
        </w:rPr>
        <w:t>”</w:t>
      </w:r>
    </w:p>
    <w:p w:rsidR="00F83756" w:rsidRPr="00277FDE" w:rsidRDefault="00F83756" w:rsidP="00277FDE">
      <w:pPr>
        <w:pStyle w:val="ListParagraph"/>
        <w:spacing w:line="240" w:lineRule="auto"/>
        <w:rPr>
          <w:sz w:val="24"/>
          <w:lang w:val="en-US"/>
        </w:rPr>
      </w:pPr>
    </w:p>
    <w:p w:rsidR="00F83756" w:rsidRPr="00277FDE" w:rsidRDefault="00F83756" w:rsidP="00277FDE">
      <w:pPr>
        <w:numPr>
          <w:ilvl w:val="0"/>
          <w:numId w:val="1"/>
        </w:numPr>
        <w:tabs>
          <w:tab w:val="clear" w:pos="720"/>
        </w:tabs>
        <w:spacing w:line="240" w:lineRule="auto"/>
        <w:ind w:left="630" w:hanging="630"/>
        <w:rPr>
          <w:sz w:val="24"/>
          <w:lang w:val="en-US"/>
        </w:rPr>
      </w:pPr>
      <w:r w:rsidRPr="00277FDE">
        <w:rPr>
          <w:sz w:val="24"/>
          <w:lang w:val="en-US"/>
        </w:rPr>
        <w:t xml:space="preserve">The Court is mindful of Article 53 [Interpretation of Human Rights Provisions] of the </w:t>
      </w:r>
      <w:r w:rsidRPr="00277FDE">
        <w:rPr>
          <w:bCs/>
          <w:sz w:val="24"/>
          <w:lang w:val="en-US"/>
        </w:rPr>
        <w:t>Constitution</w:t>
      </w:r>
      <w:r w:rsidRPr="00277FDE">
        <w:rPr>
          <w:sz w:val="24"/>
          <w:lang w:val="en-US"/>
        </w:rPr>
        <w:t xml:space="preserve"> which </w:t>
      </w:r>
      <w:r w:rsidR="0043100F" w:rsidRPr="00277FDE">
        <w:rPr>
          <w:sz w:val="24"/>
          <w:lang w:val="en-US"/>
        </w:rPr>
        <w:t>stipulates</w:t>
      </w:r>
      <w:r w:rsidRPr="00277FDE">
        <w:rPr>
          <w:sz w:val="24"/>
          <w:lang w:val="en-US"/>
        </w:rPr>
        <w:t xml:space="preserve"> that</w:t>
      </w:r>
      <w:r w:rsidR="0043100F" w:rsidRPr="00277FDE">
        <w:rPr>
          <w:sz w:val="24"/>
          <w:lang w:val="en-US"/>
        </w:rPr>
        <w:t>,</w:t>
      </w:r>
      <w:r w:rsidRPr="00277FDE">
        <w:rPr>
          <w:sz w:val="24"/>
          <w:lang w:val="en-US"/>
        </w:rPr>
        <w:t xml:space="preserve"> </w:t>
      </w:r>
      <w:r w:rsidRPr="00277FDE">
        <w:rPr>
          <w:i/>
          <w:sz w:val="24"/>
          <w:lang w:val="en-US"/>
        </w:rPr>
        <w:t>“human rights and fundamental freedoms guaranteed by this Constitution shall be interpreted consistent with the court decisions of the European Court of Human Rights.”</w:t>
      </w:r>
    </w:p>
    <w:p w:rsidR="00F83756" w:rsidRPr="00277FDE" w:rsidRDefault="00F83756" w:rsidP="00277FDE">
      <w:pPr>
        <w:pStyle w:val="ListParagraph"/>
        <w:spacing w:line="240" w:lineRule="auto"/>
        <w:rPr>
          <w:sz w:val="24"/>
          <w:lang w:val="en-US"/>
        </w:rPr>
      </w:pPr>
    </w:p>
    <w:p w:rsidR="00F83756" w:rsidRPr="00277FDE" w:rsidRDefault="00F83756" w:rsidP="00277FDE">
      <w:pPr>
        <w:numPr>
          <w:ilvl w:val="0"/>
          <w:numId w:val="1"/>
        </w:numPr>
        <w:tabs>
          <w:tab w:val="clear" w:pos="720"/>
        </w:tabs>
        <w:spacing w:line="240" w:lineRule="auto"/>
        <w:ind w:left="630" w:hanging="630"/>
        <w:rPr>
          <w:sz w:val="24"/>
          <w:lang w:val="en-US"/>
        </w:rPr>
      </w:pPr>
      <w:r w:rsidRPr="00277FDE">
        <w:rPr>
          <w:sz w:val="24"/>
          <w:lang w:val="en-US"/>
        </w:rPr>
        <w:t xml:space="preserve">In that </w:t>
      </w:r>
      <w:r w:rsidRPr="00277FDE">
        <w:rPr>
          <w:bCs/>
          <w:iCs/>
          <w:sz w:val="24"/>
          <w:lang w:val="en-US"/>
        </w:rPr>
        <w:t>connection</w:t>
      </w:r>
      <w:r w:rsidRPr="00277FDE">
        <w:rPr>
          <w:sz w:val="24"/>
          <w:lang w:val="en-US"/>
        </w:rPr>
        <w:t xml:space="preserve">, the Court reiterates the jurisprudence of the </w:t>
      </w:r>
      <w:proofErr w:type="spellStart"/>
      <w:r w:rsidRPr="00277FDE">
        <w:rPr>
          <w:sz w:val="24"/>
          <w:lang w:val="en-US"/>
        </w:rPr>
        <w:t>ECtHR</w:t>
      </w:r>
      <w:proofErr w:type="spellEnd"/>
      <w:r w:rsidRPr="00277FDE">
        <w:rPr>
          <w:sz w:val="24"/>
          <w:lang w:val="en-US"/>
        </w:rPr>
        <w:t xml:space="preserve"> which held, </w:t>
      </w:r>
      <w:r w:rsidRPr="00277FDE">
        <w:rPr>
          <w:bCs/>
          <w:sz w:val="24"/>
          <w:lang w:val="en-US"/>
        </w:rPr>
        <w:t>mutatis</w:t>
      </w:r>
      <w:r w:rsidRPr="00277FDE">
        <w:rPr>
          <w:i/>
          <w:sz w:val="24"/>
          <w:lang w:val="en-US"/>
        </w:rPr>
        <w:t xml:space="preserve"> mutandis</w:t>
      </w:r>
      <w:r w:rsidRPr="00277FDE">
        <w:rPr>
          <w:sz w:val="24"/>
          <w:lang w:val="en-US"/>
        </w:rPr>
        <w:t xml:space="preserve">, that </w:t>
      </w:r>
      <w:r w:rsidRPr="00277FDE">
        <w:rPr>
          <w:i/>
          <w:sz w:val="24"/>
          <w:lang w:val="en-US"/>
        </w:rPr>
        <w:t>“its jurisdiction to verify that domestic law has been correctly interpreted and applied is limited and that it is not its function to take the place of the national courts, its role being rather to ensure that the decisions of those courts are not flawed by arbitrariness or otherwise manifestly unreasonable.”</w:t>
      </w:r>
      <w:r w:rsidRPr="00277FDE">
        <w:rPr>
          <w:sz w:val="24"/>
          <w:lang w:val="en-US"/>
        </w:rPr>
        <w:t xml:space="preserve"> See </w:t>
      </w:r>
      <w:proofErr w:type="spellStart"/>
      <w:r w:rsidRPr="00277FDE">
        <w:rPr>
          <w:sz w:val="24"/>
          <w:lang w:val="en-US"/>
        </w:rPr>
        <w:t>ECtHR</w:t>
      </w:r>
      <w:proofErr w:type="spellEnd"/>
      <w:r w:rsidRPr="00277FDE">
        <w:rPr>
          <w:sz w:val="24"/>
          <w:lang w:val="en-US"/>
        </w:rPr>
        <w:t xml:space="preserve"> case </w:t>
      </w:r>
      <w:r w:rsidRPr="00277FDE">
        <w:rPr>
          <w:i/>
          <w:sz w:val="24"/>
          <w:lang w:val="en-US"/>
        </w:rPr>
        <w:t>Anheuser-Busch Inc. v. Portugal</w:t>
      </w:r>
      <w:r w:rsidRPr="00277FDE">
        <w:rPr>
          <w:sz w:val="24"/>
          <w:lang w:val="en-US"/>
        </w:rPr>
        <w:t xml:space="preserve">, Application No. 73049/01, </w:t>
      </w:r>
      <w:proofErr w:type="gramStart"/>
      <w:r w:rsidRPr="00277FDE">
        <w:rPr>
          <w:sz w:val="24"/>
          <w:lang w:val="en-US"/>
        </w:rPr>
        <w:t>Judgment</w:t>
      </w:r>
      <w:proofErr w:type="gramEnd"/>
      <w:r w:rsidRPr="00277FDE">
        <w:rPr>
          <w:sz w:val="24"/>
          <w:lang w:val="en-US"/>
        </w:rPr>
        <w:t xml:space="preserve"> of 11 January 2007, para. 83.</w:t>
      </w:r>
    </w:p>
    <w:p w:rsidR="00F83756" w:rsidRPr="00277FDE" w:rsidRDefault="00F83756" w:rsidP="00277FDE">
      <w:pPr>
        <w:pStyle w:val="ListParagraph"/>
        <w:spacing w:line="240" w:lineRule="auto"/>
        <w:rPr>
          <w:sz w:val="24"/>
          <w:lang w:val="en-US"/>
        </w:rPr>
      </w:pPr>
    </w:p>
    <w:p w:rsidR="00F83756" w:rsidRPr="00277FDE" w:rsidRDefault="00F83756" w:rsidP="00277FDE">
      <w:pPr>
        <w:numPr>
          <w:ilvl w:val="0"/>
          <w:numId w:val="1"/>
        </w:numPr>
        <w:tabs>
          <w:tab w:val="clear" w:pos="720"/>
        </w:tabs>
        <w:spacing w:line="240" w:lineRule="auto"/>
        <w:ind w:left="630" w:hanging="630"/>
        <w:rPr>
          <w:sz w:val="24"/>
          <w:lang w:val="en-US"/>
        </w:rPr>
      </w:pPr>
      <w:r w:rsidRPr="00277FDE">
        <w:rPr>
          <w:sz w:val="24"/>
          <w:lang w:val="en-US"/>
        </w:rPr>
        <w:t xml:space="preserve">The </w:t>
      </w:r>
      <w:r w:rsidRPr="00277FDE">
        <w:rPr>
          <w:bCs/>
          <w:iCs/>
          <w:sz w:val="24"/>
          <w:lang w:val="en-US"/>
        </w:rPr>
        <w:t>Court</w:t>
      </w:r>
      <w:r w:rsidRPr="00277FDE">
        <w:rPr>
          <w:sz w:val="24"/>
          <w:lang w:val="en-US"/>
        </w:rPr>
        <w:t xml:space="preserve"> </w:t>
      </w:r>
      <w:r w:rsidRPr="00277FDE">
        <w:rPr>
          <w:bCs/>
          <w:sz w:val="24"/>
          <w:lang w:val="en-US"/>
        </w:rPr>
        <w:t>also</w:t>
      </w:r>
      <w:r w:rsidRPr="00277FDE">
        <w:rPr>
          <w:sz w:val="24"/>
          <w:lang w:val="en-US"/>
        </w:rPr>
        <w:t xml:space="preserve"> recalls that </w:t>
      </w:r>
      <w:r w:rsidRPr="00277FDE">
        <w:rPr>
          <w:i/>
          <w:sz w:val="24"/>
          <w:lang w:val="en-US"/>
        </w:rPr>
        <w:t>“[…] the [</w:t>
      </w:r>
      <w:proofErr w:type="spellStart"/>
      <w:r w:rsidRPr="00277FDE">
        <w:rPr>
          <w:i/>
          <w:sz w:val="24"/>
          <w:lang w:val="en-US"/>
        </w:rPr>
        <w:t>ECtHR</w:t>
      </w:r>
      <w:proofErr w:type="spellEnd"/>
      <w:r w:rsidRPr="00277FDE">
        <w:rPr>
          <w:i/>
          <w:sz w:val="24"/>
          <w:lang w:val="en-US"/>
        </w:rPr>
        <w:t xml:space="preserve">] will not question the interpretation of domestic law by the national courts, save in the event of evident arbitrariness (see, mutatis mutandis, </w:t>
      </w:r>
      <w:proofErr w:type="spellStart"/>
      <w:r w:rsidRPr="00277FDE">
        <w:rPr>
          <w:i/>
          <w:sz w:val="24"/>
          <w:lang w:val="en-US"/>
        </w:rPr>
        <w:t>Ādamsons</w:t>
      </w:r>
      <w:proofErr w:type="spellEnd"/>
      <w:r w:rsidRPr="00277FDE">
        <w:rPr>
          <w:i/>
          <w:sz w:val="24"/>
          <w:lang w:val="en-US"/>
        </w:rPr>
        <w:t xml:space="preserve"> v. Latvia, no. 3669/03, § 118, 24 June 2008), in other words, when it observes that the domestic courts have applied the law in a particular case manifestly erroneously or so as to reach arbitrary conclusions and/or a denial of justice (see, mutatis mutandis, </w:t>
      </w:r>
      <w:proofErr w:type="spellStart"/>
      <w:r w:rsidRPr="00277FDE">
        <w:rPr>
          <w:i/>
          <w:sz w:val="24"/>
          <w:lang w:val="en-US"/>
        </w:rPr>
        <w:t>Farbers</w:t>
      </w:r>
      <w:proofErr w:type="spellEnd"/>
      <w:r w:rsidRPr="00277FDE">
        <w:rPr>
          <w:i/>
          <w:sz w:val="24"/>
          <w:lang w:val="en-US"/>
        </w:rPr>
        <w:t xml:space="preserve"> and </w:t>
      </w:r>
      <w:proofErr w:type="spellStart"/>
      <w:r w:rsidRPr="00277FDE">
        <w:rPr>
          <w:i/>
          <w:sz w:val="24"/>
          <w:lang w:val="en-US"/>
        </w:rPr>
        <w:t>Harlanova</w:t>
      </w:r>
      <w:proofErr w:type="spellEnd"/>
      <w:r w:rsidRPr="00277FDE">
        <w:rPr>
          <w:i/>
          <w:sz w:val="24"/>
          <w:lang w:val="en-US"/>
        </w:rPr>
        <w:t xml:space="preserve"> v. Latvia (</w:t>
      </w:r>
      <w:proofErr w:type="spellStart"/>
      <w:r w:rsidRPr="00277FDE">
        <w:rPr>
          <w:i/>
          <w:sz w:val="24"/>
          <w:lang w:val="en-US"/>
        </w:rPr>
        <w:t>dec.</w:t>
      </w:r>
      <w:proofErr w:type="spellEnd"/>
      <w:r w:rsidRPr="00277FDE">
        <w:rPr>
          <w:i/>
          <w:sz w:val="24"/>
          <w:lang w:val="en-US"/>
        </w:rPr>
        <w:t xml:space="preserve">), no 57313/00 6 September 2001, and, albeit in the context of Article 1 of Protocol No. 1, </w:t>
      </w:r>
      <w:proofErr w:type="spellStart"/>
      <w:r w:rsidRPr="00277FDE">
        <w:rPr>
          <w:i/>
          <w:sz w:val="24"/>
          <w:lang w:val="en-US"/>
        </w:rPr>
        <w:t>Beyeler</w:t>
      </w:r>
      <w:proofErr w:type="spellEnd"/>
      <w:r w:rsidRPr="00277FDE">
        <w:rPr>
          <w:i/>
          <w:sz w:val="24"/>
          <w:lang w:val="en-US"/>
        </w:rPr>
        <w:t xml:space="preserve"> v. Italy [GC], no. 33202/96, para. 108, ECHR 2000-I).”</w:t>
      </w:r>
      <w:r w:rsidRPr="00277FDE">
        <w:rPr>
          <w:sz w:val="24"/>
          <w:lang w:val="en-US"/>
        </w:rPr>
        <w:t xml:space="preserve"> See </w:t>
      </w:r>
      <w:proofErr w:type="spellStart"/>
      <w:r w:rsidRPr="00277FDE">
        <w:rPr>
          <w:sz w:val="24"/>
          <w:lang w:val="en-US"/>
        </w:rPr>
        <w:t>ECtHR</w:t>
      </w:r>
      <w:proofErr w:type="spellEnd"/>
      <w:r w:rsidRPr="00277FDE">
        <w:rPr>
          <w:sz w:val="24"/>
          <w:lang w:val="en-US"/>
        </w:rPr>
        <w:t xml:space="preserve"> case </w:t>
      </w:r>
      <w:proofErr w:type="spellStart"/>
      <w:r w:rsidRPr="00277FDE">
        <w:rPr>
          <w:sz w:val="24"/>
          <w:lang w:val="en-US"/>
        </w:rPr>
        <w:t>Andjelković</w:t>
      </w:r>
      <w:proofErr w:type="spellEnd"/>
      <w:r w:rsidRPr="00277FDE">
        <w:rPr>
          <w:sz w:val="24"/>
          <w:lang w:val="en-US"/>
        </w:rPr>
        <w:t xml:space="preserve"> v. Serbia, Application No. 1401/08, </w:t>
      </w:r>
      <w:proofErr w:type="gramStart"/>
      <w:r w:rsidRPr="00277FDE">
        <w:rPr>
          <w:sz w:val="24"/>
          <w:lang w:val="en-US"/>
        </w:rPr>
        <w:t>Judgment</w:t>
      </w:r>
      <w:proofErr w:type="gramEnd"/>
      <w:r w:rsidRPr="00277FDE">
        <w:rPr>
          <w:sz w:val="24"/>
          <w:lang w:val="en-US"/>
        </w:rPr>
        <w:t xml:space="preserve"> of 9 April 2013, para. 24.</w:t>
      </w:r>
    </w:p>
    <w:p w:rsidR="00B955C8" w:rsidRPr="00277FDE" w:rsidRDefault="00B955C8" w:rsidP="00277FDE">
      <w:pPr>
        <w:pStyle w:val="ListParagraph"/>
        <w:spacing w:line="240" w:lineRule="auto"/>
        <w:rPr>
          <w:sz w:val="24"/>
          <w:lang w:val="en-US"/>
        </w:rPr>
      </w:pPr>
    </w:p>
    <w:p w:rsidR="00B955C8" w:rsidRPr="00277FDE" w:rsidRDefault="00B955C8" w:rsidP="00277FDE">
      <w:pPr>
        <w:numPr>
          <w:ilvl w:val="0"/>
          <w:numId w:val="1"/>
        </w:numPr>
        <w:tabs>
          <w:tab w:val="clear" w:pos="720"/>
        </w:tabs>
        <w:spacing w:line="240" w:lineRule="auto"/>
        <w:ind w:left="630" w:hanging="630"/>
        <w:rPr>
          <w:sz w:val="24"/>
          <w:lang w:val="en-US"/>
        </w:rPr>
      </w:pPr>
      <w:r w:rsidRPr="00277FDE">
        <w:rPr>
          <w:sz w:val="24"/>
          <w:lang w:val="en-US"/>
        </w:rPr>
        <w:t xml:space="preserve">In </w:t>
      </w:r>
      <w:r w:rsidRPr="00277FDE">
        <w:rPr>
          <w:bCs/>
          <w:iCs/>
          <w:sz w:val="24"/>
          <w:lang w:val="en-US"/>
        </w:rPr>
        <w:t>light</w:t>
      </w:r>
      <w:r w:rsidRPr="00277FDE">
        <w:rPr>
          <w:sz w:val="24"/>
          <w:lang w:val="en-US"/>
        </w:rPr>
        <w:t xml:space="preserve"> of the above, the Court emphasizes that it is not the task of the Constitutional Court to deal with errors of law allegedly committed by the regular courts when assessing evidence or applying the law (legality), unless and in so far as they may have infringed rights and freedoms protected by the </w:t>
      </w:r>
      <w:r w:rsidRPr="00277FDE">
        <w:rPr>
          <w:bCs/>
          <w:sz w:val="24"/>
          <w:lang w:val="en-US"/>
        </w:rPr>
        <w:t>Constitution</w:t>
      </w:r>
      <w:r w:rsidRPr="00277FDE">
        <w:rPr>
          <w:sz w:val="24"/>
          <w:lang w:val="en-US"/>
        </w:rPr>
        <w:t xml:space="preserve"> (constitutionality). In fact, it is the role of regular courts to interpret and apply the pertinent rules of both procedural and substantive law. See, </w:t>
      </w:r>
      <w:r w:rsidRPr="00277FDE">
        <w:rPr>
          <w:i/>
          <w:sz w:val="24"/>
          <w:lang w:val="en-US"/>
        </w:rPr>
        <w:t>mutatis mutandis</w:t>
      </w:r>
      <w:r w:rsidRPr="00277FDE">
        <w:rPr>
          <w:sz w:val="24"/>
          <w:lang w:val="en-US"/>
        </w:rPr>
        <w:t xml:space="preserve">, </w:t>
      </w:r>
      <w:proofErr w:type="spellStart"/>
      <w:r w:rsidRPr="00277FDE">
        <w:rPr>
          <w:sz w:val="24"/>
          <w:lang w:val="en-US"/>
        </w:rPr>
        <w:t>ECtHR</w:t>
      </w:r>
      <w:proofErr w:type="spellEnd"/>
      <w:r w:rsidRPr="00277FDE">
        <w:rPr>
          <w:sz w:val="24"/>
          <w:lang w:val="en-US"/>
        </w:rPr>
        <w:t xml:space="preserve"> case </w:t>
      </w:r>
      <w:proofErr w:type="spellStart"/>
      <w:r w:rsidRPr="00277FDE">
        <w:rPr>
          <w:i/>
          <w:sz w:val="24"/>
          <w:lang w:val="en-US"/>
        </w:rPr>
        <w:t>García</w:t>
      </w:r>
      <w:proofErr w:type="spellEnd"/>
      <w:r w:rsidRPr="00277FDE">
        <w:rPr>
          <w:i/>
          <w:sz w:val="24"/>
          <w:lang w:val="en-US"/>
        </w:rPr>
        <w:t xml:space="preserve"> Ruiz v. Spain</w:t>
      </w:r>
      <w:r w:rsidRPr="00277FDE">
        <w:rPr>
          <w:sz w:val="24"/>
          <w:lang w:val="en-US"/>
        </w:rPr>
        <w:t xml:space="preserve">, Application No. 30544/96, </w:t>
      </w:r>
      <w:proofErr w:type="gramStart"/>
      <w:r w:rsidRPr="00277FDE">
        <w:rPr>
          <w:sz w:val="24"/>
          <w:lang w:val="en-US"/>
        </w:rPr>
        <w:t>Judgment</w:t>
      </w:r>
      <w:proofErr w:type="gramEnd"/>
      <w:r w:rsidRPr="00277FDE">
        <w:rPr>
          <w:sz w:val="24"/>
          <w:lang w:val="en-US"/>
        </w:rPr>
        <w:t xml:space="preserve"> of 21 January 1999, para. 28</w:t>
      </w:r>
      <w:r w:rsidR="00915DB0" w:rsidRPr="00277FDE">
        <w:rPr>
          <w:sz w:val="24"/>
          <w:lang w:val="en-US"/>
        </w:rPr>
        <w:t xml:space="preserve">; and Case No. KI93/16, </w:t>
      </w:r>
      <w:proofErr w:type="spellStart"/>
      <w:r w:rsidR="00915DB0" w:rsidRPr="00277FDE">
        <w:rPr>
          <w:i/>
          <w:sz w:val="24"/>
          <w:lang w:val="en-US"/>
        </w:rPr>
        <w:t>Maliq</w:t>
      </w:r>
      <w:proofErr w:type="spellEnd"/>
      <w:r w:rsidR="00915DB0" w:rsidRPr="00277FDE">
        <w:rPr>
          <w:i/>
          <w:sz w:val="24"/>
          <w:lang w:val="en-US"/>
        </w:rPr>
        <w:t xml:space="preserve"> </w:t>
      </w:r>
      <w:proofErr w:type="spellStart"/>
      <w:r w:rsidR="00915DB0" w:rsidRPr="00277FDE">
        <w:rPr>
          <w:i/>
          <w:sz w:val="24"/>
          <w:lang w:val="en-US"/>
        </w:rPr>
        <w:t>Maliqi</w:t>
      </w:r>
      <w:proofErr w:type="spellEnd"/>
      <w:r w:rsidR="00915DB0" w:rsidRPr="00277FDE">
        <w:rPr>
          <w:i/>
          <w:sz w:val="24"/>
          <w:lang w:val="en-US"/>
        </w:rPr>
        <w:t xml:space="preserve"> and </w:t>
      </w:r>
      <w:proofErr w:type="spellStart"/>
      <w:r w:rsidR="00915DB0" w:rsidRPr="00277FDE">
        <w:rPr>
          <w:i/>
          <w:sz w:val="24"/>
          <w:lang w:val="en-US"/>
        </w:rPr>
        <w:t>Skender</w:t>
      </w:r>
      <w:proofErr w:type="spellEnd"/>
      <w:r w:rsidR="00915DB0" w:rsidRPr="00277FDE">
        <w:rPr>
          <w:i/>
          <w:sz w:val="24"/>
          <w:lang w:val="en-US"/>
        </w:rPr>
        <w:t xml:space="preserve"> </w:t>
      </w:r>
      <w:proofErr w:type="spellStart"/>
      <w:r w:rsidR="00915DB0" w:rsidRPr="00277FDE">
        <w:rPr>
          <w:i/>
          <w:sz w:val="24"/>
          <w:lang w:val="en-US"/>
        </w:rPr>
        <w:t>Maliqi</w:t>
      </w:r>
      <w:proofErr w:type="spellEnd"/>
      <w:r w:rsidR="00915DB0" w:rsidRPr="00277FDE">
        <w:rPr>
          <w:sz w:val="24"/>
          <w:lang w:val="en-US"/>
        </w:rPr>
        <w:t>, Judgment of the Constitutional Court of 23 November 2017</w:t>
      </w:r>
    </w:p>
    <w:p w:rsidR="00C85A42" w:rsidRPr="00277FDE" w:rsidRDefault="00C85A42" w:rsidP="00277FDE">
      <w:pPr>
        <w:pStyle w:val="ListParagraph"/>
        <w:spacing w:line="240" w:lineRule="auto"/>
        <w:rPr>
          <w:sz w:val="24"/>
          <w:lang w:val="en-US"/>
        </w:rPr>
      </w:pPr>
    </w:p>
    <w:p w:rsidR="00915DB0" w:rsidRPr="00277FDE" w:rsidRDefault="00915DB0" w:rsidP="00277FDE">
      <w:pPr>
        <w:numPr>
          <w:ilvl w:val="0"/>
          <w:numId w:val="1"/>
        </w:numPr>
        <w:tabs>
          <w:tab w:val="clear" w:pos="720"/>
        </w:tabs>
        <w:spacing w:line="240" w:lineRule="auto"/>
        <w:ind w:left="630" w:hanging="630"/>
        <w:rPr>
          <w:sz w:val="24"/>
          <w:lang w:val="en-US"/>
        </w:rPr>
      </w:pPr>
      <w:r w:rsidRPr="00277FDE">
        <w:rPr>
          <w:sz w:val="24"/>
          <w:lang w:val="en-US"/>
        </w:rPr>
        <w:t xml:space="preserve">The Court </w:t>
      </w:r>
      <w:r w:rsidRPr="00277FDE">
        <w:rPr>
          <w:bCs/>
          <w:sz w:val="24"/>
          <w:lang w:val="en-US"/>
        </w:rPr>
        <w:t>recalls</w:t>
      </w:r>
      <w:r w:rsidRPr="00277FDE">
        <w:rPr>
          <w:sz w:val="24"/>
          <w:lang w:val="en-US"/>
        </w:rPr>
        <w:t xml:space="preserve"> that the Applicant’s primary complaint concerns the application of a sub-legal act by the Supreme Court i</w:t>
      </w:r>
      <w:r w:rsidR="00D43D60" w:rsidRPr="00277FDE">
        <w:rPr>
          <w:sz w:val="24"/>
          <w:lang w:val="en-US"/>
        </w:rPr>
        <w:t>n its decision on revision, rather than applying the relevant primary legislation, namely, the UNMIK Regulation No. 2001/36 on the Kosovo Civil Service. The Applicant alleges that she had a permanent contract as a civil servant and that this contract was never terminated.</w:t>
      </w:r>
    </w:p>
    <w:p w:rsidR="00D43D60" w:rsidRPr="00277FDE" w:rsidRDefault="00D43D60" w:rsidP="00277FDE">
      <w:pPr>
        <w:spacing w:line="240" w:lineRule="auto"/>
        <w:ind w:left="630"/>
        <w:rPr>
          <w:sz w:val="24"/>
          <w:lang w:val="en-US"/>
        </w:rPr>
      </w:pPr>
    </w:p>
    <w:p w:rsidR="00D43D60" w:rsidRPr="00277FDE" w:rsidRDefault="00D43D60" w:rsidP="00277FDE">
      <w:pPr>
        <w:numPr>
          <w:ilvl w:val="0"/>
          <w:numId w:val="1"/>
        </w:numPr>
        <w:tabs>
          <w:tab w:val="clear" w:pos="720"/>
        </w:tabs>
        <w:spacing w:line="240" w:lineRule="auto"/>
        <w:ind w:left="630" w:hanging="630"/>
        <w:rPr>
          <w:sz w:val="24"/>
          <w:lang w:val="en-US"/>
        </w:rPr>
      </w:pPr>
      <w:r w:rsidRPr="00277FDE">
        <w:rPr>
          <w:sz w:val="24"/>
          <w:lang w:val="en-US"/>
        </w:rPr>
        <w:t xml:space="preserve">Furthermore, the Applicant alleges that in 2001, by signing the employment contract on specialization, she had accepted an obligation to work for a period of five years in the public </w:t>
      </w:r>
      <w:r w:rsidR="00BB49AC" w:rsidRPr="00277FDE">
        <w:rPr>
          <w:sz w:val="24"/>
          <w:lang w:val="en-US"/>
        </w:rPr>
        <w:t xml:space="preserve">health </w:t>
      </w:r>
      <w:r w:rsidRPr="00277FDE">
        <w:rPr>
          <w:sz w:val="24"/>
          <w:lang w:val="en-US"/>
        </w:rPr>
        <w:t xml:space="preserve">service of Kosovo following her training as a specialist, whereas in 2006 the Ministry of Health had retroactively terminated this obligation by its </w:t>
      </w:r>
      <w:r w:rsidRPr="00277FDE">
        <w:rPr>
          <w:bCs/>
          <w:sz w:val="24"/>
          <w:lang w:val="en-US"/>
        </w:rPr>
        <w:t>Decision No. 20-03-2006.</w:t>
      </w:r>
    </w:p>
    <w:p w:rsidR="00D43D60" w:rsidRPr="00277FDE" w:rsidRDefault="00D43D60" w:rsidP="00277FDE">
      <w:pPr>
        <w:numPr>
          <w:ilvl w:val="0"/>
          <w:numId w:val="1"/>
        </w:numPr>
        <w:tabs>
          <w:tab w:val="clear" w:pos="720"/>
        </w:tabs>
        <w:spacing w:line="240" w:lineRule="auto"/>
        <w:ind w:left="630" w:hanging="630"/>
        <w:rPr>
          <w:sz w:val="24"/>
          <w:lang w:val="en-US"/>
        </w:rPr>
      </w:pPr>
      <w:r w:rsidRPr="00277FDE">
        <w:rPr>
          <w:sz w:val="24"/>
          <w:lang w:val="en-US"/>
        </w:rPr>
        <w:lastRenderedPageBreak/>
        <w:t xml:space="preserve">The Applicant alleges that by failing to apply the UNMIK Regulation No. 2001/36 on the Kosovo Civil Service, and disregarding the fact that the Applicant’s employment as a civil servant had never been lawfully terminated, as well as </w:t>
      </w:r>
      <w:r w:rsidR="00BB49AC" w:rsidRPr="00277FDE">
        <w:rPr>
          <w:sz w:val="24"/>
          <w:lang w:val="en-US"/>
        </w:rPr>
        <w:t xml:space="preserve">by </w:t>
      </w:r>
      <w:r w:rsidRPr="00277FDE">
        <w:rPr>
          <w:sz w:val="24"/>
          <w:lang w:val="en-US"/>
        </w:rPr>
        <w:t>not taking into account the retroactiv</w:t>
      </w:r>
      <w:r w:rsidR="00BB49AC" w:rsidRPr="00277FDE">
        <w:rPr>
          <w:sz w:val="24"/>
          <w:lang w:val="en-US"/>
        </w:rPr>
        <w:t>e termination of the obligation</w:t>
      </w:r>
      <w:r w:rsidRPr="00277FDE">
        <w:rPr>
          <w:sz w:val="24"/>
          <w:lang w:val="en-US"/>
        </w:rPr>
        <w:t xml:space="preserve"> to work in the public </w:t>
      </w:r>
      <w:r w:rsidR="00BB49AC" w:rsidRPr="00277FDE">
        <w:rPr>
          <w:sz w:val="24"/>
          <w:lang w:val="en-US"/>
        </w:rPr>
        <w:t xml:space="preserve">health </w:t>
      </w:r>
      <w:r w:rsidRPr="00277FDE">
        <w:rPr>
          <w:sz w:val="24"/>
          <w:lang w:val="en-US"/>
        </w:rPr>
        <w:t xml:space="preserve">service for a further five years, the Supreme Court had not properly reasoned its decision and had manifestly </w:t>
      </w:r>
      <w:r w:rsidR="00BB49AC" w:rsidRPr="00277FDE">
        <w:rPr>
          <w:sz w:val="24"/>
          <w:lang w:val="en-US"/>
        </w:rPr>
        <w:t>misinterpreted the law with arbitrary results for the Applicant.</w:t>
      </w:r>
    </w:p>
    <w:p w:rsidR="00D43D60" w:rsidRPr="00277FDE" w:rsidRDefault="00D43D60" w:rsidP="00277FDE">
      <w:pPr>
        <w:spacing w:line="240" w:lineRule="auto"/>
        <w:ind w:left="630"/>
        <w:rPr>
          <w:sz w:val="24"/>
          <w:lang w:val="en-US"/>
        </w:rPr>
      </w:pPr>
    </w:p>
    <w:p w:rsidR="00BD1487" w:rsidRPr="00277FDE" w:rsidRDefault="00F454A7" w:rsidP="00277FDE">
      <w:pPr>
        <w:numPr>
          <w:ilvl w:val="0"/>
          <w:numId w:val="1"/>
        </w:numPr>
        <w:tabs>
          <w:tab w:val="clear" w:pos="720"/>
        </w:tabs>
        <w:spacing w:line="240" w:lineRule="auto"/>
        <w:ind w:left="630" w:hanging="630"/>
        <w:rPr>
          <w:bCs/>
          <w:sz w:val="24"/>
          <w:lang w:val="en-US"/>
        </w:rPr>
      </w:pPr>
      <w:r w:rsidRPr="00277FDE">
        <w:rPr>
          <w:sz w:val="24"/>
          <w:lang w:val="en-US"/>
        </w:rPr>
        <w:t xml:space="preserve">The Court </w:t>
      </w:r>
      <w:r w:rsidR="00BD1487" w:rsidRPr="00277FDE">
        <w:rPr>
          <w:sz w:val="24"/>
          <w:lang w:val="en-US"/>
        </w:rPr>
        <w:t xml:space="preserve">recalls that </w:t>
      </w:r>
      <w:r w:rsidR="00BD1487" w:rsidRPr="00277FDE">
        <w:rPr>
          <w:bCs/>
          <w:sz w:val="24"/>
          <w:lang w:val="en-US"/>
        </w:rPr>
        <w:t xml:space="preserve">the Basic Court considered that the Administrative Instruction (Health) 17/2000 did </w:t>
      </w:r>
      <w:r w:rsidR="00BD1487" w:rsidRPr="00277FDE">
        <w:rPr>
          <w:bCs/>
          <w:iCs/>
          <w:sz w:val="24"/>
          <w:lang w:val="en-US"/>
        </w:rPr>
        <w:t>not</w:t>
      </w:r>
      <w:r w:rsidR="00BD1487" w:rsidRPr="00277FDE">
        <w:rPr>
          <w:bCs/>
          <w:sz w:val="24"/>
          <w:lang w:val="en-US"/>
        </w:rPr>
        <w:t xml:space="preserve"> apply in the Applicant’s case, because her employment in the civil service of Kosovo dating from 10 July 1990 had not been terminated in compliance with the applicable law, namely UNMIK Regulation </w:t>
      </w:r>
      <w:r w:rsidR="00BD1487" w:rsidRPr="00277FDE">
        <w:rPr>
          <w:sz w:val="24"/>
          <w:lang w:val="en-US"/>
        </w:rPr>
        <w:t>No. 2001/36 on the Civil Service of Kosovo, and UNMIK Administrative Instruction No. 2003/2 on the Application of UNMIK Regulation No. 2001/36, Article 35. The Court of Appeals upheld this interpretation.</w:t>
      </w:r>
    </w:p>
    <w:p w:rsidR="0054009F" w:rsidRPr="00277FDE" w:rsidRDefault="0054009F" w:rsidP="00277FDE">
      <w:pPr>
        <w:pStyle w:val="ListParagraph"/>
        <w:spacing w:line="240" w:lineRule="auto"/>
        <w:rPr>
          <w:sz w:val="24"/>
          <w:lang w:val="en-US"/>
        </w:rPr>
      </w:pPr>
    </w:p>
    <w:p w:rsidR="00142894" w:rsidRPr="00277FDE" w:rsidRDefault="00BD1487" w:rsidP="00277FDE">
      <w:pPr>
        <w:numPr>
          <w:ilvl w:val="0"/>
          <w:numId w:val="1"/>
        </w:numPr>
        <w:tabs>
          <w:tab w:val="clear" w:pos="720"/>
        </w:tabs>
        <w:spacing w:line="240" w:lineRule="auto"/>
        <w:ind w:left="630" w:hanging="630"/>
        <w:rPr>
          <w:sz w:val="24"/>
          <w:lang w:val="en-US"/>
        </w:rPr>
      </w:pPr>
      <w:r w:rsidRPr="00277FDE">
        <w:rPr>
          <w:sz w:val="24"/>
          <w:lang w:val="en-US"/>
        </w:rPr>
        <w:t>T</w:t>
      </w:r>
      <w:r w:rsidR="002F610C" w:rsidRPr="00277FDE">
        <w:rPr>
          <w:sz w:val="24"/>
          <w:lang w:val="en-US"/>
        </w:rPr>
        <w:t xml:space="preserve">he Court </w:t>
      </w:r>
      <w:r w:rsidR="002F610C" w:rsidRPr="00277FDE">
        <w:rPr>
          <w:bCs/>
          <w:sz w:val="24"/>
          <w:lang w:val="en-US"/>
        </w:rPr>
        <w:t>notes</w:t>
      </w:r>
      <w:r w:rsidR="002F610C" w:rsidRPr="00277FDE">
        <w:rPr>
          <w:sz w:val="24"/>
          <w:lang w:val="en-US"/>
        </w:rPr>
        <w:t xml:space="preserve"> that the Supreme Court </w:t>
      </w:r>
      <w:r w:rsidR="00922A6C" w:rsidRPr="00277FDE">
        <w:rPr>
          <w:sz w:val="24"/>
          <w:lang w:val="en-US"/>
        </w:rPr>
        <w:t xml:space="preserve">accepted that the lower courts had correctly determined the factual situation, but </w:t>
      </w:r>
      <w:r w:rsidR="00142894" w:rsidRPr="00277FDE">
        <w:rPr>
          <w:sz w:val="24"/>
          <w:lang w:val="en-US"/>
        </w:rPr>
        <w:t xml:space="preserve">determined </w:t>
      </w:r>
      <w:r w:rsidR="00922A6C" w:rsidRPr="00277FDE">
        <w:rPr>
          <w:sz w:val="24"/>
          <w:lang w:val="en-US"/>
        </w:rPr>
        <w:t xml:space="preserve">that they had applied the wrong law. The Supreme Court reasoned that, </w:t>
      </w:r>
    </w:p>
    <w:p w:rsidR="00142894" w:rsidRPr="00277FDE" w:rsidRDefault="00142894" w:rsidP="00277FDE">
      <w:pPr>
        <w:pStyle w:val="ListParagraph"/>
        <w:spacing w:line="240" w:lineRule="auto"/>
        <w:rPr>
          <w:sz w:val="24"/>
          <w:lang w:val="en-US"/>
        </w:rPr>
      </w:pPr>
    </w:p>
    <w:p w:rsidR="002F610C" w:rsidRPr="00277FDE" w:rsidRDefault="00142894" w:rsidP="00277FDE">
      <w:pPr>
        <w:spacing w:line="240" w:lineRule="auto"/>
        <w:ind w:left="990"/>
        <w:rPr>
          <w:sz w:val="24"/>
          <w:lang w:val="en-US"/>
        </w:rPr>
      </w:pPr>
      <w:r w:rsidRPr="00277FDE">
        <w:rPr>
          <w:i/>
          <w:sz w:val="24"/>
          <w:lang w:val="en-US"/>
        </w:rPr>
        <w:t>“</w:t>
      </w:r>
      <w:r w:rsidR="00922A6C" w:rsidRPr="00277FDE">
        <w:rPr>
          <w:i/>
          <w:sz w:val="24"/>
          <w:lang w:val="en-US"/>
        </w:rPr>
        <w:t>This is due to the reason that pursuant to Administrative Instruction No. 17/2000 of the Department of Health and Social Welfare, under item D, item 6, it is foreseen that doctors who have successfully completed their specialization training and are registered as specialists with a work permit, should compete for job positions at the Public Health Services in Kosovo. They may not remain in their training posts, and posts in the training institutions may not be offered to them automatically, whereas by item 7, it was determined that the system of sponsoring trainings by various institutions shall end when doctors accept the offer for specialization training from the Department of Health and Social Welfare; they should complete every attempt of the previous employer for employment and no contract should be concluded which creates a future obligation.</w:t>
      </w:r>
      <w:r w:rsidRPr="00277FDE">
        <w:rPr>
          <w:i/>
          <w:sz w:val="24"/>
          <w:lang w:val="en-US"/>
        </w:rPr>
        <w:t>”</w:t>
      </w:r>
      <w:r w:rsidR="00922A6C" w:rsidRPr="00277FDE">
        <w:rPr>
          <w:sz w:val="24"/>
          <w:lang w:val="en-US"/>
        </w:rPr>
        <w:t xml:space="preserve"> </w:t>
      </w:r>
    </w:p>
    <w:p w:rsidR="00E44C3A" w:rsidRPr="00277FDE" w:rsidRDefault="00E44C3A" w:rsidP="00277FDE">
      <w:pPr>
        <w:pStyle w:val="ListParagraph"/>
        <w:spacing w:line="240" w:lineRule="auto"/>
        <w:rPr>
          <w:sz w:val="24"/>
          <w:lang w:val="en-US"/>
        </w:rPr>
      </w:pPr>
    </w:p>
    <w:p w:rsidR="00142894" w:rsidRPr="00277FDE" w:rsidRDefault="00142894" w:rsidP="00277FDE">
      <w:pPr>
        <w:numPr>
          <w:ilvl w:val="0"/>
          <w:numId w:val="1"/>
        </w:numPr>
        <w:tabs>
          <w:tab w:val="clear" w:pos="720"/>
        </w:tabs>
        <w:spacing w:line="240" w:lineRule="auto"/>
        <w:ind w:left="630" w:hanging="630"/>
        <w:rPr>
          <w:sz w:val="24"/>
          <w:lang w:val="en-US"/>
        </w:rPr>
      </w:pPr>
      <w:r w:rsidRPr="00277FDE">
        <w:rPr>
          <w:bCs/>
          <w:iCs/>
          <w:sz w:val="24"/>
          <w:lang w:val="en-US"/>
        </w:rPr>
        <w:t xml:space="preserve">The </w:t>
      </w:r>
      <w:r w:rsidRPr="00277FDE">
        <w:rPr>
          <w:bCs/>
          <w:sz w:val="24"/>
          <w:lang w:val="en-US"/>
        </w:rPr>
        <w:t>Court</w:t>
      </w:r>
      <w:r w:rsidRPr="00277FDE">
        <w:rPr>
          <w:bCs/>
          <w:iCs/>
          <w:sz w:val="24"/>
          <w:lang w:val="en-US"/>
        </w:rPr>
        <w:t xml:space="preserve"> notes that, in accepting the determination of the factual situation by the lower </w:t>
      </w:r>
      <w:r w:rsidRPr="00277FDE">
        <w:rPr>
          <w:bCs/>
          <w:sz w:val="24"/>
          <w:lang w:val="en-US"/>
        </w:rPr>
        <w:t>instance</w:t>
      </w:r>
      <w:r w:rsidRPr="00277FDE">
        <w:rPr>
          <w:bCs/>
          <w:iCs/>
          <w:sz w:val="24"/>
          <w:lang w:val="en-US"/>
        </w:rPr>
        <w:t xml:space="preserve"> courts, the Supreme Court had accepted that the Applicant had </w:t>
      </w:r>
      <w:r w:rsidRPr="00277FDE">
        <w:rPr>
          <w:bCs/>
          <w:i/>
          <w:iCs/>
          <w:sz w:val="24"/>
          <w:lang w:val="en-US"/>
        </w:rPr>
        <w:t>“</w:t>
      </w:r>
      <w:r w:rsidRPr="00277FDE">
        <w:rPr>
          <w:i/>
          <w:sz w:val="24"/>
          <w:lang w:val="en-US"/>
        </w:rPr>
        <w:t xml:space="preserve">acquired the status of an employee for an unspecified period of time at the House of Health in </w:t>
      </w:r>
      <w:proofErr w:type="spellStart"/>
      <w:r w:rsidRPr="00277FDE">
        <w:rPr>
          <w:i/>
          <w:sz w:val="24"/>
          <w:lang w:val="en-US"/>
        </w:rPr>
        <w:t>Prishtina</w:t>
      </w:r>
      <w:proofErr w:type="spellEnd"/>
      <w:r w:rsidRPr="00277FDE">
        <w:rPr>
          <w:i/>
          <w:sz w:val="24"/>
          <w:lang w:val="en-US"/>
        </w:rPr>
        <w:t xml:space="preserve"> as a dentist.”</w:t>
      </w:r>
    </w:p>
    <w:p w:rsidR="00142894" w:rsidRPr="00277FDE" w:rsidRDefault="00142894" w:rsidP="00277FDE">
      <w:pPr>
        <w:spacing w:line="240" w:lineRule="auto"/>
        <w:ind w:left="630"/>
        <w:rPr>
          <w:sz w:val="24"/>
          <w:lang w:val="en-US"/>
        </w:rPr>
      </w:pPr>
    </w:p>
    <w:p w:rsidR="00F454A7" w:rsidRPr="00277FDE" w:rsidRDefault="00142894" w:rsidP="00277FDE">
      <w:pPr>
        <w:numPr>
          <w:ilvl w:val="0"/>
          <w:numId w:val="1"/>
        </w:numPr>
        <w:tabs>
          <w:tab w:val="clear" w:pos="720"/>
        </w:tabs>
        <w:spacing w:line="240" w:lineRule="auto"/>
        <w:ind w:left="630" w:hanging="630"/>
        <w:rPr>
          <w:rFonts w:cs="Arial"/>
          <w:sz w:val="24"/>
          <w:lang w:val="en-US"/>
        </w:rPr>
      </w:pPr>
      <w:r w:rsidRPr="00277FDE">
        <w:rPr>
          <w:bCs/>
          <w:sz w:val="24"/>
          <w:lang w:val="en-US"/>
        </w:rPr>
        <w:t>However</w:t>
      </w:r>
      <w:r w:rsidRPr="00277FDE">
        <w:rPr>
          <w:sz w:val="24"/>
          <w:lang w:val="en-US"/>
        </w:rPr>
        <w:t xml:space="preserve">, </w:t>
      </w:r>
      <w:r w:rsidRPr="00277FDE">
        <w:rPr>
          <w:bCs/>
          <w:iCs/>
          <w:sz w:val="24"/>
          <w:lang w:val="en-US"/>
        </w:rPr>
        <w:t>in</w:t>
      </w:r>
      <w:r w:rsidRPr="00277FDE">
        <w:rPr>
          <w:bCs/>
          <w:sz w:val="24"/>
          <w:lang w:val="en-US"/>
        </w:rPr>
        <w:t xml:space="preserve"> </w:t>
      </w:r>
      <w:r w:rsidRPr="00277FDE">
        <w:rPr>
          <w:bCs/>
          <w:iCs/>
          <w:sz w:val="24"/>
          <w:lang w:val="en-US"/>
        </w:rPr>
        <w:t>providing its reasoning, the Supreme Court did not address the main question raised by the Applicant, which had been accepted by the Basic Court and the Court of Appeals, namely whether or not the Applicant’s permanent contract as a civil servant had, in fact, ever been lawfully terminated.</w:t>
      </w:r>
      <w:r w:rsidRPr="00277FDE" w:rsidDel="00142894">
        <w:rPr>
          <w:bCs/>
          <w:iCs/>
          <w:sz w:val="24"/>
          <w:lang w:val="en-US"/>
        </w:rPr>
        <w:t xml:space="preserve"> </w:t>
      </w:r>
    </w:p>
    <w:p w:rsidR="00B84FF2" w:rsidRPr="00277FDE" w:rsidRDefault="00B84FF2" w:rsidP="00277FDE">
      <w:pPr>
        <w:spacing w:line="240" w:lineRule="auto"/>
        <w:ind w:left="0"/>
        <w:rPr>
          <w:rFonts w:cs="Arial"/>
          <w:sz w:val="24"/>
          <w:lang w:val="en-US"/>
        </w:rPr>
      </w:pPr>
    </w:p>
    <w:p w:rsidR="00F454A7" w:rsidRPr="00277FDE" w:rsidRDefault="00B955C8" w:rsidP="00277FDE">
      <w:pPr>
        <w:numPr>
          <w:ilvl w:val="0"/>
          <w:numId w:val="1"/>
        </w:numPr>
        <w:tabs>
          <w:tab w:val="clear" w:pos="720"/>
        </w:tabs>
        <w:spacing w:line="240" w:lineRule="auto"/>
        <w:ind w:left="630" w:hanging="630"/>
        <w:rPr>
          <w:sz w:val="24"/>
          <w:lang w:val="en-US"/>
        </w:rPr>
      </w:pPr>
      <w:r w:rsidRPr="00277FDE">
        <w:rPr>
          <w:sz w:val="24"/>
          <w:lang w:val="en-US"/>
        </w:rPr>
        <w:t>The Court reiterates that t</w:t>
      </w:r>
      <w:r w:rsidR="00F454A7" w:rsidRPr="00277FDE">
        <w:rPr>
          <w:sz w:val="24"/>
          <w:lang w:val="en-US"/>
        </w:rPr>
        <w:t xml:space="preserve">he role of the Constitutional Court is to ensure </w:t>
      </w:r>
      <w:r w:rsidR="00F454A7" w:rsidRPr="00277FDE">
        <w:rPr>
          <w:bCs/>
          <w:iCs/>
          <w:sz w:val="24"/>
          <w:lang w:val="en-US"/>
        </w:rPr>
        <w:t>compliance</w:t>
      </w:r>
      <w:r w:rsidR="00F454A7" w:rsidRPr="00277FDE">
        <w:rPr>
          <w:sz w:val="24"/>
          <w:lang w:val="en-US"/>
        </w:rPr>
        <w:t xml:space="preserve"> with the </w:t>
      </w:r>
      <w:r w:rsidR="00842E30" w:rsidRPr="00277FDE">
        <w:rPr>
          <w:sz w:val="24"/>
          <w:lang w:val="en-US"/>
        </w:rPr>
        <w:t xml:space="preserve">fundamental </w:t>
      </w:r>
      <w:r w:rsidR="00F454A7" w:rsidRPr="00277FDE">
        <w:rPr>
          <w:sz w:val="24"/>
          <w:lang w:val="en-US"/>
        </w:rPr>
        <w:t xml:space="preserve">rights guaranteed by the Constitution and other legal instruments. Therefore, the Constitutional Court cannot act as “fourth instance court”. (See </w:t>
      </w:r>
      <w:proofErr w:type="spellStart"/>
      <w:r w:rsidR="00F454A7" w:rsidRPr="00277FDE">
        <w:rPr>
          <w:sz w:val="24"/>
          <w:lang w:val="en-US"/>
        </w:rPr>
        <w:t>ECtHR</w:t>
      </w:r>
      <w:proofErr w:type="spellEnd"/>
      <w:r w:rsidR="00F454A7" w:rsidRPr="00277FDE">
        <w:rPr>
          <w:sz w:val="24"/>
          <w:lang w:val="en-US"/>
        </w:rPr>
        <w:t xml:space="preserve"> case </w:t>
      </w:r>
      <w:proofErr w:type="spellStart"/>
      <w:r w:rsidR="00F454A7" w:rsidRPr="00277FDE">
        <w:rPr>
          <w:i/>
          <w:sz w:val="24"/>
          <w:lang w:val="en-US"/>
        </w:rPr>
        <w:t>Akdivar</w:t>
      </w:r>
      <w:proofErr w:type="spellEnd"/>
      <w:r w:rsidR="00F454A7" w:rsidRPr="00277FDE">
        <w:rPr>
          <w:i/>
          <w:sz w:val="24"/>
          <w:lang w:val="en-US"/>
        </w:rPr>
        <w:t xml:space="preserve"> v. Turkey</w:t>
      </w:r>
      <w:r w:rsidR="00F454A7" w:rsidRPr="00277FDE">
        <w:rPr>
          <w:sz w:val="24"/>
          <w:lang w:val="en-US"/>
        </w:rPr>
        <w:t xml:space="preserve">, No. 21893/93, Judgment of 16 September 1996, para. 65; see also, </w:t>
      </w:r>
      <w:r w:rsidR="00F454A7" w:rsidRPr="00277FDE">
        <w:rPr>
          <w:i/>
          <w:sz w:val="24"/>
          <w:lang w:val="en-US"/>
        </w:rPr>
        <w:t>mutatis mutandis</w:t>
      </w:r>
      <w:r w:rsidR="00F454A7" w:rsidRPr="00277FDE">
        <w:rPr>
          <w:sz w:val="24"/>
          <w:lang w:val="en-US"/>
        </w:rPr>
        <w:t xml:space="preserve">, </w:t>
      </w:r>
      <w:r w:rsidR="00F454A7" w:rsidRPr="00277FDE">
        <w:rPr>
          <w:sz w:val="24"/>
          <w:lang w:val="en-US"/>
        </w:rPr>
        <w:lastRenderedPageBreak/>
        <w:t xml:space="preserve">Constitutional Court case KI86/11, Applicant </w:t>
      </w:r>
      <w:proofErr w:type="spellStart"/>
      <w:r w:rsidR="00F454A7" w:rsidRPr="00277FDE">
        <w:rPr>
          <w:i/>
          <w:sz w:val="24"/>
          <w:lang w:val="en-US"/>
        </w:rPr>
        <w:t>Milaim</w:t>
      </w:r>
      <w:proofErr w:type="spellEnd"/>
      <w:r w:rsidR="00F454A7" w:rsidRPr="00277FDE">
        <w:rPr>
          <w:i/>
          <w:sz w:val="24"/>
          <w:lang w:val="en-US"/>
        </w:rPr>
        <w:t xml:space="preserve"> Berisha</w:t>
      </w:r>
      <w:r w:rsidR="00F454A7" w:rsidRPr="00277FDE">
        <w:rPr>
          <w:sz w:val="24"/>
          <w:lang w:val="en-US"/>
        </w:rPr>
        <w:t xml:space="preserve">, Resolution on Inadmissibility of 5 April 2012). </w:t>
      </w:r>
    </w:p>
    <w:p w:rsidR="00F454A7" w:rsidRPr="00277FDE" w:rsidRDefault="00F454A7" w:rsidP="00277FDE">
      <w:pPr>
        <w:pStyle w:val="ListParagraph"/>
        <w:spacing w:line="240" w:lineRule="auto"/>
        <w:rPr>
          <w:sz w:val="24"/>
          <w:lang w:val="en-US"/>
        </w:rPr>
      </w:pPr>
    </w:p>
    <w:p w:rsidR="00F454A7" w:rsidRPr="00277FDE" w:rsidRDefault="00F454A7" w:rsidP="00277FDE">
      <w:pPr>
        <w:numPr>
          <w:ilvl w:val="0"/>
          <w:numId w:val="1"/>
        </w:numPr>
        <w:tabs>
          <w:tab w:val="clear" w:pos="720"/>
        </w:tabs>
        <w:spacing w:line="240" w:lineRule="auto"/>
        <w:ind w:left="630" w:hanging="630"/>
        <w:rPr>
          <w:sz w:val="24"/>
          <w:lang w:val="en-US"/>
        </w:rPr>
      </w:pPr>
      <w:r w:rsidRPr="00277FDE">
        <w:rPr>
          <w:sz w:val="24"/>
          <w:lang w:val="en-US"/>
        </w:rPr>
        <w:t xml:space="preserve">In </w:t>
      </w:r>
      <w:r w:rsidRPr="00277FDE">
        <w:rPr>
          <w:bCs/>
          <w:iCs/>
          <w:sz w:val="24"/>
          <w:lang w:val="en-US"/>
        </w:rPr>
        <w:t>other</w:t>
      </w:r>
      <w:r w:rsidRPr="00277FDE">
        <w:rPr>
          <w:sz w:val="24"/>
          <w:lang w:val="en-US"/>
        </w:rPr>
        <w:t xml:space="preserve"> words, the complete determination of the factual situation and the correct </w:t>
      </w:r>
      <w:r w:rsidRPr="00277FDE">
        <w:rPr>
          <w:bCs/>
          <w:iCs/>
          <w:sz w:val="24"/>
          <w:lang w:val="en-US"/>
        </w:rPr>
        <w:t>application</w:t>
      </w:r>
      <w:r w:rsidRPr="00277FDE">
        <w:rPr>
          <w:sz w:val="24"/>
          <w:lang w:val="en-US"/>
        </w:rPr>
        <w:t xml:space="preserve"> of </w:t>
      </w:r>
      <w:r w:rsidRPr="00277FDE">
        <w:rPr>
          <w:bCs/>
          <w:iCs/>
          <w:sz w:val="24"/>
          <w:lang w:val="en-US"/>
        </w:rPr>
        <w:t>the</w:t>
      </w:r>
      <w:r w:rsidRPr="00277FDE">
        <w:rPr>
          <w:sz w:val="24"/>
          <w:lang w:val="en-US"/>
        </w:rPr>
        <w:t xml:space="preserve"> law is within the full jurisdiction of the regular courts (matter of legality). </w:t>
      </w:r>
    </w:p>
    <w:p w:rsidR="00DD14AD" w:rsidRPr="00277FDE" w:rsidRDefault="00DD14AD" w:rsidP="00277FDE">
      <w:pPr>
        <w:pStyle w:val="ListParagraph"/>
        <w:spacing w:line="240" w:lineRule="auto"/>
        <w:rPr>
          <w:sz w:val="24"/>
          <w:lang w:val="en-US"/>
        </w:rPr>
      </w:pPr>
    </w:p>
    <w:p w:rsidR="004330AC" w:rsidRPr="00277FDE" w:rsidRDefault="004330AC" w:rsidP="00277FDE">
      <w:pPr>
        <w:numPr>
          <w:ilvl w:val="0"/>
          <w:numId w:val="1"/>
        </w:numPr>
        <w:tabs>
          <w:tab w:val="clear" w:pos="720"/>
        </w:tabs>
        <w:spacing w:line="240" w:lineRule="auto"/>
        <w:ind w:left="630" w:hanging="630"/>
        <w:rPr>
          <w:sz w:val="24"/>
          <w:lang w:val="en-US"/>
        </w:rPr>
      </w:pPr>
      <w:r w:rsidRPr="00277FDE">
        <w:rPr>
          <w:sz w:val="24"/>
          <w:lang w:val="en-US"/>
        </w:rPr>
        <w:t xml:space="preserve">The Court also recalls that, according to the case law of the European Court of Human Rights (hereinafter: </w:t>
      </w:r>
      <w:proofErr w:type="spellStart"/>
      <w:r w:rsidRPr="00277FDE">
        <w:rPr>
          <w:sz w:val="24"/>
          <w:lang w:val="en-US"/>
        </w:rPr>
        <w:t>ECtHR</w:t>
      </w:r>
      <w:proofErr w:type="spellEnd"/>
      <w:r w:rsidRPr="00277FDE">
        <w:rPr>
          <w:sz w:val="24"/>
          <w:lang w:val="en-US"/>
        </w:rPr>
        <w:t>), the right to a fair hearing includes the right to a reasoned decision.</w:t>
      </w:r>
    </w:p>
    <w:p w:rsidR="00DD14AD" w:rsidRPr="00277FDE" w:rsidRDefault="00DD14AD" w:rsidP="00277FDE">
      <w:pPr>
        <w:pStyle w:val="ListParagraph"/>
        <w:spacing w:line="240" w:lineRule="auto"/>
        <w:rPr>
          <w:sz w:val="24"/>
          <w:lang w:val="en-US"/>
        </w:rPr>
      </w:pPr>
    </w:p>
    <w:p w:rsidR="004330AC" w:rsidRPr="00277FDE" w:rsidRDefault="004330AC" w:rsidP="00277FDE">
      <w:pPr>
        <w:numPr>
          <w:ilvl w:val="0"/>
          <w:numId w:val="1"/>
        </w:numPr>
        <w:tabs>
          <w:tab w:val="clear" w:pos="720"/>
        </w:tabs>
        <w:spacing w:line="240" w:lineRule="auto"/>
        <w:ind w:left="630" w:hanging="630"/>
        <w:rPr>
          <w:sz w:val="24"/>
          <w:lang w:val="en-US"/>
        </w:rPr>
      </w:pPr>
      <w:r w:rsidRPr="00277FDE">
        <w:rPr>
          <w:sz w:val="24"/>
          <w:lang w:val="en-US"/>
        </w:rPr>
        <w:t xml:space="preserve">According to its established case-law, the </w:t>
      </w:r>
      <w:proofErr w:type="spellStart"/>
      <w:r w:rsidRPr="00277FDE">
        <w:rPr>
          <w:sz w:val="24"/>
          <w:lang w:val="en-US"/>
        </w:rPr>
        <w:t>ECtHR</w:t>
      </w:r>
      <w:proofErr w:type="spellEnd"/>
      <w:r w:rsidRPr="00277FDE">
        <w:rPr>
          <w:sz w:val="24"/>
          <w:lang w:val="en-US"/>
        </w:rPr>
        <w:t xml:space="preserve"> considers that based on the principles of the proper administration of justice, the decisions of courts and tribunals should adequately state the reasons on which they are based. (See </w:t>
      </w:r>
      <w:proofErr w:type="spellStart"/>
      <w:r w:rsidRPr="00277FDE">
        <w:rPr>
          <w:sz w:val="24"/>
          <w:lang w:val="en-US"/>
        </w:rPr>
        <w:t>Tatishvili</w:t>
      </w:r>
      <w:proofErr w:type="spellEnd"/>
      <w:r w:rsidRPr="00277FDE">
        <w:rPr>
          <w:sz w:val="24"/>
          <w:lang w:val="en-US"/>
        </w:rPr>
        <w:t xml:space="preserve"> v Russia, </w:t>
      </w:r>
      <w:proofErr w:type="spellStart"/>
      <w:r w:rsidRPr="00277FDE">
        <w:rPr>
          <w:sz w:val="24"/>
          <w:lang w:val="en-US"/>
        </w:rPr>
        <w:t>ECtHR</w:t>
      </w:r>
      <w:proofErr w:type="spellEnd"/>
      <w:r w:rsidRPr="00277FDE">
        <w:rPr>
          <w:sz w:val="24"/>
          <w:lang w:val="en-US"/>
        </w:rPr>
        <w:t xml:space="preserve">, application no. 1509/02, Judgment of 22 February 2007, paragraph 58; </w:t>
      </w:r>
      <w:proofErr w:type="spellStart"/>
      <w:r w:rsidRPr="00277FDE">
        <w:rPr>
          <w:sz w:val="24"/>
          <w:lang w:val="en-US"/>
        </w:rPr>
        <w:t>Hiro</w:t>
      </w:r>
      <w:proofErr w:type="spellEnd"/>
      <w:r w:rsidRPr="00277FDE">
        <w:rPr>
          <w:sz w:val="24"/>
          <w:lang w:val="en-US"/>
        </w:rPr>
        <w:t xml:space="preserve"> </w:t>
      </w:r>
      <w:proofErr w:type="spellStart"/>
      <w:r w:rsidRPr="00277FDE">
        <w:rPr>
          <w:sz w:val="24"/>
          <w:lang w:val="en-US"/>
        </w:rPr>
        <w:t>Balani</w:t>
      </w:r>
      <w:proofErr w:type="spellEnd"/>
      <w:r w:rsidRPr="00277FDE">
        <w:rPr>
          <w:sz w:val="24"/>
          <w:lang w:val="en-US"/>
        </w:rPr>
        <w:t xml:space="preserve"> v. Spain, </w:t>
      </w:r>
      <w:proofErr w:type="spellStart"/>
      <w:r w:rsidRPr="00277FDE">
        <w:rPr>
          <w:sz w:val="24"/>
          <w:lang w:val="en-US"/>
        </w:rPr>
        <w:t>ECtHR</w:t>
      </w:r>
      <w:proofErr w:type="spellEnd"/>
      <w:r w:rsidRPr="00277FDE">
        <w:rPr>
          <w:sz w:val="24"/>
          <w:lang w:val="en-US"/>
        </w:rPr>
        <w:t xml:space="preserve">, application no. 18064/91, Judgment of 9 December 1994, </w:t>
      </w:r>
      <w:proofErr w:type="spellStart"/>
      <w:r w:rsidRPr="00277FDE">
        <w:rPr>
          <w:sz w:val="24"/>
          <w:lang w:val="en-US"/>
        </w:rPr>
        <w:t>prg</w:t>
      </w:r>
      <w:proofErr w:type="spellEnd"/>
      <w:r w:rsidRPr="00277FDE">
        <w:rPr>
          <w:sz w:val="24"/>
          <w:lang w:val="en-US"/>
        </w:rPr>
        <w:t xml:space="preserve"> 27; Higgins and Others v. France, </w:t>
      </w:r>
      <w:proofErr w:type="spellStart"/>
      <w:r w:rsidRPr="00277FDE">
        <w:rPr>
          <w:sz w:val="24"/>
          <w:lang w:val="en-US"/>
        </w:rPr>
        <w:t>ECtHR</w:t>
      </w:r>
      <w:proofErr w:type="spellEnd"/>
      <w:r w:rsidRPr="00277FDE">
        <w:rPr>
          <w:sz w:val="24"/>
          <w:lang w:val="en-US"/>
        </w:rPr>
        <w:t>, application no. 134/1996/753/952, Judgment of 19 February 1998, para. 42).</w:t>
      </w:r>
    </w:p>
    <w:p w:rsidR="00B955C8" w:rsidRPr="00277FDE" w:rsidRDefault="00B955C8" w:rsidP="00277FDE">
      <w:pPr>
        <w:spacing w:line="240" w:lineRule="auto"/>
        <w:ind w:left="0"/>
        <w:rPr>
          <w:sz w:val="24"/>
          <w:lang w:val="en-US"/>
        </w:rPr>
      </w:pPr>
    </w:p>
    <w:p w:rsidR="00995AE4" w:rsidRPr="00277FDE" w:rsidRDefault="00FE237C" w:rsidP="00277FDE">
      <w:pPr>
        <w:numPr>
          <w:ilvl w:val="0"/>
          <w:numId w:val="1"/>
        </w:numPr>
        <w:tabs>
          <w:tab w:val="clear" w:pos="720"/>
        </w:tabs>
        <w:spacing w:line="240" w:lineRule="auto"/>
        <w:ind w:left="630" w:hanging="630"/>
        <w:rPr>
          <w:color w:val="000000"/>
          <w:sz w:val="24"/>
          <w:lang w:val="en-US"/>
        </w:rPr>
      </w:pPr>
      <w:r w:rsidRPr="00277FDE">
        <w:rPr>
          <w:sz w:val="24"/>
          <w:lang w:val="en-US"/>
        </w:rPr>
        <w:t xml:space="preserve">However, in the present Referral, the Court considers that the reasoning provided by the Supreme Court has failed to clarify why the </w:t>
      </w:r>
      <w:r w:rsidRPr="00277FDE">
        <w:rPr>
          <w:bCs/>
          <w:sz w:val="24"/>
          <w:lang w:val="en-US"/>
        </w:rPr>
        <w:t xml:space="preserve">UNMIK Regulation </w:t>
      </w:r>
      <w:r w:rsidRPr="00277FDE">
        <w:rPr>
          <w:sz w:val="24"/>
          <w:lang w:val="en-US"/>
        </w:rPr>
        <w:t>No. 2001/36 on the Civil Service of Kosovo, and UNMIK Administrative Instruction No. 2003/2 on the Application of UNMIK Regulation No. 2001/36, did not apply to the Applicant’s case</w:t>
      </w:r>
      <w:r w:rsidR="00995AE4" w:rsidRPr="00277FDE">
        <w:rPr>
          <w:sz w:val="24"/>
          <w:lang w:val="en-US"/>
        </w:rPr>
        <w:t xml:space="preserve">. </w:t>
      </w:r>
    </w:p>
    <w:p w:rsidR="00995AE4" w:rsidRPr="00277FDE" w:rsidRDefault="00995AE4" w:rsidP="00277FDE">
      <w:pPr>
        <w:pStyle w:val="ListParagraph"/>
        <w:spacing w:line="240" w:lineRule="auto"/>
        <w:rPr>
          <w:sz w:val="24"/>
          <w:lang w:val="en-US"/>
        </w:rPr>
      </w:pPr>
    </w:p>
    <w:p w:rsidR="00B955C8" w:rsidRPr="00277FDE" w:rsidRDefault="00995AE4" w:rsidP="00277FDE">
      <w:pPr>
        <w:numPr>
          <w:ilvl w:val="0"/>
          <w:numId w:val="1"/>
        </w:numPr>
        <w:tabs>
          <w:tab w:val="clear" w:pos="720"/>
        </w:tabs>
        <w:spacing w:line="240" w:lineRule="auto"/>
        <w:ind w:left="630" w:hanging="630"/>
        <w:rPr>
          <w:color w:val="000000"/>
          <w:sz w:val="24"/>
          <w:lang w:val="en-US"/>
        </w:rPr>
      </w:pPr>
      <w:r w:rsidRPr="00277FDE">
        <w:rPr>
          <w:sz w:val="24"/>
          <w:lang w:val="en-US"/>
        </w:rPr>
        <w:t xml:space="preserve">Furthermore, the Court considers that the Supreme Court failed to explain why the </w:t>
      </w:r>
      <w:r w:rsidRPr="00277FDE">
        <w:rPr>
          <w:bCs/>
          <w:sz w:val="24"/>
          <w:lang w:val="en-US"/>
        </w:rPr>
        <w:t>Administrative Instruction (Health) 17/2000 applied, instead the UNMIK Regulation, and how this Administrative Instruction and the “Employment Contract of Specialists” signed by the Applicant effectively constituted a lawful termination of her permanent civil service contract.</w:t>
      </w:r>
    </w:p>
    <w:p w:rsidR="00DD14AD" w:rsidRPr="00277FDE" w:rsidRDefault="00DD14AD" w:rsidP="00277FDE">
      <w:pPr>
        <w:pStyle w:val="ListParagraph"/>
        <w:spacing w:line="240" w:lineRule="auto"/>
        <w:rPr>
          <w:color w:val="000000"/>
          <w:sz w:val="24"/>
          <w:lang w:val="en-US"/>
        </w:rPr>
      </w:pPr>
    </w:p>
    <w:p w:rsidR="004330AC" w:rsidRPr="00277FDE" w:rsidRDefault="004330AC" w:rsidP="00277FDE">
      <w:pPr>
        <w:numPr>
          <w:ilvl w:val="0"/>
          <w:numId w:val="1"/>
        </w:numPr>
        <w:tabs>
          <w:tab w:val="clear" w:pos="720"/>
        </w:tabs>
        <w:spacing w:line="240" w:lineRule="auto"/>
        <w:ind w:left="630" w:hanging="630"/>
        <w:rPr>
          <w:sz w:val="24"/>
          <w:lang w:val="en-US"/>
        </w:rPr>
      </w:pPr>
      <w:r w:rsidRPr="00277FDE">
        <w:rPr>
          <w:sz w:val="24"/>
          <w:lang w:val="en-US"/>
        </w:rPr>
        <w:t xml:space="preserve">The Court reiterates that the right to obtain a court decision in conformity with the law includes the obligation for the courts to provide reasons for their rulings with reasonable grounds at both procedural and substantive level. (See case </w:t>
      </w:r>
      <w:r w:rsidRPr="00277FDE">
        <w:rPr>
          <w:i/>
          <w:iCs/>
          <w:sz w:val="24"/>
          <w:lang w:val="en-US"/>
        </w:rPr>
        <w:t>IKK Classic</w:t>
      </w:r>
      <w:r w:rsidRPr="00277FDE">
        <w:rPr>
          <w:sz w:val="24"/>
          <w:lang w:val="en-US"/>
        </w:rPr>
        <w:t xml:space="preserve">, Judgment of 9 February 2016, paragraph 54). </w:t>
      </w:r>
    </w:p>
    <w:p w:rsidR="00421083" w:rsidRPr="00277FDE" w:rsidRDefault="00421083" w:rsidP="00277FDE">
      <w:pPr>
        <w:spacing w:line="240" w:lineRule="auto"/>
        <w:ind w:left="0"/>
        <w:rPr>
          <w:color w:val="000000"/>
          <w:sz w:val="24"/>
          <w:lang w:val="en-US"/>
        </w:rPr>
      </w:pPr>
    </w:p>
    <w:p w:rsidR="00995AE4" w:rsidRPr="00277FDE" w:rsidRDefault="00995AE4" w:rsidP="00277FDE">
      <w:pPr>
        <w:numPr>
          <w:ilvl w:val="0"/>
          <w:numId w:val="1"/>
        </w:numPr>
        <w:tabs>
          <w:tab w:val="clear" w:pos="720"/>
        </w:tabs>
        <w:spacing w:line="240" w:lineRule="auto"/>
        <w:ind w:left="630" w:hanging="630"/>
        <w:rPr>
          <w:sz w:val="24"/>
          <w:lang w:val="en-US"/>
        </w:rPr>
      </w:pPr>
      <w:r w:rsidRPr="00277FDE">
        <w:rPr>
          <w:sz w:val="24"/>
          <w:lang w:val="en-US"/>
        </w:rPr>
        <w:t>In these circumstances, the Court considers that</w:t>
      </w:r>
      <w:r w:rsidR="00277FDE" w:rsidRPr="00277FDE">
        <w:rPr>
          <w:sz w:val="24"/>
          <w:lang w:val="en-US"/>
        </w:rPr>
        <w:t xml:space="preserve"> </w:t>
      </w:r>
      <w:r w:rsidRPr="00277FDE">
        <w:rPr>
          <w:sz w:val="24"/>
          <w:lang w:val="en-US"/>
        </w:rPr>
        <w:t>the Supreme Court</w:t>
      </w:r>
      <w:r w:rsidR="004330AC" w:rsidRPr="00277FDE">
        <w:rPr>
          <w:sz w:val="24"/>
          <w:lang w:val="en-US"/>
        </w:rPr>
        <w:t xml:space="preserve"> has failed to adequately reason </w:t>
      </w:r>
      <w:proofErr w:type="gramStart"/>
      <w:r w:rsidR="004330AC" w:rsidRPr="00277FDE">
        <w:rPr>
          <w:sz w:val="24"/>
          <w:lang w:val="en-US"/>
        </w:rPr>
        <w:t>it’s</w:t>
      </w:r>
      <w:proofErr w:type="gramEnd"/>
      <w:r w:rsidR="004330AC" w:rsidRPr="00277FDE">
        <w:rPr>
          <w:sz w:val="24"/>
          <w:lang w:val="en-US"/>
        </w:rPr>
        <w:t xml:space="preserve"> decision regarding the relationship between the Applicant’s employment status and the relevant applicable legislation, as required by the right to a fair trial.</w:t>
      </w:r>
      <w:r w:rsidR="00277FDE" w:rsidRPr="00277FDE">
        <w:rPr>
          <w:sz w:val="24"/>
          <w:lang w:val="en-US"/>
        </w:rPr>
        <w:t xml:space="preserve"> </w:t>
      </w:r>
    </w:p>
    <w:p w:rsidR="00995AE4" w:rsidRPr="00277FDE" w:rsidRDefault="00995AE4" w:rsidP="00277FDE">
      <w:pPr>
        <w:pStyle w:val="ListParagraph"/>
        <w:spacing w:line="240" w:lineRule="auto"/>
        <w:rPr>
          <w:sz w:val="24"/>
          <w:lang w:val="en-US"/>
        </w:rPr>
      </w:pPr>
    </w:p>
    <w:p w:rsidR="00995AE4" w:rsidRPr="00277FDE" w:rsidRDefault="00995AE4" w:rsidP="00277FDE">
      <w:pPr>
        <w:numPr>
          <w:ilvl w:val="0"/>
          <w:numId w:val="1"/>
        </w:numPr>
        <w:tabs>
          <w:tab w:val="clear" w:pos="720"/>
        </w:tabs>
        <w:spacing w:line="240" w:lineRule="auto"/>
        <w:ind w:left="630" w:hanging="630"/>
        <w:rPr>
          <w:sz w:val="24"/>
          <w:lang w:val="en-US"/>
        </w:rPr>
      </w:pPr>
      <w:r w:rsidRPr="00277FDE">
        <w:rPr>
          <w:sz w:val="24"/>
          <w:lang w:val="en-US"/>
        </w:rPr>
        <w:t xml:space="preserve">The Court </w:t>
      </w:r>
      <w:r w:rsidRPr="00277FDE">
        <w:rPr>
          <w:bCs/>
          <w:sz w:val="24"/>
          <w:lang w:val="en-US"/>
        </w:rPr>
        <w:t>further</w:t>
      </w:r>
      <w:r w:rsidRPr="00277FDE">
        <w:rPr>
          <w:sz w:val="24"/>
          <w:lang w:val="en-US"/>
        </w:rPr>
        <w:t xml:space="preserve"> considers that, in these circumstances, the Applicant has been deprived of her right to fair and impartial trial under Article 31 of the Constitution and Article 6 of the ECHR, and to be reinstated in her employment position as a dentist in the Health House of </w:t>
      </w:r>
      <w:proofErr w:type="spellStart"/>
      <w:r w:rsidRPr="00277FDE">
        <w:rPr>
          <w:sz w:val="24"/>
          <w:lang w:val="en-US"/>
        </w:rPr>
        <w:t>Prishtina</w:t>
      </w:r>
      <w:proofErr w:type="spellEnd"/>
      <w:r w:rsidRPr="00277FDE">
        <w:rPr>
          <w:sz w:val="24"/>
          <w:lang w:val="en-US"/>
        </w:rPr>
        <w:t xml:space="preserve">. </w:t>
      </w:r>
    </w:p>
    <w:p w:rsidR="00995AE4" w:rsidRPr="00277FDE" w:rsidRDefault="00995AE4" w:rsidP="00277FDE">
      <w:pPr>
        <w:pStyle w:val="ListParagraph"/>
        <w:spacing w:line="240" w:lineRule="auto"/>
        <w:rPr>
          <w:sz w:val="24"/>
          <w:lang w:val="en-US"/>
        </w:rPr>
      </w:pPr>
    </w:p>
    <w:p w:rsidR="00995AE4" w:rsidRPr="00277FDE" w:rsidRDefault="00995AE4" w:rsidP="00277FDE">
      <w:pPr>
        <w:numPr>
          <w:ilvl w:val="0"/>
          <w:numId w:val="1"/>
        </w:numPr>
        <w:tabs>
          <w:tab w:val="clear" w:pos="720"/>
        </w:tabs>
        <w:spacing w:line="240" w:lineRule="auto"/>
        <w:ind w:left="630" w:hanging="630"/>
        <w:rPr>
          <w:sz w:val="24"/>
          <w:lang w:val="en-US"/>
        </w:rPr>
      </w:pPr>
      <w:r w:rsidRPr="00277FDE">
        <w:rPr>
          <w:sz w:val="24"/>
          <w:lang w:val="en-US"/>
        </w:rPr>
        <w:t>Therefore</w:t>
      </w:r>
      <w:r w:rsidRPr="00277FDE">
        <w:rPr>
          <w:rFonts w:eastAsia="Calibri"/>
          <w:sz w:val="24"/>
          <w:lang w:val="en-US"/>
        </w:rPr>
        <w:t xml:space="preserve">, </w:t>
      </w:r>
      <w:r w:rsidRPr="00277FDE">
        <w:rPr>
          <w:bCs/>
          <w:sz w:val="24"/>
          <w:lang w:val="en-US"/>
        </w:rPr>
        <w:t>the</w:t>
      </w:r>
      <w:r w:rsidRPr="00277FDE">
        <w:rPr>
          <w:rFonts w:eastAsia="Calibri"/>
          <w:sz w:val="24"/>
          <w:lang w:val="en-US"/>
        </w:rPr>
        <w:t xml:space="preserve"> Court finds that there has been a violation of Article 31 (2) of the </w:t>
      </w:r>
      <w:r w:rsidRPr="00277FDE">
        <w:rPr>
          <w:rFonts w:cs="Georgia"/>
          <w:bCs/>
          <w:sz w:val="24"/>
          <w:lang w:val="en-US"/>
        </w:rPr>
        <w:t>Const</w:t>
      </w:r>
      <w:r w:rsidRPr="00277FDE">
        <w:rPr>
          <w:sz w:val="24"/>
          <w:lang w:val="en-US"/>
        </w:rPr>
        <w:t>i</w:t>
      </w:r>
      <w:r w:rsidRPr="00277FDE">
        <w:rPr>
          <w:rFonts w:cs="Georgia"/>
          <w:bCs/>
          <w:sz w:val="24"/>
          <w:lang w:val="en-US"/>
        </w:rPr>
        <w:t>tution</w:t>
      </w:r>
      <w:r w:rsidRPr="00277FDE">
        <w:rPr>
          <w:rFonts w:eastAsia="Calibri"/>
          <w:sz w:val="24"/>
          <w:lang w:val="en-US"/>
        </w:rPr>
        <w:t>, in conjunction with Article 6 (1) of the ECHR.</w:t>
      </w:r>
    </w:p>
    <w:p w:rsidR="00421083" w:rsidRPr="00277FDE" w:rsidRDefault="00421083" w:rsidP="00277FDE">
      <w:pPr>
        <w:pStyle w:val="ListParagraph"/>
        <w:spacing w:line="240" w:lineRule="auto"/>
        <w:rPr>
          <w:color w:val="000000"/>
          <w:sz w:val="24"/>
          <w:lang w:val="en-US"/>
        </w:rPr>
      </w:pPr>
    </w:p>
    <w:p w:rsidR="00421083" w:rsidRPr="00277FDE" w:rsidRDefault="00421083" w:rsidP="00277FDE">
      <w:pPr>
        <w:numPr>
          <w:ilvl w:val="0"/>
          <w:numId w:val="1"/>
        </w:numPr>
        <w:tabs>
          <w:tab w:val="clear" w:pos="720"/>
        </w:tabs>
        <w:spacing w:line="240" w:lineRule="auto"/>
        <w:ind w:left="630" w:hanging="630"/>
        <w:rPr>
          <w:color w:val="000000"/>
          <w:sz w:val="24"/>
          <w:lang w:val="en-US"/>
        </w:rPr>
      </w:pPr>
      <w:r w:rsidRPr="00277FDE">
        <w:rPr>
          <w:color w:val="000000"/>
          <w:sz w:val="24"/>
          <w:lang w:val="en-US"/>
        </w:rPr>
        <w:t xml:space="preserve">The </w:t>
      </w:r>
      <w:r w:rsidRPr="00277FDE">
        <w:rPr>
          <w:sz w:val="24"/>
          <w:lang w:val="en-US"/>
        </w:rPr>
        <w:t>Court</w:t>
      </w:r>
      <w:r w:rsidRPr="00277FDE">
        <w:rPr>
          <w:color w:val="000000"/>
          <w:sz w:val="24"/>
          <w:lang w:val="en-US"/>
        </w:rPr>
        <w:t xml:space="preserve"> recalls that the Applicant also alleges that, by determining that the Administrative </w:t>
      </w:r>
      <w:r w:rsidRPr="00277FDE">
        <w:rPr>
          <w:bCs/>
          <w:iCs/>
          <w:sz w:val="24"/>
          <w:lang w:val="en-US"/>
        </w:rPr>
        <w:t>Instruction</w:t>
      </w:r>
      <w:r w:rsidRPr="00277FDE">
        <w:rPr>
          <w:color w:val="000000"/>
          <w:sz w:val="24"/>
          <w:lang w:val="en-US"/>
        </w:rPr>
        <w:t xml:space="preserve"> (Health) 17/2000 applied to the Applicant’s case, </w:t>
      </w:r>
      <w:r w:rsidRPr="00277FDE">
        <w:rPr>
          <w:color w:val="000000"/>
          <w:sz w:val="24"/>
          <w:lang w:val="en-US"/>
        </w:rPr>
        <w:lastRenderedPageBreak/>
        <w:t xml:space="preserve">the Supreme Court unfairly </w:t>
      </w:r>
      <w:proofErr w:type="spellStart"/>
      <w:r w:rsidRPr="00277FDE">
        <w:rPr>
          <w:color w:val="000000"/>
          <w:sz w:val="24"/>
          <w:lang w:val="en-US"/>
        </w:rPr>
        <w:t>favoured</w:t>
      </w:r>
      <w:proofErr w:type="spellEnd"/>
      <w:r w:rsidRPr="00277FDE">
        <w:rPr>
          <w:color w:val="000000"/>
          <w:sz w:val="24"/>
          <w:lang w:val="en-US"/>
        </w:rPr>
        <w:t xml:space="preserve"> the opposing party to the disadvantage of the Applicant. The Applicant alleged that this constituted a violation of her right to equality before the law, as protected by Article 24 of the Constitution.</w:t>
      </w:r>
    </w:p>
    <w:p w:rsidR="0060114E" w:rsidRPr="00277FDE" w:rsidRDefault="0060114E" w:rsidP="00277FDE">
      <w:pPr>
        <w:pStyle w:val="ListParagraph"/>
        <w:spacing w:line="240" w:lineRule="auto"/>
        <w:rPr>
          <w:color w:val="000000"/>
          <w:sz w:val="24"/>
          <w:lang w:val="en-US"/>
        </w:rPr>
      </w:pPr>
    </w:p>
    <w:p w:rsidR="0060114E" w:rsidRPr="00277FDE" w:rsidRDefault="0060114E" w:rsidP="00277FDE">
      <w:pPr>
        <w:numPr>
          <w:ilvl w:val="0"/>
          <w:numId w:val="1"/>
        </w:numPr>
        <w:tabs>
          <w:tab w:val="clear" w:pos="720"/>
        </w:tabs>
        <w:spacing w:line="240" w:lineRule="auto"/>
        <w:ind w:left="630" w:hanging="630"/>
        <w:rPr>
          <w:sz w:val="24"/>
          <w:lang w:val="en-US"/>
        </w:rPr>
      </w:pPr>
      <w:r w:rsidRPr="00277FDE">
        <w:rPr>
          <w:sz w:val="24"/>
          <w:lang w:val="en-US"/>
        </w:rPr>
        <w:t xml:space="preserve">The Court recalls that the Applicant also alleges that by refusing the Applicant’s access to her </w:t>
      </w:r>
      <w:r w:rsidRPr="00277FDE">
        <w:rPr>
          <w:bCs/>
          <w:iCs/>
          <w:sz w:val="24"/>
          <w:lang w:val="en-US"/>
        </w:rPr>
        <w:t>previous</w:t>
      </w:r>
      <w:r w:rsidRPr="00277FDE">
        <w:rPr>
          <w:sz w:val="24"/>
          <w:lang w:val="en-US"/>
        </w:rPr>
        <w:t xml:space="preserve"> place of employment, the regular courts have violated her right to work as protected by Article 49 of the Constitution. </w:t>
      </w:r>
    </w:p>
    <w:p w:rsidR="0060114E" w:rsidRPr="00277FDE" w:rsidRDefault="0060114E" w:rsidP="00277FDE">
      <w:pPr>
        <w:spacing w:line="240" w:lineRule="auto"/>
        <w:ind w:left="0"/>
        <w:rPr>
          <w:sz w:val="24"/>
          <w:lang w:val="en-US"/>
        </w:rPr>
      </w:pPr>
    </w:p>
    <w:p w:rsidR="0060114E" w:rsidRPr="00277FDE" w:rsidRDefault="0060114E" w:rsidP="00277FDE">
      <w:pPr>
        <w:numPr>
          <w:ilvl w:val="0"/>
          <w:numId w:val="1"/>
        </w:numPr>
        <w:tabs>
          <w:tab w:val="clear" w:pos="720"/>
        </w:tabs>
        <w:spacing w:line="240" w:lineRule="auto"/>
        <w:ind w:left="630" w:hanging="630"/>
        <w:rPr>
          <w:color w:val="000000"/>
          <w:sz w:val="24"/>
          <w:lang w:val="en-US"/>
        </w:rPr>
      </w:pPr>
      <w:r w:rsidRPr="00277FDE">
        <w:rPr>
          <w:sz w:val="24"/>
          <w:lang w:val="en-US"/>
        </w:rPr>
        <w:t xml:space="preserve">Having found a violation of the Applicant’s right to a fair and impartial trial under Article 31 of the Constitution, in conjunction with Article 6 of the ECHR, the Court does not consider it necessary to examine the Applicant’s further allegations in relation to </w:t>
      </w:r>
      <w:r w:rsidRPr="00277FDE">
        <w:rPr>
          <w:bCs/>
          <w:color w:val="000000"/>
          <w:sz w:val="24"/>
          <w:lang w:val="en-US"/>
        </w:rPr>
        <w:t xml:space="preserve">Articles </w:t>
      </w:r>
      <w:r w:rsidRPr="00277FDE">
        <w:rPr>
          <w:color w:val="000000"/>
          <w:sz w:val="24"/>
          <w:lang w:val="en-US"/>
        </w:rPr>
        <w:t>24 [Equality Before the Law] and 49 [Right to Work and Exercise Profession] of the Constitution.</w:t>
      </w:r>
    </w:p>
    <w:p w:rsidR="00995AE4" w:rsidRPr="00277FDE" w:rsidRDefault="00995AE4" w:rsidP="00277FDE">
      <w:pPr>
        <w:spacing w:line="240" w:lineRule="auto"/>
        <w:ind w:left="0"/>
        <w:rPr>
          <w:sz w:val="24"/>
          <w:lang w:val="en-US"/>
        </w:rPr>
      </w:pPr>
    </w:p>
    <w:p w:rsidR="00995AE4" w:rsidRPr="00277FDE" w:rsidRDefault="00995AE4" w:rsidP="00277FDE">
      <w:pPr>
        <w:spacing w:line="240" w:lineRule="auto"/>
        <w:ind w:left="630"/>
        <w:rPr>
          <w:b/>
          <w:sz w:val="24"/>
          <w:lang w:val="en-US"/>
        </w:rPr>
      </w:pPr>
      <w:r w:rsidRPr="00277FDE">
        <w:rPr>
          <w:b/>
          <w:sz w:val="24"/>
          <w:lang w:val="en-US"/>
        </w:rPr>
        <w:t>Conclusion</w:t>
      </w:r>
    </w:p>
    <w:p w:rsidR="00995AE4" w:rsidRPr="00277FDE" w:rsidRDefault="00995AE4" w:rsidP="00277FDE">
      <w:pPr>
        <w:spacing w:line="240" w:lineRule="auto"/>
        <w:ind w:left="630"/>
        <w:rPr>
          <w:sz w:val="24"/>
          <w:lang w:val="en-US"/>
        </w:rPr>
      </w:pPr>
    </w:p>
    <w:p w:rsidR="00995AE4" w:rsidRPr="00277FDE" w:rsidRDefault="00995AE4" w:rsidP="00277FDE">
      <w:pPr>
        <w:numPr>
          <w:ilvl w:val="0"/>
          <w:numId w:val="1"/>
        </w:numPr>
        <w:tabs>
          <w:tab w:val="clear" w:pos="720"/>
        </w:tabs>
        <w:spacing w:line="240" w:lineRule="auto"/>
        <w:ind w:left="630" w:hanging="630"/>
        <w:rPr>
          <w:sz w:val="24"/>
          <w:lang w:val="en-US"/>
        </w:rPr>
      </w:pPr>
      <w:r w:rsidRPr="00277FDE">
        <w:rPr>
          <w:sz w:val="24"/>
          <w:lang w:val="en-US"/>
        </w:rPr>
        <w:t xml:space="preserve">The Court finds that </w:t>
      </w:r>
      <w:r w:rsidRPr="00277FDE">
        <w:rPr>
          <w:rFonts w:eastAsia="Calibri"/>
          <w:sz w:val="24"/>
          <w:lang w:val="en-US"/>
        </w:rPr>
        <w:t xml:space="preserve">that there has been a violation of Article 31 (2) of the </w:t>
      </w:r>
      <w:r w:rsidRPr="00277FDE">
        <w:rPr>
          <w:sz w:val="24"/>
          <w:lang w:val="en-US"/>
        </w:rPr>
        <w:t>Constitution</w:t>
      </w:r>
      <w:r w:rsidRPr="00277FDE">
        <w:rPr>
          <w:rFonts w:eastAsia="Calibri"/>
          <w:sz w:val="24"/>
          <w:lang w:val="en-US"/>
        </w:rPr>
        <w:t>, in conjunction with Article 6 (1) of the ECHR.</w:t>
      </w:r>
    </w:p>
    <w:p w:rsidR="000366EE" w:rsidRPr="00277FDE" w:rsidRDefault="000366EE" w:rsidP="00277FDE">
      <w:pPr>
        <w:pStyle w:val="ListParagraph"/>
        <w:spacing w:line="240" w:lineRule="auto"/>
        <w:contextualSpacing/>
        <w:rPr>
          <w:sz w:val="24"/>
          <w:lang w:val="en-US"/>
        </w:rPr>
      </w:pPr>
    </w:p>
    <w:p w:rsidR="00995AE4" w:rsidRPr="00277FDE" w:rsidRDefault="0060114E" w:rsidP="00277FDE">
      <w:pPr>
        <w:numPr>
          <w:ilvl w:val="0"/>
          <w:numId w:val="1"/>
        </w:numPr>
        <w:tabs>
          <w:tab w:val="clear" w:pos="720"/>
        </w:tabs>
        <w:spacing w:line="240" w:lineRule="auto"/>
        <w:ind w:left="630" w:hanging="630"/>
        <w:rPr>
          <w:sz w:val="24"/>
          <w:lang w:val="en-US"/>
        </w:rPr>
      </w:pPr>
      <w:r w:rsidRPr="00277FDE">
        <w:rPr>
          <w:sz w:val="24"/>
          <w:lang w:val="en-US"/>
        </w:rPr>
        <w:t xml:space="preserve">Having found a violation of the Applicant’s right to a fair and impartial trial under Article 31 of the Constitution, the Court does not consider it necessary to examine the Applicant’s further allegations in relation to </w:t>
      </w:r>
      <w:r w:rsidRPr="00277FDE">
        <w:rPr>
          <w:bCs/>
          <w:color w:val="000000"/>
          <w:sz w:val="24"/>
          <w:lang w:val="en-US"/>
        </w:rPr>
        <w:t xml:space="preserve">Articles </w:t>
      </w:r>
      <w:r w:rsidRPr="00277FDE">
        <w:rPr>
          <w:color w:val="000000"/>
          <w:sz w:val="24"/>
          <w:lang w:val="en-US"/>
        </w:rPr>
        <w:t>24 and 49 of the Constitution.</w:t>
      </w:r>
    </w:p>
    <w:p w:rsidR="00F454A7" w:rsidRPr="00277FDE" w:rsidRDefault="00F454A7" w:rsidP="00277FDE">
      <w:pPr>
        <w:pStyle w:val="ListParagraph"/>
        <w:spacing w:line="240" w:lineRule="auto"/>
        <w:ind w:left="567"/>
        <w:rPr>
          <w:sz w:val="24"/>
          <w:lang w:val="en-US"/>
        </w:rPr>
      </w:pPr>
    </w:p>
    <w:p w:rsidR="00B57BEF" w:rsidRPr="00277FDE" w:rsidRDefault="00B57BEF" w:rsidP="00277FDE">
      <w:pPr>
        <w:spacing w:line="240" w:lineRule="auto"/>
        <w:ind w:left="0"/>
        <w:jc w:val="left"/>
        <w:rPr>
          <w:b/>
          <w:sz w:val="24"/>
          <w:lang w:val="en-US"/>
        </w:rPr>
      </w:pPr>
      <w:r w:rsidRPr="00277FDE">
        <w:rPr>
          <w:b/>
          <w:sz w:val="24"/>
          <w:lang w:val="en-US"/>
        </w:rPr>
        <w:br w:type="page"/>
      </w:r>
    </w:p>
    <w:p w:rsidR="00F454A7" w:rsidRPr="00277FDE" w:rsidRDefault="00F454A7" w:rsidP="00277FDE">
      <w:pPr>
        <w:spacing w:line="240" w:lineRule="auto"/>
        <w:ind w:left="0"/>
        <w:jc w:val="center"/>
        <w:rPr>
          <w:b/>
          <w:sz w:val="24"/>
          <w:lang w:val="en-US"/>
        </w:rPr>
      </w:pPr>
      <w:r w:rsidRPr="00277FDE">
        <w:rPr>
          <w:b/>
          <w:sz w:val="24"/>
          <w:lang w:val="en-US"/>
        </w:rPr>
        <w:lastRenderedPageBreak/>
        <w:t>FOR THESE REASONS</w:t>
      </w:r>
    </w:p>
    <w:p w:rsidR="00F454A7" w:rsidRPr="00277FDE" w:rsidRDefault="00F454A7" w:rsidP="00277FDE">
      <w:pPr>
        <w:spacing w:line="240" w:lineRule="auto"/>
        <w:rPr>
          <w:sz w:val="24"/>
          <w:lang w:val="en-US"/>
        </w:rPr>
      </w:pPr>
    </w:p>
    <w:p w:rsidR="00F454A7" w:rsidRPr="00277FDE" w:rsidRDefault="00F454A7" w:rsidP="00277FDE">
      <w:pPr>
        <w:tabs>
          <w:tab w:val="left" w:pos="0"/>
        </w:tabs>
        <w:spacing w:line="240" w:lineRule="auto"/>
        <w:rPr>
          <w:sz w:val="24"/>
          <w:lang w:val="en-US"/>
        </w:rPr>
      </w:pPr>
      <w:r w:rsidRPr="00277FDE">
        <w:rPr>
          <w:sz w:val="24"/>
          <w:lang w:val="en-US"/>
        </w:rPr>
        <w:t xml:space="preserve">The Constitutional Court of Kosovo, </w:t>
      </w:r>
      <w:r w:rsidR="0060114E" w:rsidRPr="00277FDE">
        <w:rPr>
          <w:rFonts w:cs="Georgia"/>
          <w:sz w:val="24"/>
          <w:lang w:val="en-US"/>
        </w:rPr>
        <w:t xml:space="preserve">pursuant to Article 113 (7) of the Constitution, Article 20 of the Law, and Rule 56 (1) of the Rules of Procedure, in the session held on </w:t>
      </w:r>
      <w:r w:rsidR="00463A55" w:rsidRPr="00277FDE">
        <w:rPr>
          <w:rFonts w:cs="Georgia"/>
          <w:sz w:val="24"/>
          <w:lang w:val="en-US"/>
        </w:rPr>
        <w:t>30 May</w:t>
      </w:r>
      <w:r w:rsidR="00463A55" w:rsidRPr="00277FDE">
        <w:rPr>
          <w:sz w:val="24"/>
          <w:lang w:val="en-US"/>
        </w:rPr>
        <w:t xml:space="preserve"> </w:t>
      </w:r>
      <w:r w:rsidRPr="00277FDE">
        <w:rPr>
          <w:sz w:val="24"/>
          <w:lang w:val="en-US"/>
        </w:rPr>
        <w:t>201</w:t>
      </w:r>
      <w:r w:rsidR="000366EE" w:rsidRPr="00277FDE">
        <w:rPr>
          <w:sz w:val="24"/>
          <w:lang w:val="en-US"/>
        </w:rPr>
        <w:t>8</w:t>
      </w:r>
      <w:r w:rsidRPr="00277FDE">
        <w:rPr>
          <w:sz w:val="24"/>
          <w:lang w:val="en-US"/>
        </w:rPr>
        <w:t xml:space="preserve">, </w:t>
      </w:r>
    </w:p>
    <w:p w:rsidR="0054009F" w:rsidRPr="00277FDE" w:rsidRDefault="0054009F" w:rsidP="00277FDE">
      <w:pPr>
        <w:spacing w:line="240" w:lineRule="auto"/>
        <w:ind w:left="0"/>
        <w:rPr>
          <w:b/>
          <w:sz w:val="24"/>
          <w:lang w:val="en-US"/>
        </w:rPr>
      </w:pPr>
    </w:p>
    <w:p w:rsidR="00F454A7" w:rsidRPr="00277FDE" w:rsidRDefault="00F454A7" w:rsidP="00277FDE">
      <w:pPr>
        <w:spacing w:line="240" w:lineRule="auto"/>
        <w:ind w:left="0"/>
        <w:jc w:val="center"/>
        <w:rPr>
          <w:b/>
          <w:sz w:val="24"/>
          <w:lang w:val="en-US"/>
        </w:rPr>
      </w:pPr>
      <w:r w:rsidRPr="00277FDE">
        <w:rPr>
          <w:b/>
          <w:sz w:val="24"/>
          <w:lang w:val="en-US"/>
        </w:rPr>
        <w:t>DECIDES</w:t>
      </w:r>
    </w:p>
    <w:p w:rsidR="00F454A7" w:rsidRPr="00277FDE" w:rsidRDefault="00F454A7" w:rsidP="00277FDE">
      <w:pPr>
        <w:spacing w:line="240" w:lineRule="auto"/>
        <w:rPr>
          <w:sz w:val="24"/>
          <w:lang w:val="en-US"/>
        </w:rPr>
      </w:pPr>
    </w:p>
    <w:p w:rsidR="00F454A7" w:rsidRPr="00277FDE" w:rsidRDefault="00F454A7" w:rsidP="00277FDE">
      <w:pPr>
        <w:numPr>
          <w:ilvl w:val="0"/>
          <w:numId w:val="22"/>
        </w:numPr>
        <w:spacing w:line="240" w:lineRule="auto"/>
        <w:ind w:hanging="630"/>
        <w:jc w:val="left"/>
        <w:rPr>
          <w:sz w:val="24"/>
          <w:lang w:val="en-US"/>
        </w:rPr>
      </w:pPr>
      <w:r w:rsidRPr="00277FDE">
        <w:rPr>
          <w:sz w:val="24"/>
          <w:lang w:val="en-US"/>
        </w:rPr>
        <w:t xml:space="preserve">TO DECLARE </w:t>
      </w:r>
      <w:r w:rsidR="002B569E" w:rsidRPr="00277FDE">
        <w:rPr>
          <w:sz w:val="24"/>
          <w:lang w:val="en-US"/>
        </w:rPr>
        <w:t xml:space="preserve">by majority </w:t>
      </w:r>
      <w:r w:rsidRPr="00277FDE">
        <w:rPr>
          <w:sz w:val="24"/>
          <w:lang w:val="en-US"/>
        </w:rPr>
        <w:t>the Referral admissible;</w:t>
      </w:r>
    </w:p>
    <w:p w:rsidR="002B569E" w:rsidRPr="00277FDE" w:rsidRDefault="002B569E" w:rsidP="00277FDE">
      <w:pPr>
        <w:spacing w:line="240" w:lineRule="auto"/>
        <w:ind w:left="1440"/>
        <w:jc w:val="left"/>
        <w:rPr>
          <w:sz w:val="24"/>
          <w:lang w:val="en-US"/>
        </w:rPr>
      </w:pPr>
    </w:p>
    <w:p w:rsidR="002B569E" w:rsidRPr="00277FDE" w:rsidRDefault="002B569E" w:rsidP="00277FDE">
      <w:pPr>
        <w:numPr>
          <w:ilvl w:val="0"/>
          <w:numId w:val="22"/>
        </w:numPr>
        <w:tabs>
          <w:tab w:val="left" w:pos="1440"/>
        </w:tabs>
        <w:spacing w:line="240" w:lineRule="auto"/>
        <w:rPr>
          <w:bCs/>
          <w:sz w:val="24"/>
          <w:lang w:val="en-US"/>
        </w:rPr>
      </w:pPr>
      <w:r w:rsidRPr="00277FDE">
        <w:rPr>
          <w:bCs/>
          <w:sz w:val="24"/>
          <w:lang w:val="en-US"/>
        </w:rPr>
        <w:t xml:space="preserve">TO HOLD </w:t>
      </w:r>
      <w:r w:rsidRPr="00277FDE">
        <w:rPr>
          <w:sz w:val="24"/>
          <w:lang w:val="en-US"/>
        </w:rPr>
        <w:t>by majority</w:t>
      </w:r>
      <w:r w:rsidRPr="00277FDE">
        <w:rPr>
          <w:bCs/>
          <w:sz w:val="24"/>
          <w:lang w:val="en-US"/>
        </w:rPr>
        <w:t xml:space="preserve"> that there has </w:t>
      </w:r>
      <w:r w:rsidRPr="00277FDE">
        <w:rPr>
          <w:sz w:val="24"/>
          <w:lang w:val="en-US"/>
        </w:rPr>
        <w:t>been a violation of Article 31 of the Constitution of the Republic of Kosovo, in conjunction with Article 6 (1) of the European Convention on Human Rights;</w:t>
      </w:r>
      <w:r w:rsidRPr="00277FDE" w:rsidDel="003759BC">
        <w:rPr>
          <w:bCs/>
          <w:sz w:val="24"/>
          <w:lang w:val="en-US"/>
        </w:rPr>
        <w:t xml:space="preserve"> </w:t>
      </w:r>
    </w:p>
    <w:p w:rsidR="002B569E" w:rsidRPr="00277FDE" w:rsidRDefault="002B569E" w:rsidP="00277FDE">
      <w:pPr>
        <w:tabs>
          <w:tab w:val="left" w:pos="1440"/>
        </w:tabs>
        <w:spacing w:line="240" w:lineRule="auto"/>
        <w:ind w:left="1440" w:hanging="630"/>
        <w:rPr>
          <w:bCs/>
          <w:sz w:val="24"/>
          <w:lang w:val="en-US"/>
        </w:rPr>
      </w:pPr>
    </w:p>
    <w:p w:rsidR="002B569E" w:rsidRPr="00277FDE" w:rsidRDefault="002B569E" w:rsidP="00277FDE">
      <w:pPr>
        <w:numPr>
          <w:ilvl w:val="0"/>
          <w:numId w:val="22"/>
        </w:numPr>
        <w:tabs>
          <w:tab w:val="left" w:pos="1440"/>
        </w:tabs>
        <w:spacing w:line="240" w:lineRule="auto"/>
        <w:rPr>
          <w:bCs/>
          <w:sz w:val="24"/>
          <w:lang w:val="en-US"/>
        </w:rPr>
      </w:pPr>
      <w:r w:rsidRPr="00277FDE">
        <w:rPr>
          <w:caps/>
          <w:sz w:val="24"/>
          <w:lang w:val="en-US"/>
        </w:rPr>
        <w:t>To hold</w:t>
      </w:r>
      <w:r w:rsidRPr="00277FDE">
        <w:rPr>
          <w:sz w:val="24"/>
          <w:lang w:val="en-US"/>
        </w:rPr>
        <w:t xml:space="preserve"> by majority that it is not necessary to examine whether there has been a violation of </w:t>
      </w:r>
      <w:r w:rsidRPr="00277FDE">
        <w:rPr>
          <w:bCs/>
          <w:sz w:val="24"/>
          <w:lang w:val="en-US"/>
        </w:rPr>
        <w:t>Articles 24 and 49 of the Constitution of the Republic of Kosovo;</w:t>
      </w:r>
    </w:p>
    <w:p w:rsidR="002B569E" w:rsidRPr="00277FDE" w:rsidRDefault="002B569E" w:rsidP="00277FDE">
      <w:pPr>
        <w:tabs>
          <w:tab w:val="left" w:pos="1440"/>
        </w:tabs>
        <w:spacing w:line="240" w:lineRule="auto"/>
        <w:ind w:left="1440" w:hanging="630"/>
        <w:rPr>
          <w:bCs/>
          <w:sz w:val="24"/>
          <w:lang w:val="en-US"/>
        </w:rPr>
      </w:pPr>
    </w:p>
    <w:p w:rsidR="00FC674A" w:rsidRPr="00277FDE" w:rsidRDefault="002B569E" w:rsidP="00277FDE">
      <w:pPr>
        <w:numPr>
          <w:ilvl w:val="0"/>
          <w:numId w:val="22"/>
        </w:numPr>
        <w:tabs>
          <w:tab w:val="left" w:pos="1440"/>
        </w:tabs>
        <w:spacing w:line="240" w:lineRule="auto"/>
        <w:rPr>
          <w:bCs/>
          <w:sz w:val="24"/>
          <w:lang w:val="en-US"/>
        </w:rPr>
      </w:pPr>
      <w:r w:rsidRPr="00277FDE">
        <w:rPr>
          <w:rFonts w:eastAsia="Calibri" w:cs="Fd1145"/>
          <w:sz w:val="24"/>
          <w:lang w:val="en-US"/>
        </w:rPr>
        <w:t xml:space="preserve">TO </w:t>
      </w:r>
      <w:r w:rsidRPr="00A0016A">
        <w:rPr>
          <w:rFonts w:eastAsia="Calibri" w:cs="Fd1145"/>
          <w:sz w:val="24"/>
          <w:lang w:val="en-US"/>
        </w:rPr>
        <w:t xml:space="preserve">DECLARE </w:t>
      </w:r>
      <w:r w:rsidR="009A66FA" w:rsidRPr="00A0016A">
        <w:rPr>
          <w:rFonts w:eastAsia="Calibri" w:cs="Fd1145"/>
          <w:sz w:val="24"/>
          <w:lang w:val="en-US"/>
        </w:rPr>
        <w:t xml:space="preserve">by majority </w:t>
      </w:r>
      <w:r w:rsidRPr="00A0016A">
        <w:rPr>
          <w:rFonts w:eastAsia="Calibri" w:cs="Fd1145"/>
          <w:sz w:val="24"/>
          <w:lang w:val="en-US"/>
        </w:rPr>
        <w:t>invalid</w:t>
      </w:r>
      <w:r w:rsidRPr="00277FDE">
        <w:rPr>
          <w:rFonts w:eastAsia="Calibri" w:cs="Fd1145"/>
          <w:sz w:val="24"/>
          <w:lang w:val="en-US"/>
        </w:rPr>
        <w:t xml:space="preserve"> the </w:t>
      </w:r>
      <w:r w:rsidRPr="00277FDE">
        <w:rPr>
          <w:sz w:val="24"/>
          <w:lang w:val="en-US"/>
        </w:rPr>
        <w:t xml:space="preserve">Judgment Rev. No. </w:t>
      </w:r>
      <w:r w:rsidRPr="00277FDE">
        <w:rPr>
          <w:caps/>
          <w:color w:val="000000"/>
          <w:sz w:val="24"/>
          <w:lang w:val="en-US"/>
        </w:rPr>
        <w:t>n</w:t>
      </w:r>
      <w:r w:rsidRPr="00277FDE">
        <w:rPr>
          <w:color w:val="000000"/>
          <w:sz w:val="24"/>
          <w:lang w:val="en-US"/>
        </w:rPr>
        <w:t>o. 295/2015</w:t>
      </w:r>
      <w:r w:rsidRPr="00277FDE">
        <w:rPr>
          <w:sz w:val="24"/>
          <w:lang w:val="en-US"/>
        </w:rPr>
        <w:t xml:space="preserve"> of the Supreme Court of Kosovo of 09 December 2015</w:t>
      </w:r>
      <w:r w:rsidRPr="00277FDE">
        <w:rPr>
          <w:rFonts w:eastAsia="Calibri" w:cs="Fd1145"/>
          <w:sz w:val="24"/>
          <w:lang w:val="en-US"/>
        </w:rPr>
        <w:t>;</w:t>
      </w:r>
    </w:p>
    <w:p w:rsidR="00FC674A" w:rsidRPr="00277FDE" w:rsidRDefault="00FC674A" w:rsidP="00277FDE">
      <w:pPr>
        <w:pStyle w:val="ListParagraph"/>
        <w:spacing w:line="240" w:lineRule="auto"/>
        <w:rPr>
          <w:bCs/>
          <w:sz w:val="24"/>
          <w:lang w:val="en-US"/>
        </w:rPr>
      </w:pPr>
    </w:p>
    <w:p w:rsidR="002B569E" w:rsidRPr="00277FDE" w:rsidRDefault="002B569E" w:rsidP="00277FDE">
      <w:pPr>
        <w:numPr>
          <w:ilvl w:val="0"/>
          <w:numId w:val="22"/>
        </w:numPr>
        <w:tabs>
          <w:tab w:val="left" w:pos="1440"/>
        </w:tabs>
        <w:spacing w:line="240" w:lineRule="auto"/>
        <w:rPr>
          <w:bCs/>
          <w:sz w:val="24"/>
          <w:lang w:val="en-US"/>
        </w:rPr>
      </w:pPr>
      <w:r w:rsidRPr="00277FDE">
        <w:rPr>
          <w:bCs/>
          <w:sz w:val="24"/>
          <w:lang w:val="en-US"/>
        </w:rPr>
        <w:t>TO RE</w:t>
      </w:r>
      <w:r w:rsidR="00FC674A" w:rsidRPr="00277FDE">
        <w:rPr>
          <w:bCs/>
          <w:sz w:val="24"/>
          <w:lang w:val="en-US"/>
        </w:rPr>
        <w:t>MAND</w:t>
      </w:r>
      <w:r w:rsidRPr="00277FDE">
        <w:rPr>
          <w:bCs/>
          <w:sz w:val="24"/>
          <w:lang w:val="en-US"/>
        </w:rPr>
        <w:t xml:space="preserve"> the </w:t>
      </w:r>
      <w:r w:rsidR="00FC674A" w:rsidRPr="00277FDE">
        <w:rPr>
          <w:bCs/>
          <w:sz w:val="24"/>
          <w:lang w:val="en-US"/>
        </w:rPr>
        <w:t>Judgment Rev. No. 295/2015</w:t>
      </w:r>
      <w:r w:rsidRPr="00277FDE">
        <w:rPr>
          <w:bCs/>
          <w:sz w:val="24"/>
          <w:lang w:val="en-US"/>
        </w:rPr>
        <w:t xml:space="preserve"> to the Supreme Court of Kosovo </w:t>
      </w:r>
      <w:r w:rsidR="00FC674A" w:rsidRPr="00277FDE">
        <w:rPr>
          <w:bCs/>
          <w:sz w:val="24"/>
          <w:lang w:val="en-US"/>
        </w:rPr>
        <w:t xml:space="preserve">of 09m December 2015 </w:t>
      </w:r>
      <w:r w:rsidRPr="00277FDE">
        <w:rPr>
          <w:bCs/>
          <w:sz w:val="24"/>
          <w:lang w:val="en-US"/>
        </w:rPr>
        <w:t>for reconsideration</w:t>
      </w:r>
      <w:r w:rsidR="00FC674A" w:rsidRPr="00277FDE">
        <w:rPr>
          <w:bCs/>
          <w:sz w:val="24"/>
          <w:lang w:val="en-US"/>
        </w:rPr>
        <w:t xml:space="preserve"> in conformity with this Judgment of the Constitutional Court</w:t>
      </w:r>
      <w:r w:rsidR="00FC674A" w:rsidRPr="00277FDE">
        <w:rPr>
          <w:lang w:val="en-US"/>
        </w:rPr>
        <w:t>;</w:t>
      </w:r>
    </w:p>
    <w:p w:rsidR="00FC674A" w:rsidRPr="00277FDE" w:rsidRDefault="00FC674A" w:rsidP="00277FDE">
      <w:pPr>
        <w:pStyle w:val="ListParagraph"/>
        <w:spacing w:line="240" w:lineRule="auto"/>
        <w:rPr>
          <w:bCs/>
          <w:sz w:val="24"/>
          <w:lang w:val="en-US"/>
        </w:rPr>
      </w:pPr>
    </w:p>
    <w:p w:rsidR="00FC674A" w:rsidRPr="00277FDE" w:rsidRDefault="00FC674A" w:rsidP="00277FDE">
      <w:pPr>
        <w:pStyle w:val="ListParagraph"/>
        <w:spacing w:line="240" w:lineRule="auto"/>
        <w:rPr>
          <w:bCs/>
          <w:sz w:val="24"/>
          <w:lang w:val="en-US"/>
        </w:rPr>
      </w:pPr>
    </w:p>
    <w:p w:rsidR="00FC674A" w:rsidRPr="00277FDE" w:rsidRDefault="00FC674A" w:rsidP="00277FDE">
      <w:pPr>
        <w:numPr>
          <w:ilvl w:val="0"/>
          <w:numId w:val="22"/>
        </w:numPr>
        <w:tabs>
          <w:tab w:val="left" w:pos="1440"/>
        </w:tabs>
        <w:spacing w:line="240" w:lineRule="auto"/>
        <w:rPr>
          <w:bCs/>
          <w:sz w:val="24"/>
          <w:lang w:val="en-US"/>
        </w:rPr>
      </w:pPr>
      <w:r w:rsidRPr="00277FDE">
        <w:rPr>
          <w:bCs/>
          <w:sz w:val="24"/>
          <w:lang w:val="en-US"/>
        </w:rPr>
        <w:t>TO ORDER the Supreme Court to inform the Court, in accordance with Rule 63(5) of the Rules of Procedure, about the measures taken to enforce the Judgment of the Court;</w:t>
      </w:r>
    </w:p>
    <w:p w:rsidR="00DD14AD" w:rsidRPr="00277FDE" w:rsidRDefault="00DD14AD" w:rsidP="00277FDE">
      <w:pPr>
        <w:pStyle w:val="ListParagraph"/>
        <w:spacing w:line="240" w:lineRule="auto"/>
        <w:rPr>
          <w:bCs/>
          <w:sz w:val="24"/>
          <w:lang w:val="en-US"/>
        </w:rPr>
      </w:pPr>
    </w:p>
    <w:p w:rsidR="00463A55" w:rsidRPr="00277FDE" w:rsidRDefault="00463A55" w:rsidP="00277FDE">
      <w:pPr>
        <w:numPr>
          <w:ilvl w:val="0"/>
          <w:numId w:val="22"/>
        </w:numPr>
        <w:tabs>
          <w:tab w:val="left" w:pos="1440"/>
        </w:tabs>
        <w:spacing w:line="240" w:lineRule="auto"/>
        <w:rPr>
          <w:bCs/>
          <w:sz w:val="24"/>
          <w:lang w:val="en-US"/>
        </w:rPr>
      </w:pPr>
      <w:r w:rsidRPr="00277FDE">
        <w:rPr>
          <w:bCs/>
          <w:sz w:val="24"/>
          <w:lang w:val="en-US"/>
        </w:rPr>
        <w:t>TO REMAIN seized of the matter pending compliance with that order;</w:t>
      </w:r>
    </w:p>
    <w:p w:rsidR="00DD14AD" w:rsidRPr="00277FDE" w:rsidRDefault="00DD14AD" w:rsidP="00277FDE">
      <w:pPr>
        <w:tabs>
          <w:tab w:val="left" w:pos="1440"/>
        </w:tabs>
        <w:spacing w:line="240" w:lineRule="auto"/>
        <w:ind w:left="1440"/>
        <w:rPr>
          <w:bCs/>
          <w:sz w:val="24"/>
          <w:lang w:val="en-US"/>
        </w:rPr>
      </w:pPr>
    </w:p>
    <w:p w:rsidR="000366EE" w:rsidRPr="00277FDE" w:rsidRDefault="000366EE" w:rsidP="00277FDE">
      <w:pPr>
        <w:spacing w:line="240" w:lineRule="auto"/>
        <w:ind w:left="720"/>
        <w:jc w:val="left"/>
        <w:rPr>
          <w:sz w:val="24"/>
          <w:lang w:val="en-US"/>
        </w:rPr>
      </w:pPr>
    </w:p>
    <w:p w:rsidR="00F454A7" w:rsidRPr="00277FDE" w:rsidRDefault="00F454A7" w:rsidP="00277FDE">
      <w:pPr>
        <w:numPr>
          <w:ilvl w:val="0"/>
          <w:numId w:val="22"/>
        </w:numPr>
        <w:spacing w:line="240" w:lineRule="auto"/>
        <w:ind w:hanging="630"/>
        <w:jc w:val="left"/>
        <w:rPr>
          <w:sz w:val="24"/>
          <w:lang w:val="en-US"/>
        </w:rPr>
      </w:pPr>
      <w:r w:rsidRPr="00277FDE">
        <w:rPr>
          <w:sz w:val="24"/>
          <w:lang w:val="en-US"/>
        </w:rPr>
        <w:t xml:space="preserve">TO NOTIFY this </w:t>
      </w:r>
      <w:r w:rsidR="00FC674A" w:rsidRPr="00277FDE">
        <w:rPr>
          <w:sz w:val="24"/>
          <w:lang w:val="en-US"/>
        </w:rPr>
        <w:t>Judgment</w:t>
      </w:r>
      <w:r w:rsidRPr="00277FDE">
        <w:rPr>
          <w:sz w:val="24"/>
          <w:lang w:val="en-US"/>
        </w:rPr>
        <w:t xml:space="preserve"> to the parties;</w:t>
      </w:r>
    </w:p>
    <w:p w:rsidR="00F454A7" w:rsidRPr="00277FDE" w:rsidRDefault="00F454A7" w:rsidP="00277FDE">
      <w:pPr>
        <w:spacing w:line="240" w:lineRule="auto"/>
        <w:ind w:left="1080" w:hanging="630"/>
        <w:rPr>
          <w:sz w:val="24"/>
          <w:lang w:val="en-US"/>
        </w:rPr>
      </w:pPr>
    </w:p>
    <w:p w:rsidR="00F454A7" w:rsidRPr="00277FDE" w:rsidRDefault="00F454A7" w:rsidP="00277FDE">
      <w:pPr>
        <w:numPr>
          <w:ilvl w:val="0"/>
          <w:numId w:val="22"/>
        </w:numPr>
        <w:spacing w:line="240" w:lineRule="auto"/>
        <w:ind w:hanging="630"/>
        <w:jc w:val="left"/>
        <w:rPr>
          <w:sz w:val="24"/>
          <w:lang w:val="en-US"/>
        </w:rPr>
      </w:pPr>
      <w:r w:rsidRPr="00277FDE">
        <w:rPr>
          <w:sz w:val="24"/>
          <w:lang w:val="en-US"/>
        </w:rPr>
        <w:t xml:space="preserve">TO PUBLISH this </w:t>
      </w:r>
      <w:r w:rsidR="00FC674A" w:rsidRPr="00277FDE">
        <w:rPr>
          <w:sz w:val="24"/>
          <w:lang w:val="en-US"/>
        </w:rPr>
        <w:t>Judgment</w:t>
      </w:r>
      <w:r w:rsidRPr="00277FDE">
        <w:rPr>
          <w:sz w:val="24"/>
          <w:lang w:val="en-US"/>
        </w:rPr>
        <w:t xml:space="preserve"> in the Official Gazette in accordance with Article 20.4 of the Law;</w:t>
      </w:r>
    </w:p>
    <w:p w:rsidR="00F454A7" w:rsidRPr="00277FDE" w:rsidRDefault="00F454A7" w:rsidP="00277FDE">
      <w:pPr>
        <w:pStyle w:val="ListParagraph"/>
        <w:spacing w:line="240" w:lineRule="auto"/>
        <w:ind w:hanging="630"/>
        <w:rPr>
          <w:sz w:val="24"/>
          <w:lang w:val="en-US"/>
        </w:rPr>
      </w:pPr>
    </w:p>
    <w:p w:rsidR="00F454A7" w:rsidRPr="00277FDE" w:rsidRDefault="00F454A7" w:rsidP="00277FDE">
      <w:pPr>
        <w:numPr>
          <w:ilvl w:val="0"/>
          <w:numId w:val="22"/>
        </w:numPr>
        <w:spacing w:line="240" w:lineRule="auto"/>
        <w:ind w:hanging="630"/>
        <w:jc w:val="left"/>
        <w:rPr>
          <w:sz w:val="24"/>
          <w:lang w:val="en-US"/>
        </w:rPr>
      </w:pPr>
      <w:r w:rsidRPr="00277FDE">
        <w:rPr>
          <w:sz w:val="24"/>
          <w:lang w:val="en-US"/>
        </w:rPr>
        <w:t>T</w:t>
      </w:r>
      <w:r w:rsidR="001418AF" w:rsidRPr="00277FDE">
        <w:rPr>
          <w:sz w:val="24"/>
          <w:lang w:val="en-US"/>
        </w:rPr>
        <w:t>O DECLARE t</w:t>
      </w:r>
      <w:r w:rsidRPr="00277FDE">
        <w:rPr>
          <w:sz w:val="24"/>
          <w:lang w:val="en-US"/>
        </w:rPr>
        <w:t xml:space="preserve">his </w:t>
      </w:r>
      <w:r w:rsidR="00FC674A" w:rsidRPr="00277FDE">
        <w:rPr>
          <w:sz w:val="24"/>
          <w:lang w:val="en-US"/>
        </w:rPr>
        <w:t>Judgment</w:t>
      </w:r>
      <w:r w:rsidRPr="00277FDE">
        <w:rPr>
          <w:sz w:val="24"/>
          <w:lang w:val="en-US"/>
        </w:rPr>
        <w:t xml:space="preserve"> effective immediately.</w:t>
      </w:r>
    </w:p>
    <w:p w:rsidR="00F454A7" w:rsidRPr="00277FDE" w:rsidRDefault="00F454A7" w:rsidP="00277FDE">
      <w:pPr>
        <w:spacing w:line="240" w:lineRule="auto"/>
        <w:rPr>
          <w:sz w:val="24"/>
          <w:lang w:val="en-US"/>
        </w:rPr>
      </w:pPr>
    </w:p>
    <w:p w:rsidR="00F454A7" w:rsidRPr="00277FDE" w:rsidRDefault="00F454A7" w:rsidP="00277FDE">
      <w:pPr>
        <w:spacing w:line="240" w:lineRule="auto"/>
        <w:rPr>
          <w:b/>
          <w:sz w:val="24"/>
          <w:lang w:val="en-US"/>
        </w:rPr>
      </w:pPr>
    </w:p>
    <w:p w:rsidR="00F454A7" w:rsidRPr="00277FDE" w:rsidRDefault="00F454A7" w:rsidP="00277FDE">
      <w:pPr>
        <w:spacing w:line="240" w:lineRule="auto"/>
        <w:rPr>
          <w:b/>
          <w:sz w:val="24"/>
          <w:lang w:val="en-US"/>
        </w:rPr>
      </w:pPr>
    </w:p>
    <w:p w:rsidR="00B57BEF" w:rsidRPr="00277FDE" w:rsidRDefault="00B57BEF" w:rsidP="00277FDE">
      <w:pPr>
        <w:spacing w:line="240" w:lineRule="auto"/>
        <w:rPr>
          <w:b/>
          <w:sz w:val="24"/>
          <w:lang w:val="en-US"/>
        </w:rPr>
      </w:pPr>
    </w:p>
    <w:p w:rsidR="00B57BEF" w:rsidRPr="00277FDE" w:rsidRDefault="00B57BEF" w:rsidP="00277FDE">
      <w:pPr>
        <w:spacing w:line="240" w:lineRule="auto"/>
        <w:rPr>
          <w:b/>
          <w:sz w:val="24"/>
          <w:lang w:val="en-US"/>
        </w:rPr>
      </w:pPr>
    </w:p>
    <w:p w:rsidR="00F454A7" w:rsidRPr="00277FDE" w:rsidRDefault="00F454A7" w:rsidP="00277FDE">
      <w:pPr>
        <w:spacing w:line="240" w:lineRule="auto"/>
        <w:rPr>
          <w:b/>
          <w:sz w:val="24"/>
          <w:lang w:val="en-US"/>
        </w:rPr>
      </w:pPr>
      <w:r w:rsidRPr="00277FDE">
        <w:rPr>
          <w:b/>
          <w:sz w:val="24"/>
          <w:lang w:val="en-US"/>
        </w:rPr>
        <w:t xml:space="preserve">Judge Rapporteur </w:t>
      </w:r>
      <w:r w:rsidRPr="00277FDE">
        <w:rPr>
          <w:b/>
          <w:sz w:val="24"/>
          <w:lang w:val="en-US"/>
        </w:rPr>
        <w:tab/>
      </w:r>
      <w:r w:rsidRPr="00277FDE">
        <w:rPr>
          <w:b/>
          <w:sz w:val="24"/>
          <w:lang w:val="en-US"/>
        </w:rPr>
        <w:tab/>
      </w:r>
      <w:r w:rsidRPr="00277FDE">
        <w:rPr>
          <w:b/>
          <w:sz w:val="24"/>
          <w:lang w:val="en-US"/>
        </w:rPr>
        <w:tab/>
        <w:t>President of the Constitutional Court</w:t>
      </w:r>
    </w:p>
    <w:p w:rsidR="00F454A7" w:rsidRPr="00277FDE" w:rsidRDefault="00F454A7" w:rsidP="00277FDE">
      <w:pPr>
        <w:spacing w:line="240" w:lineRule="auto"/>
        <w:rPr>
          <w:sz w:val="24"/>
          <w:lang w:val="en-US"/>
        </w:rPr>
      </w:pPr>
    </w:p>
    <w:p w:rsidR="00F454A7" w:rsidRPr="00277FDE" w:rsidRDefault="00F454A7" w:rsidP="00277FDE">
      <w:pPr>
        <w:spacing w:line="240" w:lineRule="auto"/>
        <w:rPr>
          <w:sz w:val="24"/>
          <w:lang w:val="en-US"/>
        </w:rPr>
      </w:pPr>
    </w:p>
    <w:p w:rsidR="00F454A7" w:rsidRPr="00277FDE" w:rsidRDefault="00F454A7" w:rsidP="00277FDE">
      <w:pPr>
        <w:spacing w:line="240" w:lineRule="auto"/>
        <w:rPr>
          <w:sz w:val="24"/>
          <w:lang w:val="en-US"/>
        </w:rPr>
      </w:pPr>
    </w:p>
    <w:p w:rsidR="00B57BEF" w:rsidRPr="00277FDE" w:rsidRDefault="00B57BEF" w:rsidP="00277FDE">
      <w:pPr>
        <w:spacing w:line="240" w:lineRule="auto"/>
        <w:rPr>
          <w:bCs/>
          <w:color w:val="000000"/>
          <w:sz w:val="24"/>
          <w:lang w:val="en-US"/>
        </w:rPr>
      </w:pPr>
    </w:p>
    <w:p w:rsidR="00BA5B48" w:rsidRPr="00277FDE" w:rsidRDefault="00710640" w:rsidP="00277FDE">
      <w:pPr>
        <w:spacing w:line="240" w:lineRule="auto"/>
        <w:rPr>
          <w:sz w:val="24"/>
          <w:lang w:val="en-US"/>
        </w:rPr>
      </w:pPr>
      <w:r w:rsidRPr="00277FDE">
        <w:rPr>
          <w:bCs/>
          <w:color w:val="000000"/>
          <w:sz w:val="24"/>
          <w:lang w:val="en-US"/>
        </w:rPr>
        <w:t xml:space="preserve">Ivan </w:t>
      </w:r>
      <w:proofErr w:type="spellStart"/>
      <w:r w:rsidRPr="00277FDE">
        <w:rPr>
          <w:bCs/>
          <w:color w:val="000000"/>
          <w:sz w:val="24"/>
          <w:lang w:val="en-US"/>
        </w:rPr>
        <w:t>Čukalović</w:t>
      </w:r>
      <w:proofErr w:type="spellEnd"/>
      <w:r w:rsidR="00F454A7" w:rsidRPr="00277FDE">
        <w:rPr>
          <w:bCs/>
          <w:color w:val="000000"/>
          <w:sz w:val="24"/>
          <w:lang w:val="en-US"/>
        </w:rPr>
        <w:tab/>
      </w:r>
      <w:r w:rsidR="00F454A7" w:rsidRPr="00277FDE">
        <w:rPr>
          <w:bCs/>
          <w:color w:val="000000"/>
          <w:sz w:val="24"/>
          <w:lang w:val="en-US"/>
        </w:rPr>
        <w:tab/>
      </w:r>
      <w:r w:rsidR="00F454A7" w:rsidRPr="00277FDE">
        <w:rPr>
          <w:bCs/>
          <w:color w:val="000000"/>
          <w:sz w:val="24"/>
          <w:lang w:val="en-US"/>
        </w:rPr>
        <w:tab/>
      </w:r>
      <w:r w:rsidR="00F454A7" w:rsidRPr="00277FDE">
        <w:rPr>
          <w:bCs/>
          <w:color w:val="000000"/>
          <w:sz w:val="24"/>
          <w:lang w:val="en-US"/>
        </w:rPr>
        <w:tab/>
        <w:t>Arta Rama-</w:t>
      </w:r>
      <w:proofErr w:type="spellStart"/>
      <w:r w:rsidR="00F454A7" w:rsidRPr="00277FDE">
        <w:rPr>
          <w:bCs/>
          <w:color w:val="000000"/>
          <w:sz w:val="24"/>
          <w:lang w:val="en-US"/>
        </w:rPr>
        <w:t>Hajrizi</w:t>
      </w:r>
      <w:proofErr w:type="spellEnd"/>
    </w:p>
    <w:sectPr w:rsidR="00BA5B48" w:rsidRPr="00277FDE" w:rsidSect="001C66A8">
      <w:footerReference w:type="default" r:id="rId8"/>
      <w:headerReference w:type="first" r:id="rId9"/>
      <w:footerReference w:type="first" r:id="rId10"/>
      <w:pgSz w:w="11907" w:h="16840" w:code="9"/>
      <w:pgMar w:top="1440" w:right="1440" w:bottom="1440" w:left="1440" w:header="1134"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E33" w:rsidRDefault="00377E33">
      <w:pPr>
        <w:spacing w:line="240" w:lineRule="auto"/>
      </w:pPr>
      <w:r>
        <w:separator/>
      </w:r>
    </w:p>
  </w:endnote>
  <w:endnote w:type="continuationSeparator" w:id="0">
    <w:p w:rsidR="00377E33" w:rsidRDefault="00377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RomNo9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d1145">
    <w:altName w:val="F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41" w:rsidRDefault="00D86CD3">
    <w:pPr>
      <w:pStyle w:val="Footer"/>
      <w:jc w:val="center"/>
    </w:pPr>
    <w:r>
      <w:fldChar w:fldCharType="begin"/>
    </w:r>
    <w:r w:rsidR="00B25841">
      <w:instrText xml:space="preserve"> PAGE   \* MERGEFORMAT </w:instrText>
    </w:r>
    <w:r>
      <w:fldChar w:fldCharType="separate"/>
    </w:r>
    <w:r w:rsidR="00617C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55" w:rsidRDefault="007A0955" w:rsidP="00A21399">
    <w:pPr>
      <w:pStyle w:val="Footer"/>
      <w:ind w:left="0"/>
      <w:jc w:val="center"/>
      <w:rPr>
        <w:lang w:val="sr-Latn-CS"/>
      </w:rPr>
    </w:pPr>
  </w:p>
  <w:p w:rsidR="00BB1C4E" w:rsidRDefault="00BB1C4E" w:rsidP="00A21399">
    <w:pPr>
      <w:pStyle w:val="Footer"/>
      <w:ind w:left="0"/>
      <w:jc w:val="center"/>
      <w:rPr>
        <w:lang w:val="sr-Latn-CS"/>
      </w:rPr>
    </w:pPr>
  </w:p>
  <w:p w:rsidR="00EE05FA" w:rsidRPr="008314D1" w:rsidRDefault="00EE05FA" w:rsidP="00A21399">
    <w:pPr>
      <w:pStyle w:val="Footer"/>
      <w:ind w:left="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E33" w:rsidRDefault="00377E33">
      <w:pPr>
        <w:spacing w:line="240" w:lineRule="auto"/>
      </w:pPr>
      <w:r>
        <w:separator/>
      </w:r>
    </w:p>
  </w:footnote>
  <w:footnote w:type="continuationSeparator" w:id="0">
    <w:p w:rsidR="00377E33" w:rsidRDefault="00377E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6A8" w:rsidRDefault="009926DB" w:rsidP="00B57BEF">
    <w:pPr>
      <w:pStyle w:val="Header"/>
      <w:tabs>
        <w:tab w:val="clear" w:pos="4320"/>
        <w:tab w:val="clear" w:pos="8640"/>
        <w:tab w:val="left" w:pos="5191"/>
      </w:tabs>
    </w:pPr>
    <w:r>
      <w:rPr>
        <w:noProof/>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-471170</wp:posOffset>
          </wp:positionV>
          <wp:extent cx="5730875" cy="1754505"/>
          <wp:effectExtent l="0" t="0" r="0" b="0"/>
          <wp:wrapSquare wrapText="bothSides"/>
          <wp:docPr id="1" name="Picture 17" descr="llogo_vendi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logo_vendim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7545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75FF"/>
    <w:multiLevelType w:val="hybridMultilevel"/>
    <w:tmpl w:val="FFB0C700"/>
    <w:lvl w:ilvl="0" w:tplc="F4225930">
      <w:start w:val="1"/>
      <w:numFmt w:val="decimal"/>
      <w:lvlText w:val="%1."/>
      <w:lvlJc w:val="left"/>
      <w:pPr>
        <w:ind w:left="720" w:hanging="360"/>
      </w:pPr>
      <w:rPr>
        <w:rFonts w:ascii="Georgia" w:hAnsi="Georgia"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86063"/>
    <w:multiLevelType w:val="hybridMultilevel"/>
    <w:tmpl w:val="1CC64D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2752F7"/>
    <w:multiLevelType w:val="hybridMultilevel"/>
    <w:tmpl w:val="B4047806"/>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B93E18DE">
      <w:start w:val="1"/>
      <w:numFmt w:val="lowerRoman"/>
      <w:lvlText w:val="(%3)"/>
      <w:lvlJc w:val="left"/>
      <w:pPr>
        <w:ind w:left="2727" w:hanging="18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CC2777C"/>
    <w:multiLevelType w:val="hybridMultilevel"/>
    <w:tmpl w:val="544C69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01613E7"/>
    <w:multiLevelType w:val="hybridMultilevel"/>
    <w:tmpl w:val="60D09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20282"/>
    <w:multiLevelType w:val="hybridMultilevel"/>
    <w:tmpl w:val="CB2020D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246D3589"/>
    <w:multiLevelType w:val="hybridMultilevel"/>
    <w:tmpl w:val="13A856AA"/>
    <w:lvl w:ilvl="0" w:tplc="3DC6603A">
      <w:start w:val="1"/>
      <w:numFmt w:val="upperRoman"/>
      <w:lvlText w:val="%1."/>
      <w:lvlJc w:val="left"/>
      <w:pPr>
        <w:ind w:left="1571" w:hanging="72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5985FD5"/>
    <w:multiLevelType w:val="hybridMultilevel"/>
    <w:tmpl w:val="BD982468"/>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28CD775C"/>
    <w:multiLevelType w:val="hybridMultilevel"/>
    <w:tmpl w:val="705852EA"/>
    <w:lvl w:ilvl="0" w:tplc="5C12BB14">
      <w:start w:val="1"/>
      <w:numFmt w:val="decimal"/>
      <w:lvlText w:val="%1."/>
      <w:lvlJc w:val="left"/>
      <w:pPr>
        <w:tabs>
          <w:tab w:val="num" w:pos="720"/>
        </w:tabs>
        <w:ind w:left="720" w:hanging="360"/>
      </w:pPr>
      <w:rPr>
        <w:rFonts w:ascii="Georgia" w:hAnsi="Georgia"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49330B"/>
    <w:multiLevelType w:val="hybridMultilevel"/>
    <w:tmpl w:val="DADE322E"/>
    <w:lvl w:ilvl="0" w:tplc="7C040F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72461"/>
    <w:multiLevelType w:val="hybridMultilevel"/>
    <w:tmpl w:val="B4048980"/>
    <w:lvl w:ilvl="0" w:tplc="7090A468">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F7C36"/>
    <w:multiLevelType w:val="hybridMultilevel"/>
    <w:tmpl w:val="5AF4DEC0"/>
    <w:lvl w:ilvl="0" w:tplc="379CEB5A">
      <w:start w:val="1"/>
      <w:numFmt w:val="decimal"/>
      <w:lvlText w:val="(%1)"/>
      <w:lvlJc w:val="left"/>
      <w:pPr>
        <w:ind w:left="1256" w:hanging="40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401A5886"/>
    <w:multiLevelType w:val="hybridMultilevel"/>
    <w:tmpl w:val="9AFA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70FF4"/>
    <w:multiLevelType w:val="hybridMultilevel"/>
    <w:tmpl w:val="24901AEE"/>
    <w:lvl w:ilvl="0" w:tplc="BB82E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74D95"/>
    <w:multiLevelType w:val="hybridMultilevel"/>
    <w:tmpl w:val="4300A6F2"/>
    <w:lvl w:ilvl="0" w:tplc="0EA890A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287C60"/>
    <w:multiLevelType w:val="multilevel"/>
    <w:tmpl w:val="3A902806"/>
    <w:lvl w:ilvl="0">
      <w:start w:val="1"/>
      <w:numFmt w:val="decimal"/>
      <w:lvlText w:val="(%1)"/>
      <w:lvlJc w:val="left"/>
      <w:rPr>
        <w:rFonts w:ascii="AngsanaUPC" w:eastAsia="AngsanaUPC" w:hAnsi="AngsanaUPC" w:cs="AngsanaUPC"/>
        <w:b w:val="0"/>
        <w:bCs w:val="0"/>
        <w:i/>
        <w:iCs/>
        <w:smallCaps w:val="0"/>
        <w:strike w:val="0"/>
        <w:color w:val="000000"/>
        <w:spacing w:val="3"/>
        <w:w w:val="100"/>
        <w:position w:val="0"/>
        <w:sz w:val="29"/>
        <w:szCs w:val="29"/>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7217B5"/>
    <w:multiLevelType w:val="hybridMultilevel"/>
    <w:tmpl w:val="2BBC3D10"/>
    <w:lvl w:ilvl="0" w:tplc="4720E8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057D8D"/>
    <w:multiLevelType w:val="hybridMultilevel"/>
    <w:tmpl w:val="369A28AC"/>
    <w:lvl w:ilvl="0" w:tplc="5C12BB14">
      <w:start w:val="1"/>
      <w:numFmt w:val="decimal"/>
      <w:lvlText w:val="%1."/>
      <w:lvlJc w:val="left"/>
      <w:pPr>
        <w:tabs>
          <w:tab w:val="num" w:pos="720"/>
        </w:tabs>
        <w:ind w:left="720" w:hanging="360"/>
      </w:pPr>
      <w:rPr>
        <w:rFonts w:ascii="Georgia" w:hAnsi="Georgia"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AB3D0C"/>
    <w:multiLevelType w:val="hybridMultilevel"/>
    <w:tmpl w:val="24BC8A74"/>
    <w:lvl w:ilvl="0" w:tplc="4782C04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2B559F"/>
    <w:multiLevelType w:val="hybridMultilevel"/>
    <w:tmpl w:val="1D3E1F0A"/>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7314881"/>
    <w:multiLevelType w:val="hybridMultilevel"/>
    <w:tmpl w:val="6D4C6E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A496B19"/>
    <w:multiLevelType w:val="hybridMultilevel"/>
    <w:tmpl w:val="0356756A"/>
    <w:lvl w:ilvl="0" w:tplc="06C64E8E">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3351B"/>
    <w:multiLevelType w:val="hybridMultilevel"/>
    <w:tmpl w:val="D4BA6860"/>
    <w:lvl w:ilvl="0" w:tplc="8B001D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EB0E8F"/>
    <w:multiLevelType w:val="hybridMultilevel"/>
    <w:tmpl w:val="FA1238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4"/>
  </w:num>
  <w:num w:numId="5">
    <w:abstractNumId w:val="20"/>
  </w:num>
  <w:num w:numId="6">
    <w:abstractNumId w:val="3"/>
  </w:num>
  <w:num w:numId="7">
    <w:abstractNumId w:val="14"/>
  </w:num>
  <w:num w:numId="8">
    <w:abstractNumId w:val="7"/>
  </w:num>
  <w:num w:numId="9">
    <w:abstractNumId w:val="23"/>
  </w:num>
  <w:num w:numId="10">
    <w:abstractNumId w:val="19"/>
  </w:num>
  <w:num w:numId="11">
    <w:abstractNumId w:val="10"/>
  </w:num>
  <w:num w:numId="12">
    <w:abstractNumId w:val="13"/>
  </w:num>
  <w:num w:numId="13">
    <w:abstractNumId w:val="9"/>
  </w:num>
  <w:num w:numId="14">
    <w:abstractNumId w:val="5"/>
  </w:num>
  <w:num w:numId="15">
    <w:abstractNumId w:val="15"/>
  </w:num>
  <w:num w:numId="16">
    <w:abstractNumId w:val="18"/>
  </w:num>
  <w:num w:numId="17">
    <w:abstractNumId w:val="17"/>
  </w:num>
  <w:num w:numId="18">
    <w:abstractNumId w:val="12"/>
  </w:num>
  <w:num w:numId="19">
    <w:abstractNumId w:val="21"/>
  </w:num>
  <w:num w:numId="20">
    <w:abstractNumId w:val="2"/>
  </w:num>
  <w:num w:numId="21">
    <w:abstractNumId w:val="1"/>
  </w:num>
  <w:num w:numId="22">
    <w:abstractNumId w:val="16"/>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8255F"/>
    <w:rsid w:val="000017DF"/>
    <w:rsid w:val="00001DAF"/>
    <w:rsid w:val="0000417C"/>
    <w:rsid w:val="00004593"/>
    <w:rsid w:val="0000499A"/>
    <w:rsid w:val="0000582B"/>
    <w:rsid w:val="000062FF"/>
    <w:rsid w:val="000112A3"/>
    <w:rsid w:val="00011756"/>
    <w:rsid w:val="0001254B"/>
    <w:rsid w:val="00012E3F"/>
    <w:rsid w:val="000138B4"/>
    <w:rsid w:val="00015563"/>
    <w:rsid w:val="00016403"/>
    <w:rsid w:val="00016883"/>
    <w:rsid w:val="00016AA8"/>
    <w:rsid w:val="00016AB3"/>
    <w:rsid w:val="000171AE"/>
    <w:rsid w:val="00017215"/>
    <w:rsid w:val="00020E92"/>
    <w:rsid w:val="00021977"/>
    <w:rsid w:val="00021B5A"/>
    <w:rsid w:val="0002209F"/>
    <w:rsid w:val="0002241C"/>
    <w:rsid w:val="00022FC0"/>
    <w:rsid w:val="0002326A"/>
    <w:rsid w:val="00024DCF"/>
    <w:rsid w:val="0002524A"/>
    <w:rsid w:val="000272F2"/>
    <w:rsid w:val="0003228E"/>
    <w:rsid w:val="00032918"/>
    <w:rsid w:val="000335F1"/>
    <w:rsid w:val="00033E2B"/>
    <w:rsid w:val="00035F40"/>
    <w:rsid w:val="000366EE"/>
    <w:rsid w:val="00040410"/>
    <w:rsid w:val="00040732"/>
    <w:rsid w:val="00040A51"/>
    <w:rsid w:val="00041C5C"/>
    <w:rsid w:val="00042BEE"/>
    <w:rsid w:val="00043295"/>
    <w:rsid w:val="0004356E"/>
    <w:rsid w:val="00043CA6"/>
    <w:rsid w:val="000441CE"/>
    <w:rsid w:val="0004456C"/>
    <w:rsid w:val="00044886"/>
    <w:rsid w:val="00044E9A"/>
    <w:rsid w:val="00045185"/>
    <w:rsid w:val="0004526A"/>
    <w:rsid w:val="00045365"/>
    <w:rsid w:val="000456AC"/>
    <w:rsid w:val="00045788"/>
    <w:rsid w:val="00045C83"/>
    <w:rsid w:val="00047377"/>
    <w:rsid w:val="0004745E"/>
    <w:rsid w:val="000479BD"/>
    <w:rsid w:val="00050383"/>
    <w:rsid w:val="00050BE1"/>
    <w:rsid w:val="00051469"/>
    <w:rsid w:val="00051BDE"/>
    <w:rsid w:val="0005254B"/>
    <w:rsid w:val="0005270F"/>
    <w:rsid w:val="00052C37"/>
    <w:rsid w:val="00053F90"/>
    <w:rsid w:val="00054AC5"/>
    <w:rsid w:val="00056A47"/>
    <w:rsid w:val="00056DAE"/>
    <w:rsid w:val="00057310"/>
    <w:rsid w:val="00057A28"/>
    <w:rsid w:val="00060713"/>
    <w:rsid w:val="00060730"/>
    <w:rsid w:val="00060B33"/>
    <w:rsid w:val="0006142C"/>
    <w:rsid w:val="000616D0"/>
    <w:rsid w:val="00061B4B"/>
    <w:rsid w:val="00061B86"/>
    <w:rsid w:val="00062369"/>
    <w:rsid w:val="000628AB"/>
    <w:rsid w:val="000648A8"/>
    <w:rsid w:val="00064F3E"/>
    <w:rsid w:val="0006512E"/>
    <w:rsid w:val="00065D87"/>
    <w:rsid w:val="00066E24"/>
    <w:rsid w:val="00067934"/>
    <w:rsid w:val="000679AC"/>
    <w:rsid w:val="00067B3D"/>
    <w:rsid w:val="0007034C"/>
    <w:rsid w:val="00070C3A"/>
    <w:rsid w:val="00070E71"/>
    <w:rsid w:val="00071431"/>
    <w:rsid w:val="00071663"/>
    <w:rsid w:val="00071E07"/>
    <w:rsid w:val="0007222D"/>
    <w:rsid w:val="00072CA0"/>
    <w:rsid w:val="00075041"/>
    <w:rsid w:val="000754A4"/>
    <w:rsid w:val="00075671"/>
    <w:rsid w:val="00076480"/>
    <w:rsid w:val="00076FF2"/>
    <w:rsid w:val="000802C9"/>
    <w:rsid w:val="000803D7"/>
    <w:rsid w:val="00080A9D"/>
    <w:rsid w:val="0008168A"/>
    <w:rsid w:val="000827CE"/>
    <w:rsid w:val="00082E3F"/>
    <w:rsid w:val="00083278"/>
    <w:rsid w:val="00083CDE"/>
    <w:rsid w:val="000843FE"/>
    <w:rsid w:val="00084D66"/>
    <w:rsid w:val="00085354"/>
    <w:rsid w:val="00085426"/>
    <w:rsid w:val="0008559F"/>
    <w:rsid w:val="0008657B"/>
    <w:rsid w:val="00086F78"/>
    <w:rsid w:val="0008701A"/>
    <w:rsid w:val="00087950"/>
    <w:rsid w:val="00087F19"/>
    <w:rsid w:val="000903C4"/>
    <w:rsid w:val="00091DD8"/>
    <w:rsid w:val="000921C9"/>
    <w:rsid w:val="00092E3C"/>
    <w:rsid w:val="0009378B"/>
    <w:rsid w:val="0009418F"/>
    <w:rsid w:val="0009436C"/>
    <w:rsid w:val="0009485A"/>
    <w:rsid w:val="00094A1F"/>
    <w:rsid w:val="000977E5"/>
    <w:rsid w:val="00097CD1"/>
    <w:rsid w:val="000A1F82"/>
    <w:rsid w:val="000A2B99"/>
    <w:rsid w:val="000A4B83"/>
    <w:rsid w:val="000A7245"/>
    <w:rsid w:val="000A7C68"/>
    <w:rsid w:val="000B15F6"/>
    <w:rsid w:val="000B2CA5"/>
    <w:rsid w:val="000B3400"/>
    <w:rsid w:val="000B3C01"/>
    <w:rsid w:val="000B4552"/>
    <w:rsid w:val="000B54C6"/>
    <w:rsid w:val="000B6C62"/>
    <w:rsid w:val="000B6F99"/>
    <w:rsid w:val="000B744A"/>
    <w:rsid w:val="000B7466"/>
    <w:rsid w:val="000B787A"/>
    <w:rsid w:val="000C0346"/>
    <w:rsid w:val="000C05BC"/>
    <w:rsid w:val="000C1731"/>
    <w:rsid w:val="000C19FC"/>
    <w:rsid w:val="000C1BD1"/>
    <w:rsid w:val="000C2197"/>
    <w:rsid w:val="000C2361"/>
    <w:rsid w:val="000C253F"/>
    <w:rsid w:val="000C25D4"/>
    <w:rsid w:val="000C303A"/>
    <w:rsid w:val="000C5470"/>
    <w:rsid w:val="000C5770"/>
    <w:rsid w:val="000C5798"/>
    <w:rsid w:val="000C589E"/>
    <w:rsid w:val="000D0928"/>
    <w:rsid w:val="000D0E91"/>
    <w:rsid w:val="000D1B1D"/>
    <w:rsid w:val="000D285D"/>
    <w:rsid w:val="000D2925"/>
    <w:rsid w:val="000D3E17"/>
    <w:rsid w:val="000D41EC"/>
    <w:rsid w:val="000D43D3"/>
    <w:rsid w:val="000D5613"/>
    <w:rsid w:val="000D5650"/>
    <w:rsid w:val="000D5909"/>
    <w:rsid w:val="000D5E33"/>
    <w:rsid w:val="000D657C"/>
    <w:rsid w:val="000E0219"/>
    <w:rsid w:val="000E05FC"/>
    <w:rsid w:val="000E431A"/>
    <w:rsid w:val="000E51A8"/>
    <w:rsid w:val="000E59D6"/>
    <w:rsid w:val="000E5C9F"/>
    <w:rsid w:val="000E6A95"/>
    <w:rsid w:val="000E6B06"/>
    <w:rsid w:val="000F0940"/>
    <w:rsid w:val="000F0DBA"/>
    <w:rsid w:val="000F1664"/>
    <w:rsid w:val="000F22D6"/>
    <w:rsid w:val="000F26A0"/>
    <w:rsid w:val="000F5C2D"/>
    <w:rsid w:val="000F6644"/>
    <w:rsid w:val="000F6878"/>
    <w:rsid w:val="000F70FD"/>
    <w:rsid w:val="000F77FC"/>
    <w:rsid w:val="00100A2F"/>
    <w:rsid w:val="00101602"/>
    <w:rsid w:val="001038B0"/>
    <w:rsid w:val="00103F35"/>
    <w:rsid w:val="00104113"/>
    <w:rsid w:val="00104947"/>
    <w:rsid w:val="00105630"/>
    <w:rsid w:val="00105EFB"/>
    <w:rsid w:val="00106A53"/>
    <w:rsid w:val="001070F5"/>
    <w:rsid w:val="00110406"/>
    <w:rsid w:val="00110FA3"/>
    <w:rsid w:val="00112A05"/>
    <w:rsid w:val="00115137"/>
    <w:rsid w:val="00116089"/>
    <w:rsid w:val="00116239"/>
    <w:rsid w:val="00120019"/>
    <w:rsid w:val="001209C5"/>
    <w:rsid w:val="00121535"/>
    <w:rsid w:val="00121757"/>
    <w:rsid w:val="00121E70"/>
    <w:rsid w:val="0012313E"/>
    <w:rsid w:val="00123537"/>
    <w:rsid w:val="00126325"/>
    <w:rsid w:val="001267C4"/>
    <w:rsid w:val="00126B0D"/>
    <w:rsid w:val="00126C38"/>
    <w:rsid w:val="00126D16"/>
    <w:rsid w:val="00126FB0"/>
    <w:rsid w:val="0012781F"/>
    <w:rsid w:val="00127E3D"/>
    <w:rsid w:val="00131076"/>
    <w:rsid w:val="0013303B"/>
    <w:rsid w:val="00133594"/>
    <w:rsid w:val="00133A7D"/>
    <w:rsid w:val="001340E3"/>
    <w:rsid w:val="00134492"/>
    <w:rsid w:val="00134A20"/>
    <w:rsid w:val="00135386"/>
    <w:rsid w:val="00135BF6"/>
    <w:rsid w:val="00135D84"/>
    <w:rsid w:val="00135E39"/>
    <w:rsid w:val="0013693F"/>
    <w:rsid w:val="001402DF"/>
    <w:rsid w:val="00140BEB"/>
    <w:rsid w:val="00140E3A"/>
    <w:rsid w:val="001411A1"/>
    <w:rsid w:val="0014184D"/>
    <w:rsid w:val="001418AF"/>
    <w:rsid w:val="001422CE"/>
    <w:rsid w:val="0014249B"/>
    <w:rsid w:val="00142894"/>
    <w:rsid w:val="00143232"/>
    <w:rsid w:val="001433EE"/>
    <w:rsid w:val="00143D3B"/>
    <w:rsid w:val="00143F0A"/>
    <w:rsid w:val="00145089"/>
    <w:rsid w:val="001458A4"/>
    <w:rsid w:val="00146072"/>
    <w:rsid w:val="001463AE"/>
    <w:rsid w:val="00146A0C"/>
    <w:rsid w:val="00146F90"/>
    <w:rsid w:val="001471BC"/>
    <w:rsid w:val="00147E56"/>
    <w:rsid w:val="00147EE3"/>
    <w:rsid w:val="00150431"/>
    <w:rsid w:val="001504DB"/>
    <w:rsid w:val="00153314"/>
    <w:rsid w:val="001536F4"/>
    <w:rsid w:val="00153A87"/>
    <w:rsid w:val="00154188"/>
    <w:rsid w:val="001541C4"/>
    <w:rsid w:val="00154CE2"/>
    <w:rsid w:val="00155287"/>
    <w:rsid w:val="00155904"/>
    <w:rsid w:val="001605AB"/>
    <w:rsid w:val="0016144A"/>
    <w:rsid w:val="001632EE"/>
    <w:rsid w:val="0016469D"/>
    <w:rsid w:val="00164A00"/>
    <w:rsid w:val="00165161"/>
    <w:rsid w:val="00165170"/>
    <w:rsid w:val="00167068"/>
    <w:rsid w:val="00167569"/>
    <w:rsid w:val="001675FF"/>
    <w:rsid w:val="00167FE1"/>
    <w:rsid w:val="0017093A"/>
    <w:rsid w:val="001710C5"/>
    <w:rsid w:val="001717D7"/>
    <w:rsid w:val="001724AD"/>
    <w:rsid w:val="001730F9"/>
    <w:rsid w:val="00174818"/>
    <w:rsid w:val="00174A1B"/>
    <w:rsid w:val="001763CE"/>
    <w:rsid w:val="00176B89"/>
    <w:rsid w:val="00176FAC"/>
    <w:rsid w:val="00180340"/>
    <w:rsid w:val="00180593"/>
    <w:rsid w:val="00180EC4"/>
    <w:rsid w:val="001834A9"/>
    <w:rsid w:val="00183613"/>
    <w:rsid w:val="00183796"/>
    <w:rsid w:val="00184F39"/>
    <w:rsid w:val="001855AD"/>
    <w:rsid w:val="00190927"/>
    <w:rsid w:val="00191CC9"/>
    <w:rsid w:val="00192ED1"/>
    <w:rsid w:val="0019364C"/>
    <w:rsid w:val="00193AB7"/>
    <w:rsid w:val="00194395"/>
    <w:rsid w:val="0019445B"/>
    <w:rsid w:val="001944C2"/>
    <w:rsid w:val="001949C9"/>
    <w:rsid w:val="00194A4D"/>
    <w:rsid w:val="00194D09"/>
    <w:rsid w:val="001956CB"/>
    <w:rsid w:val="00195AF2"/>
    <w:rsid w:val="001977F2"/>
    <w:rsid w:val="001A0C90"/>
    <w:rsid w:val="001A2360"/>
    <w:rsid w:val="001A28D6"/>
    <w:rsid w:val="001A4518"/>
    <w:rsid w:val="001A52D7"/>
    <w:rsid w:val="001A6638"/>
    <w:rsid w:val="001B06D0"/>
    <w:rsid w:val="001B182B"/>
    <w:rsid w:val="001B18DF"/>
    <w:rsid w:val="001B1ACA"/>
    <w:rsid w:val="001B1CA4"/>
    <w:rsid w:val="001B20F6"/>
    <w:rsid w:val="001B2EB6"/>
    <w:rsid w:val="001B315C"/>
    <w:rsid w:val="001B39D3"/>
    <w:rsid w:val="001B4FE3"/>
    <w:rsid w:val="001B5433"/>
    <w:rsid w:val="001B6B45"/>
    <w:rsid w:val="001B7670"/>
    <w:rsid w:val="001B7AFE"/>
    <w:rsid w:val="001C0746"/>
    <w:rsid w:val="001C2972"/>
    <w:rsid w:val="001C3CC2"/>
    <w:rsid w:val="001C40B0"/>
    <w:rsid w:val="001C45E0"/>
    <w:rsid w:val="001C5135"/>
    <w:rsid w:val="001C53FF"/>
    <w:rsid w:val="001C66A8"/>
    <w:rsid w:val="001C6A96"/>
    <w:rsid w:val="001C6AFB"/>
    <w:rsid w:val="001C726F"/>
    <w:rsid w:val="001D018B"/>
    <w:rsid w:val="001D066D"/>
    <w:rsid w:val="001D0750"/>
    <w:rsid w:val="001D334D"/>
    <w:rsid w:val="001D38F3"/>
    <w:rsid w:val="001D64AB"/>
    <w:rsid w:val="001D6B5A"/>
    <w:rsid w:val="001D79D4"/>
    <w:rsid w:val="001E0431"/>
    <w:rsid w:val="001E065C"/>
    <w:rsid w:val="001E268A"/>
    <w:rsid w:val="001E28AF"/>
    <w:rsid w:val="001E45C4"/>
    <w:rsid w:val="001E4CF5"/>
    <w:rsid w:val="001E51DD"/>
    <w:rsid w:val="001E530D"/>
    <w:rsid w:val="001E5DCA"/>
    <w:rsid w:val="001E62BE"/>
    <w:rsid w:val="001E645A"/>
    <w:rsid w:val="001E655F"/>
    <w:rsid w:val="001E6EC9"/>
    <w:rsid w:val="001E75DA"/>
    <w:rsid w:val="001E7B8A"/>
    <w:rsid w:val="001F1700"/>
    <w:rsid w:val="001F1A88"/>
    <w:rsid w:val="001F1F63"/>
    <w:rsid w:val="001F2130"/>
    <w:rsid w:val="001F22C8"/>
    <w:rsid w:val="001F2A94"/>
    <w:rsid w:val="001F31B9"/>
    <w:rsid w:val="001F3CB2"/>
    <w:rsid w:val="001F6E39"/>
    <w:rsid w:val="00200E49"/>
    <w:rsid w:val="00201482"/>
    <w:rsid w:val="002046B9"/>
    <w:rsid w:val="00206FD1"/>
    <w:rsid w:val="00207123"/>
    <w:rsid w:val="002073B2"/>
    <w:rsid w:val="002110FA"/>
    <w:rsid w:val="0021162E"/>
    <w:rsid w:val="00211CAB"/>
    <w:rsid w:val="00211EAF"/>
    <w:rsid w:val="002129EB"/>
    <w:rsid w:val="00212F64"/>
    <w:rsid w:val="00213746"/>
    <w:rsid w:val="00213B9D"/>
    <w:rsid w:val="00213F11"/>
    <w:rsid w:val="0021476B"/>
    <w:rsid w:val="00214824"/>
    <w:rsid w:val="00215FE6"/>
    <w:rsid w:val="002162F3"/>
    <w:rsid w:val="00217B84"/>
    <w:rsid w:val="00220666"/>
    <w:rsid w:val="00222517"/>
    <w:rsid w:val="0022343C"/>
    <w:rsid w:val="0022502B"/>
    <w:rsid w:val="00225688"/>
    <w:rsid w:val="00225C31"/>
    <w:rsid w:val="00226C64"/>
    <w:rsid w:val="00226FEF"/>
    <w:rsid w:val="0022772C"/>
    <w:rsid w:val="002325C4"/>
    <w:rsid w:val="002325C6"/>
    <w:rsid w:val="002329F5"/>
    <w:rsid w:val="002331F8"/>
    <w:rsid w:val="00233896"/>
    <w:rsid w:val="002345EB"/>
    <w:rsid w:val="0023545F"/>
    <w:rsid w:val="002379B6"/>
    <w:rsid w:val="00237E5B"/>
    <w:rsid w:val="0024057F"/>
    <w:rsid w:val="00240E75"/>
    <w:rsid w:val="00240FDD"/>
    <w:rsid w:val="002420E9"/>
    <w:rsid w:val="0024235E"/>
    <w:rsid w:val="00242412"/>
    <w:rsid w:val="002426D8"/>
    <w:rsid w:val="00242FAD"/>
    <w:rsid w:val="00243021"/>
    <w:rsid w:val="00244550"/>
    <w:rsid w:val="0024506E"/>
    <w:rsid w:val="002457A8"/>
    <w:rsid w:val="00247521"/>
    <w:rsid w:val="00247F97"/>
    <w:rsid w:val="00251C22"/>
    <w:rsid w:val="0025231C"/>
    <w:rsid w:val="00253191"/>
    <w:rsid w:val="0025324C"/>
    <w:rsid w:val="00253CF9"/>
    <w:rsid w:val="00253D88"/>
    <w:rsid w:val="0025483C"/>
    <w:rsid w:val="00254F5E"/>
    <w:rsid w:val="0025517B"/>
    <w:rsid w:val="00255431"/>
    <w:rsid w:val="0025559B"/>
    <w:rsid w:val="00255EF5"/>
    <w:rsid w:val="00256702"/>
    <w:rsid w:val="002629BF"/>
    <w:rsid w:val="00264BE4"/>
    <w:rsid w:val="00266056"/>
    <w:rsid w:val="00270466"/>
    <w:rsid w:val="002721B0"/>
    <w:rsid w:val="00272550"/>
    <w:rsid w:val="00272EE9"/>
    <w:rsid w:val="0027383A"/>
    <w:rsid w:val="0027448C"/>
    <w:rsid w:val="00274C68"/>
    <w:rsid w:val="00275726"/>
    <w:rsid w:val="00275A30"/>
    <w:rsid w:val="00275B2A"/>
    <w:rsid w:val="00276F67"/>
    <w:rsid w:val="00277FDE"/>
    <w:rsid w:val="00281074"/>
    <w:rsid w:val="002826A0"/>
    <w:rsid w:val="0028275A"/>
    <w:rsid w:val="00282967"/>
    <w:rsid w:val="00282D49"/>
    <w:rsid w:val="00282E81"/>
    <w:rsid w:val="0028320B"/>
    <w:rsid w:val="00286A80"/>
    <w:rsid w:val="002872C8"/>
    <w:rsid w:val="0029110E"/>
    <w:rsid w:val="002937D4"/>
    <w:rsid w:val="00296C0A"/>
    <w:rsid w:val="00296EA7"/>
    <w:rsid w:val="002977AA"/>
    <w:rsid w:val="002A049C"/>
    <w:rsid w:val="002A18D5"/>
    <w:rsid w:val="002A257C"/>
    <w:rsid w:val="002A4A61"/>
    <w:rsid w:val="002A4B90"/>
    <w:rsid w:val="002A4CE4"/>
    <w:rsid w:val="002A63F8"/>
    <w:rsid w:val="002A73DE"/>
    <w:rsid w:val="002B20C2"/>
    <w:rsid w:val="002B4DC3"/>
    <w:rsid w:val="002B50EA"/>
    <w:rsid w:val="002B529B"/>
    <w:rsid w:val="002B569E"/>
    <w:rsid w:val="002B6154"/>
    <w:rsid w:val="002B649E"/>
    <w:rsid w:val="002B6F76"/>
    <w:rsid w:val="002B6F8F"/>
    <w:rsid w:val="002B73C4"/>
    <w:rsid w:val="002B7E04"/>
    <w:rsid w:val="002B7E36"/>
    <w:rsid w:val="002C05D5"/>
    <w:rsid w:val="002C184B"/>
    <w:rsid w:val="002C1887"/>
    <w:rsid w:val="002C2389"/>
    <w:rsid w:val="002C2E82"/>
    <w:rsid w:val="002C468C"/>
    <w:rsid w:val="002C4B2A"/>
    <w:rsid w:val="002C4ED0"/>
    <w:rsid w:val="002C69C1"/>
    <w:rsid w:val="002C7054"/>
    <w:rsid w:val="002C7D75"/>
    <w:rsid w:val="002D0F84"/>
    <w:rsid w:val="002D2835"/>
    <w:rsid w:val="002D2DC9"/>
    <w:rsid w:val="002D41EC"/>
    <w:rsid w:val="002D4218"/>
    <w:rsid w:val="002D6785"/>
    <w:rsid w:val="002D6EDB"/>
    <w:rsid w:val="002D70AB"/>
    <w:rsid w:val="002D7298"/>
    <w:rsid w:val="002E0496"/>
    <w:rsid w:val="002E0B53"/>
    <w:rsid w:val="002E2473"/>
    <w:rsid w:val="002E2843"/>
    <w:rsid w:val="002E307C"/>
    <w:rsid w:val="002E351E"/>
    <w:rsid w:val="002E367C"/>
    <w:rsid w:val="002E50DF"/>
    <w:rsid w:val="002E6378"/>
    <w:rsid w:val="002E6529"/>
    <w:rsid w:val="002F0206"/>
    <w:rsid w:val="002F0368"/>
    <w:rsid w:val="002F20C8"/>
    <w:rsid w:val="002F2DF6"/>
    <w:rsid w:val="002F36A5"/>
    <w:rsid w:val="002F4AEB"/>
    <w:rsid w:val="002F4EC8"/>
    <w:rsid w:val="002F5890"/>
    <w:rsid w:val="002F610C"/>
    <w:rsid w:val="002F73FC"/>
    <w:rsid w:val="002F7999"/>
    <w:rsid w:val="00300251"/>
    <w:rsid w:val="003011F9"/>
    <w:rsid w:val="0030166E"/>
    <w:rsid w:val="00301D6B"/>
    <w:rsid w:val="00302329"/>
    <w:rsid w:val="003036BA"/>
    <w:rsid w:val="0030470A"/>
    <w:rsid w:val="0030625E"/>
    <w:rsid w:val="003070B7"/>
    <w:rsid w:val="0030725F"/>
    <w:rsid w:val="00310159"/>
    <w:rsid w:val="00310759"/>
    <w:rsid w:val="00310FE5"/>
    <w:rsid w:val="00312BCB"/>
    <w:rsid w:val="0031323D"/>
    <w:rsid w:val="00313AE7"/>
    <w:rsid w:val="003149A2"/>
    <w:rsid w:val="003150B1"/>
    <w:rsid w:val="003203D9"/>
    <w:rsid w:val="00321540"/>
    <w:rsid w:val="003216C3"/>
    <w:rsid w:val="00321CEC"/>
    <w:rsid w:val="00322179"/>
    <w:rsid w:val="00323497"/>
    <w:rsid w:val="00324548"/>
    <w:rsid w:val="00324E7E"/>
    <w:rsid w:val="0032518C"/>
    <w:rsid w:val="003255A3"/>
    <w:rsid w:val="00325DCE"/>
    <w:rsid w:val="003270B6"/>
    <w:rsid w:val="003272B6"/>
    <w:rsid w:val="00330C40"/>
    <w:rsid w:val="0033104C"/>
    <w:rsid w:val="0033178B"/>
    <w:rsid w:val="003318EE"/>
    <w:rsid w:val="00331D11"/>
    <w:rsid w:val="00332C6E"/>
    <w:rsid w:val="00332D93"/>
    <w:rsid w:val="003338FC"/>
    <w:rsid w:val="003340D7"/>
    <w:rsid w:val="0033475F"/>
    <w:rsid w:val="003349FA"/>
    <w:rsid w:val="00334D4C"/>
    <w:rsid w:val="003351CE"/>
    <w:rsid w:val="00335900"/>
    <w:rsid w:val="00335964"/>
    <w:rsid w:val="00335DB0"/>
    <w:rsid w:val="00336225"/>
    <w:rsid w:val="0033694D"/>
    <w:rsid w:val="003377D9"/>
    <w:rsid w:val="00337AC2"/>
    <w:rsid w:val="00337FB2"/>
    <w:rsid w:val="00342253"/>
    <w:rsid w:val="0034281C"/>
    <w:rsid w:val="00342CF3"/>
    <w:rsid w:val="003430F3"/>
    <w:rsid w:val="00343280"/>
    <w:rsid w:val="003434DB"/>
    <w:rsid w:val="00344CF4"/>
    <w:rsid w:val="00345CB5"/>
    <w:rsid w:val="00345FA1"/>
    <w:rsid w:val="003469BB"/>
    <w:rsid w:val="003473C2"/>
    <w:rsid w:val="003476A5"/>
    <w:rsid w:val="00347795"/>
    <w:rsid w:val="00347AA9"/>
    <w:rsid w:val="003501B2"/>
    <w:rsid w:val="003509C7"/>
    <w:rsid w:val="00350F6D"/>
    <w:rsid w:val="003510AD"/>
    <w:rsid w:val="0035119A"/>
    <w:rsid w:val="003522E9"/>
    <w:rsid w:val="00352448"/>
    <w:rsid w:val="00352999"/>
    <w:rsid w:val="003534BC"/>
    <w:rsid w:val="003536DA"/>
    <w:rsid w:val="003553F5"/>
    <w:rsid w:val="00360C8A"/>
    <w:rsid w:val="003616DA"/>
    <w:rsid w:val="00361B4D"/>
    <w:rsid w:val="00361CC2"/>
    <w:rsid w:val="00363D73"/>
    <w:rsid w:val="00364DF0"/>
    <w:rsid w:val="00365568"/>
    <w:rsid w:val="00365DBD"/>
    <w:rsid w:val="003662A4"/>
    <w:rsid w:val="00366F75"/>
    <w:rsid w:val="00367A7F"/>
    <w:rsid w:val="00370268"/>
    <w:rsid w:val="00370E5E"/>
    <w:rsid w:val="0037181B"/>
    <w:rsid w:val="00372CD0"/>
    <w:rsid w:val="003741E2"/>
    <w:rsid w:val="00374316"/>
    <w:rsid w:val="00374FAD"/>
    <w:rsid w:val="003751CA"/>
    <w:rsid w:val="003763CF"/>
    <w:rsid w:val="003778AF"/>
    <w:rsid w:val="003779B8"/>
    <w:rsid w:val="00377E33"/>
    <w:rsid w:val="00380077"/>
    <w:rsid w:val="00380EA8"/>
    <w:rsid w:val="00381055"/>
    <w:rsid w:val="0038212D"/>
    <w:rsid w:val="00382539"/>
    <w:rsid w:val="0038255F"/>
    <w:rsid w:val="003832E1"/>
    <w:rsid w:val="00384651"/>
    <w:rsid w:val="00384824"/>
    <w:rsid w:val="00384ED9"/>
    <w:rsid w:val="0038507F"/>
    <w:rsid w:val="003855EB"/>
    <w:rsid w:val="00386361"/>
    <w:rsid w:val="00386CEA"/>
    <w:rsid w:val="00386F7B"/>
    <w:rsid w:val="00387D07"/>
    <w:rsid w:val="00390132"/>
    <w:rsid w:val="00390172"/>
    <w:rsid w:val="0039112F"/>
    <w:rsid w:val="00391972"/>
    <w:rsid w:val="00394091"/>
    <w:rsid w:val="003941C4"/>
    <w:rsid w:val="003943F5"/>
    <w:rsid w:val="003949A7"/>
    <w:rsid w:val="003956DF"/>
    <w:rsid w:val="003958D0"/>
    <w:rsid w:val="00395F34"/>
    <w:rsid w:val="00396E66"/>
    <w:rsid w:val="003971C0"/>
    <w:rsid w:val="003A05FE"/>
    <w:rsid w:val="003A060A"/>
    <w:rsid w:val="003A2CC5"/>
    <w:rsid w:val="003A313E"/>
    <w:rsid w:val="003A3F00"/>
    <w:rsid w:val="003A4FB0"/>
    <w:rsid w:val="003A5902"/>
    <w:rsid w:val="003A6FB8"/>
    <w:rsid w:val="003B0B14"/>
    <w:rsid w:val="003B1167"/>
    <w:rsid w:val="003B11F8"/>
    <w:rsid w:val="003B12B5"/>
    <w:rsid w:val="003B132E"/>
    <w:rsid w:val="003B1740"/>
    <w:rsid w:val="003B235A"/>
    <w:rsid w:val="003B2C96"/>
    <w:rsid w:val="003B31B9"/>
    <w:rsid w:val="003B5018"/>
    <w:rsid w:val="003B5053"/>
    <w:rsid w:val="003B59DC"/>
    <w:rsid w:val="003B5AC4"/>
    <w:rsid w:val="003B5ADD"/>
    <w:rsid w:val="003C0120"/>
    <w:rsid w:val="003C01F7"/>
    <w:rsid w:val="003C170A"/>
    <w:rsid w:val="003C264D"/>
    <w:rsid w:val="003C3C17"/>
    <w:rsid w:val="003C4458"/>
    <w:rsid w:val="003C44E0"/>
    <w:rsid w:val="003C46CA"/>
    <w:rsid w:val="003C495E"/>
    <w:rsid w:val="003C4F3B"/>
    <w:rsid w:val="003C5765"/>
    <w:rsid w:val="003C7B5C"/>
    <w:rsid w:val="003D2083"/>
    <w:rsid w:val="003D2260"/>
    <w:rsid w:val="003D270B"/>
    <w:rsid w:val="003D2D93"/>
    <w:rsid w:val="003D2ED8"/>
    <w:rsid w:val="003D345F"/>
    <w:rsid w:val="003D363B"/>
    <w:rsid w:val="003D366C"/>
    <w:rsid w:val="003D5195"/>
    <w:rsid w:val="003D5943"/>
    <w:rsid w:val="003D5AF7"/>
    <w:rsid w:val="003D5C4D"/>
    <w:rsid w:val="003D7590"/>
    <w:rsid w:val="003D7627"/>
    <w:rsid w:val="003D7D68"/>
    <w:rsid w:val="003D7F66"/>
    <w:rsid w:val="003E04C4"/>
    <w:rsid w:val="003E05DD"/>
    <w:rsid w:val="003E0E4A"/>
    <w:rsid w:val="003E124D"/>
    <w:rsid w:val="003E16FD"/>
    <w:rsid w:val="003E17BC"/>
    <w:rsid w:val="003E2752"/>
    <w:rsid w:val="003E3C51"/>
    <w:rsid w:val="003E584C"/>
    <w:rsid w:val="003E7ACF"/>
    <w:rsid w:val="003E7F7A"/>
    <w:rsid w:val="003F0381"/>
    <w:rsid w:val="003F106F"/>
    <w:rsid w:val="003F1886"/>
    <w:rsid w:val="003F1A98"/>
    <w:rsid w:val="003F1CF3"/>
    <w:rsid w:val="003F2319"/>
    <w:rsid w:val="003F3A7A"/>
    <w:rsid w:val="003F3D43"/>
    <w:rsid w:val="003F5A6C"/>
    <w:rsid w:val="003F7005"/>
    <w:rsid w:val="00400A64"/>
    <w:rsid w:val="00400AE2"/>
    <w:rsid w:val="00401952"/>
    <w:rsid w:val="00404D69"/>
    <w:rsid w:val="00404E2E"/>
    <w:rsid w:val="00404EC9"/>
    <w:rsid w:val="0040559E"/>
    <w:rsid w:val="004059D3"/>
    <w:rsid w:val="00405E5A"/>
    <w:rsid w:val="0040798C"/>
    <w:rsid w:val="00410052"/>
    <w:rsid w:val="00411F59"/>
    <w:rsid w:val="0041315B"/>
    <w:rsid w:val="00413337"/>
    <w:rsid w:val="004134B6"/>
    <w:rsid w:val="00413E4E"/>
    <w:rsid w:val="0041428A"/>
    <w:rsid w:val="004144C7"/>
    <w:rsid w:val="00414955"/>
    <w:rsid w:val="00415C7B"/>
    <w:rsid w:val="00415DC5"/>
    <w:rsid w:val="004164B2"/>
    <w:rsid w:val="004166A0"/>
    <w:rsid w:val="0041677F"/>
    <w:rsid w:val="0041725D"/>
    <w:rsid w:val="0042027A"/>
    <w:rsid w:val="00421083"/>
    <w:rsid w:val="004235E5"/>
    <w:rsid w:val="00424415"/>
    <w:rsid w:val="00424628"/>
    <w:rsid w:val="00424C01"/>
    <w:rsid w:val="00425E75"/>
    <w:rsid w:val="00426F1E"/>
    <w:rsid w:val="00427201"/>
    <w:rsid w:val="00427321"/>
    <w:rsid w:val="004276A8"/>
    <w:rsid w:val="00427E16"/>
    <w:rsid w:val="00430B0B"/>
    <w:rsid w:val="0043100F"/>
    <w:rsid w:val="00431389"/>
    <w:rsid w:val="0043276C"/>
    <w:rsid w:val="00432FC7"/>
    <w:rsid w:val="004330AC"/>
    <w:rsid w:val="00433AA7"/>
    <w:rsid w:val="00435A88"/>
    <w:rsid w:val="00436F96"/>
    <w:rsid w:val="00437B6D"/>
    <w:rsid w:val="00437DEC"/>
    <w:rsid w:val="00437FD6"/>
    <w:rsid w:val="004402E1"/>
    <w:rsid w:val="0044244E"/>
    <w:rsid w:val="00443F94"/>
    <w:rsid w:val="00444EBB"/>
    <w:rsid w:val="004452C1"/>
    <w:rsid w:val="0044587D"/>
    <w:rsid w:val="00445B91"/>
    <w:rsid w:val="00445C48"/>
    <w:rsid w:val="00446209"/>
    <w:rsid w:val="00446A0B"/>
    <w:rsid w:val="0044774A"/>
    <w:rsid w:val="00450307"/>
    <w:rsid w:val="00451555"/>
    <w:rsid w:val="004536EF"/>
    <w:rsid w:val="00454A0B"/>
    <w:rsid w:val="00454E2B"/>
    <w:rsid w:val="00456FDB"/>
    <w:rsid w:val="00457724"/>
    <w:rsid w:val="00460A0B"/>
    <w:rsid w:val="00462A29"/>
    <w:rsid w:val="00463846"/>
    <w:rsid w:val="00463A55"/>
    <w:rsid w:val="00463E21"/>
    <w:rsid w:val="00463FB0"/>
    <w:rsid w:val="00464A5C"/>
    <w:rsid w:val="00464EC9"/>
    <w:rsid w:val="00465513"/>
    <w:rsid w:val="00471A0D"/>
    <w:rsid w:val="0047202B"/>
    <w:rsid w:val="004724C7"/>
    <w:rsid w:val="00474145"/>
    <w:rsid w:val="00474332"/>
    <w:rsid w:val="00474E04"/>
    <w:rsid w:val="00476655"/>
    <w:rsid w:val="00476979"/>
    <w:rsid w:val="00476A4A"/>
    <w:rsid w:val="00480153"/>
    <w:rsid w:val="00481329"/>
    <w:rsid w:val="0048191A"/>
    <w:rsid w:val="00482A72"/>
    <w:rsid w:val="0048699C"/>
    <w:rsid w:val="00490139"/>
    <w:rsid w:val="0049020A"/>
    <w:rsid w:val="00491921"/>
    <w:rsid w:val="004919B4"/>
    <w:rsid w:val="004927A7"/>
    <w:rsid w:val="0049335A"/>
    <w:rsid w:val="0049335D"/>
    <w:rsid w:val="00493B2D"/>
    <w:rsid w:val="00494054"/>
    <w:rsid w:val="004956F1"/>
    <w:rsid w:val="00496896"/>
    <w:rsid w:val="00496ACF"/>
    <w:rsid w:val="004A145A"/>
    <w:rsid w:val="004A4306"/>
    <w:rsid w:val="004A489A"/>
    <w:rsid w:val="004A4C68"/>
    <w:rsid w:val="004A5D0E"/>
    <w:rsid w:val="004A5EED"/>
    <w:rsid w:val="004A71A5"/>
    <w:rsid w:val="004A71CC"/>
    <w:rsid w:val="004B0631"/>
    <w:rsid w:val="004B0754"/>
    <w:rsid w:val="004B2287"/>
    <w:rsid w:val="004B23FD"/>
    <w:rsid w:val="004B24CB"/>
    <w:rsid w:val="004B3D47"/>
    <w:rsid w:val="004B4020"/>
    <w:rsid w:val="004B517F"/>
    <w:rsid w:val="004B52ED"/>
    <w:rsid w:val="004B545D"/>
    <w:rsid w:val="004B551E"/>
    <w:rsid w:val="004B589B"/>
    <w:rsid w:val="004B5AA9"/>
    <w:rsid w:val="004B68D3"/>
    <w:rsid w:val="004B6993"/>
    <w:rsid w:val="004B6A23"/>
    <w:rsid w:val="004B6E68"/>
    <w:rsid w:val="004B71FB"/>
    <w:rsid w:val="004C0584"/>
    <w:rsid w:val="004C1BF9"/>
    <w:rsid w:val="004C2C02"/>
    <w:rsid w:val="004C3B74"/>
    <w:rsid w:val="004C437D"/>
    <w:rsid w:val="004C5974"/>
    <w:rsid w:val="004C6598"/>
    <w:rsid w:val="004D33B5"/>
    <w:rsid w:val="004D3852"/>
    <w:rsid w:val="004D5278"/>
    <w:rsid w:val="004D70C9"/>
    <w:rsid w:val="004D71E6"/>
    <w:rsid w:val="004E3B72"/>
    <w:rsid w:val="004E4869"/>
    <w:rsid w:val="004E4E62"/>
    <w:rsid w:val="004E62FE"/>
    <w:rsid w:val="004E6D4F"/>
    <w:rsid w:val="004E6D81"/>
    <w:rsid w:val="004E6DF1"/>
    <w:rsid w:val="004F02F8"/>
    <w:rsid w:val="004F036B"/>
    <w:rsid w:val="004F0A24"/>
    <w:rsid w:val="004F14E2"/>
    <w:rsid w:val="004F1BFF"/>
    <w:rsid w:val="004F232C"/>
    <w:rsid w:val="004F4834"/>
    <w:rsid w:val="004F4F52"/>
    <w:rsid w:val="004F5611"/>
    <w:rsid w:val="004F7242"/>
    <w:rsid w:val="004F7C44"/>
    <w:rsid w:val="00501DA3"/>
    <w:rsid w:val="0050255A"/>
    <w:rsid w:val="0050343B"/>
    <w:rsid w:val="0050360A"/>
    <w:rsid w:val="00504AD1"/>
    <w:rsid w:val="00505C6D"/>
    <w:rsid w:val="005066C6"/>
    <w:rsid w:val="00507B76"/>
    <w:rsid w:val="00510E44"/>
    <w:rsid w:val="005118FC"/>
    <w:rsid w:val="00511A25"/>
    <w:rsid w:val="00511E11"/>
    <w:rsid w:val="00512205"/>
    <w:rsid w:val="005124AE"/>
    <w:rsid w:val="00513985"/>
    <w:rsid w:val="00514398"/>
    <w:rsid w:val="005145F8"/>
    <w:rsid w:val="005146E4"/>
    <w:rsid w:val="00515D60"/>
    <w:rsid w:val="0051620D"/>
    <w:rsid w:val="00517C51"/>
    <w:rsid w:val="00517D30"/>
    <w:rsid w:val="00517FDC"/>
    <w:rsid w:val="005201A5"/>
    <w:rsid w:val="00520B9C"/>
    <w:rsid w:val="005210C8"/>
    <w:rsid w:val="0052170F"/>
    <w:rsid w:val="005228EF"/>
    <w:rsid w:val="00523136"/>
    <w:rsid w:val="0052341E"/>
    <w:rsid w:val="00523939"/>
    <w:rsid w:val="005245CD"/>
    <w:rsid w:val="00524844"/>
    <w:rsid w:val="00524A31"/>
    <w:rsid w:val="00524C57"/>
    <w:rsid w:val="00525792"/>
    <w:rsid w:val="00526728"/>
    <w:rsid w:val="00526D95"/>
    <w:rsid w:val="005320B0"/>
    <w:rsid w:val="00532776"/>
    <w:rsid w:val="0053285F"/>
    <w:rsid w:val="00532D6B"/>
    <w:rsid w:val="00533978"/>
    <w:rsid w:val="00535298"/>
    <w:rsid w:val="005366B4"/>
    <w:rsid w:val="00536B86"/>
    <w:rsid w:val="00536DF0"/>
    <w:rsid w:val="00537043"/>
    <w:rsid w:val="005377AB"/>
    <w:rsid w:val="0054009F"/>
    <w:rsid w:val="00540FE8"/>
    <w:rsid w:val="005419CB"/>
    <w:rsid w:val="005426D0"/>
    <w:rsid w:val="005452F5"/>
    <w:rsid w:val="00545836"/>
    <w:rsid w:val="00551502"/>
    <w:rsid w:val="005519C0"/>
    <w:rsid w:val="0055426E"/>
    <w:rsid w:val="0055451E"/>
    <w:rsid w:val="00554658"/>
    <w:rsid w:val="00555592"/>
    <w:rsid w:val="00555C77"/>
    <w:rsid w:val="005560B5"/>
    <w:rsid w:val="00556623"/>
    <w:rsid w:val="00556914"/>
    <w:rsid w:val="00557021"/>
    <w:rsid w:val="00557A78"/>
    <w:rsid w:val="00557F1F"/>
    <w:rsid w:val="00560C69"/>
    <w:rsid w:val="00561A65"/>
    <w:rsid w:val="005624F3"/>
    <w:rsid w:val="00563626"/>
    <w:rsid w:val="00563CE2"/>
    <w:rsid w:val="00564412"/>
    <w:rsid w:val="00564BC5"/>
    <w:rsid w:val="00564D12"/>
    <w:rsid w:val="005661A4"/>
    <w:rsid w:val="005670FB"/>
    <w:rsid w:val="0056737A"/>
    <w:rsid w:val="00567F8A"/>
    <w:rsid w:val="00570A70"/>
    <w:rsid w:val="00570C37"/>
    <w:rsid w:val="00570EF3"/>
    <w:rsid w:val="005722EA"/>
    <w:rsid w:val="00573FEA"/>
    <w:rsid w:val="005743F7"/>
    <w:rsid w:val="0057451D"/>
    <w:rsid w:val="00574DFC"/>
    <w:rsid w:val="00574E9A"/>
    <w:rsid w:val="00575032"/>
    <w:rsid w:val="005753BB"/>
    <w:rsid w:val="00575E1F"/>
    <w:rsid w:val="00576167"/>
    <w:rsid w:val="00576A8F"/>
    <w:rsid w:val="005770BA"/>
    <w:rsid w:val="00577E0D"/>
    <w:rsid w:val="00580598"/>
    <w:rsid w:val="005823A6"/>
    <w:rsid w:val="00582A02"/>
    <w:rsid w:val="00582E29"/>
    <w:rsid w:val="00583370"/>
    <w:rsid w:val="00583B62"/>
    <w:rsid w:val="00583CE1"/>
    <w:rsid w:val="00583DC0"/>
    <w:rsid w:val="00583E1D"/>
    <w:rsid w:val="00585875"/>
    <w:rsid w:val="005859D2"/>
    <w:rsid w:val="00587E37"/>
    <w:rsid w:val="005905B9"/>
    <w:rsid w:val="00590BEB"/>
    <w:rsid w:val="00590C15"/>
    <w:rsid w:val="00591E85"/>
    <w:rsid w:val="005928F4"/>
    <w:rsid w:val="00592DCA"/>
    <w:rsid w:val="0059440F"/>
    <w:rsid w:val="00595475"/>
    <w:rsid w:val="00595D99"/>
    <w:rsid w:val="005A09D5"/>
    <w:rsid w:val="005A3A36"/>
    <w:rsid w:val="005A5053"/>
    <w:rsid w:val="005A54F6"/>
    <w:rsid w:val="005A59C4"/>
    <w:rsid w:val="005A6DED"/>
    <w:rsid w:val="005A783E"/>
    <w:rsid w:val="005B056D"/>
    <w:rsid w:val="005B1C2F"/>
    <w:rsid w:val="005B3406"/>
    <w:rsid w:val="005B39EC"/>
    <w:rsid w:val="005B3A9B"/>
    <w:rsid w:val="005B5D75"/>
    <w:rsid w:val="005B6063"/>
    <w:rsid w:val="005B6D41"/>
    <w:rsid w:val="005B7D3A"/>
    <w:rsid w:val="005C07CC"/>
    <w:rsid w:val="005C2F43"/>
    <w:rsid w:val="005C3A5C"/>
    <w:rsid w:val="005C4565"/>
    <w:rsid w:val="005C45E8"/>
    <w:rsid w:val="005C4F57"/>
    <w:rsid w:val="005C50DE"/>
    <w:rsid w:val="005C621B"/>
    <w:rsid w:val="005C6413"/>
    <w:rsid w:val="005C6741"/>
    <w:rsid w:val="005D04AC"/>
    <w:rsid w:val="005D10F1"/>
    <w:rsid w:val="005D1E75"/>
    <w:rsid w:val="005D209E"/>
    <w:rsid w:val="005D479A"/>
    <w:rsid w:val="005D544A"/>
    <w:rsid w:val="005D5489"/>
    <w:rsid w:val="005D556C"/>
    <w:rsid w:val="005D5D8C"/>
    <w:rsid w:val="005D61D3"/>
    <w:rsid w:val="005D641B"/>
    <w:rsid w:val="005D6467"/>
    <w:rsid w:val="005D72EE"/>
    <w:rsid w:val="005E11C0"/>
    <w:rsid w:val="005E177E"/>
    <w:rsid w:val="005E243E"/>
    <w:rsid w:val="005E26C4"/>
    <w:rsid w:val="005E2BC7"/>
    <w:rsid w:val="005E2E85"/>
    <w:rsid w:val="005E3AF6"/>
    <w:rsid w:val="005E4B03"/>
    <w:rsid w:val="005E677F"/>
    <w:rsid w:val="005E726C"/>
    <w:rsid w:val="005E7AE1"/>
    <w:rsid w:val="005E7B12"/>
    <w:rsid w:val="005F0A13"/>
    <w:rsid w:val="005F193D"/>
    <w:rsid w:val="005F1C76"/>
    <w:rsid w:val="005F1FD9"/>
    <w:rsid w:val="005F2032"/>
    <w:rsid w:val="005F3B2C"/>
    <w:rsid w:val="005F3CF7"/>
    <w:rsid w:val="005F4BB6"/>
    <w:rsid w:val="005F61AB"/>
    <w:rsid w:val="005F6FE2"/>
    <w:rsid w:val="005F745D"/>
    <w:rsid w:val="005F7A38"/>
    <w:rsid w:val="005F7F39"/>
    <w:rsid w:val="0060114E"/>
    <w:rsid w:val="00601405"/>
    <w:rsid w:val="006015E6"/>
    <w:rsid w:val="00601F5E"/>
    <w:rsid w:val="00602A37"/>
    <w:rsid w:val="006034AD"/>
    <w:rsid w:val="00603FF7"/>
    <w:rsid w:val="00605CA2"/>
    <w:rsid w:val="00610786"/>
    <w:rsid w:val="00611827"/>
    <w:rsid w:val="006121F5"/>
    <w:rsid w:val="0061250F"/>
    <w:rsid w:val="006126CC"/>
    <w:rsid w:val="006138F0"/>
    <w:rsid w:val="0061509F"/>
    <w:rsid w:val="00615494"/>
    <w:rsid w:val="00615BB7"/>
    <w:rsid w:val="006165BA"/>
    <w:rsid w:val="006169F4"/>
    <w:rsid w:val="00616CFB"/>
    <w:rsid w:val="00617CE2"/>
    <w:rsid w:val="006206F3"/>
    <w:rsid w:val="00620D68"/>
    <w:rsid w:val="00622113"/>
    <w:rsid w:val="00622971"/>
    <w:rsid w:val="00622A1E"/>
    <w:rsid w:val="00622FC4"/>
    <w:rsid w:val="00624B1F"/>
    <w:rsid w:val="00625652"/>
    <w:rsid w:val="00625CEA"/>
    <w:rsid w:val="00625DE7"/>
    <w:rsid w:val="00630B8B"/>
    <w:rsid w:val="00630C02"/>
    <w:rsid w:val="006310AB"/>
    <w:rsid w:val="006310F1"/>
    <w:rsid w:val="00631318"/>
    <w:rsid w:val="006337BB"/>
    <w:rsid w:val="00634779"/>
    <w:rsid w:val="00634AC9"/>
    <w:rsid w:val="00634BCB"/>
    <w:rsid w:val="006352F1"/>
    <w:rsid w:val="006354F9"/>
    <w:rsid w:val="00635559"/>
    <w:rsid w:val="0063562E"/>
    <w:rsid w:val="00635839"/>
    <w:rsid w:val="0063644D"/>
    <w:rsid w:val="00637653"/>
    <w:rsid w:val="00641079"/>
    <w:rsid w:val="00641FB8"/>
    <w:rsid w:val="00643410"/>
    <w:rsid w:val="00643956"/>
    <w:rsid w:val="00643ED6"/>
    <w:rsid w:val="00644BF1"/>
    <w:rsid w:val="0064521C"/>
    <w:rsid w:val="00646814"/>
    <w:rsid w:val="00647312"/>
    <w:rsid w:val="006473F9"/>
    <w:rsid w:val="00650265"/>
    <w:rsid w:val="00650727"/>
    <w:rsid w:val="006513C4"/>
    <w:rsid w:val="0065566A"/>
    <w:rsid w:val="00655788"/>
    <w:rsid w:val="006557CE"/>
    <w:rsid w:val="00656EA2"/>
    <w:rsid w:val="00657786"/>
    <w:rsid w:val="00657E66"/>
    <w:rsid w:val="00662994"/>
    <w:rsid w:val="00662B74"/>
    <w:rsid w:val="00663163"/>
    <w:rsid w:val="0066418C"/>
    <w:rsid w:val="006652FF"/>
    <w:rsid w:val="0066559B"/>
    <w:rsid w:val="00666C9D"/>
    <w:rsid w:val="00666DD9"/>
    <w:rsid w:val="00670565"/>
    <w:rsid w:val="00672043"/>
    <w:rsid w:val="00672778"/>
    <w:rsid w:val="00672F73"/>
    <w:rsid w:val="00673565"/>
    <w:rsid w:val="00673F16"/>
    <w:rsid w:val="0067424E"/>
    <w:rsid w:val="00676C06"/>
    <w:rsid w:val="006805B7"/>
    <w:rsid w:val="00680B8C"/>
    <w:rsid w:val="00681486"/>
    <w:rsid w:val="00682BA5"/>
    <w:rsid w:val="006832CB"/>
    <w:rsid w:val="00683BB4"/>
    <w:rsid w:val="00685E65"/>
    <w:rsid w:val="006877FE"/>
    <w:rsid w:val="00687EB1"/>
    <w:rsid w:val="006900B3"/>
    <w:rsid w:val="00691638"/>
    <w:rsid w:val="00691D2F"/>
    <w:rsid w:val="00691FD0"/>
    <w:rsid w:val="00691FF7"/>
    <w:rsid w:val="00692757"/>
    <w:rsid w:val="00692941"/>
    <w:rsid w:val="006939C2"/>
    <w:rsid w:val="0069421E"/>
    <w:rsid w:val="00694D10"/>
    <w:rsid w:val="0069512D"/>
    <w:rsid w:val="006955FD"/>
    <w:rsid w:val="006963DF"/>
    <w:rsid w:val="00696BE3"/>
    <w:rsid w:val="00697603"/>
    <w:rsid w:val="00697D43"/>
    <w:rsid w:val="006A0162"/>
    <w:rsid w:val="006A0323"/>
    <w:rsid w:val="006A0346"/>
    <w:rsid w:val="006A08CF"/>
    <w:rsid w:val="006A0B1B"/>
    <w:rsid w:val="006A116B"/>
    <w:rsid w:val="006A16F8"/>
    <w:rsid w:val="006A32CF"/>
    <w:rsid w:val="006A49BC"/>
    <w:rsid w:val="006A5765"/>
    <w:rsid w:val="006A57A4"/>
    <w:rsid w:val="006A62B7"/>
    <w:rsid w:val="006A6B00"/>
    <w:rsid w:val="006A713F"/>
    <w:rsid w:val="006A7E9B"/>
    <w:rsid w:val="006B01B5"/>
    <w:rsid w:val="006B0E3F"/>
    <w:rsid w:val="006B108C"/>
    <w:rsid w:val="006B124D"/>
    <w:rsid w:val="006B1E25"/>
    <w:rsid w:val="006B27F1"/>
    <w:rsid w:val="006B2FEF"/>
    <w:rsid w:val="006B3B03"/>
    <w:rsid w:val="006B3C1D"/>
    <w:rsid w:val="006B3E3D"/>
    <w:rsid w:val="006B3E57"/>
    <w:rsid w:val="006B648D"/>
    <w:rsid w:val="006B6D46"/>
    <w:rsid w:val="006C0A45"/>
    <w:rsid w:val="006C1201"/>
    <w:rsid w:val="006C1BA2"/>
    <w:rsid w:val="006C2029"/>
    <w:rsid w:val="006C2C4E"/>
    <w:rsid w:val="006C3528"/>
    <w:rsid w:val="006C4482"/>
    <w:rsid w:val="006C4ACD"/>
    <w:rsid w:val="006C554C"/>
    <w:rsid w:val="006C5C5D"/>
    <w:rsid w:val="006C5CB9"/>
    <w:rsid w:val="006C66D0"/>
    <w:rsid w:val="006C675D"/>
    <w:rsid w:val="006C6A9C"/>
    <w:rsid w:val="006C6F70"/>
    <w:rsid w:val="006C7B88"/>
    <w:rsid w:val="006C7FF8"/>
    <w:rsid w:val="006D0383"/>
    <w:rsid w:val="006D03DB"/>
    <w:rsid w:val="006D09EB"/>
    <w:rsid w:val="006D337C"/>
    <w:rsid w:val="006D3569"/>
    <w:rsid w:val="006D3A6C"/>
    <w:rsid w:val="006D429A"/>
    <w:rsid w:val="006D4F66"/>
    <w:rsid w:val="006D5C23"/>
    <w:rsid w:val="006D5E81"/>
    <w:rsid w:val="006D5F90"/>
    <w:rsid w:val="006D660D"/>
    <w:rsid w:val="006D7C3C"/>
    <w:rsid w:val="006E20B4"/>
    <w:rsid w:val="006E224C"/>
    <w:rsid w:val="006E2917"/>
    <w:rsid w:val="006E3513"/>
    <w:rsid w:val="006E3881"/>
    <w:rsid w:val="006E3C31"/>
    <w:rsid w:val="006E4689"/>
    <w:rsid w:val="006E52C6"/>
    <w:rsid w:val="006E59CB"/>
    <w:rsid w:val="006E7C6D"/>
    <w:rsid w:val="006F0107"/>
    <w:rsid w:val="006F1186"/>
    <w:rsid w:val="006F2640"/>
    <w:rsid w:val="006F2748"/>
    <w:rsid w:val="006F3592"/>
    <w:rsid w:val="006F4386"/>
    <w:rsid w:val="006F5533"/>
    <w:rsid w:val="006F610D"/>
    <w:rsid w:val="006F6FBF"/>
    <w:rsid w:val="006F7376"/>
    <w:rsid w:val="006F76F0"/>
    <w:rsid w:val="006F77DF"/>
    <w:rsid w:val="0070000A"/>
    <w:rsid w:val="00700587"/>
    <w:rsid w:val="00700B02"/>
    <w:rsid w:val="0070181A"/>
    <w:rsid w:val="00702CA8"/>
    <w:rsid w:val="00704266"/>
    <w:rsid w:val="00704449"/>
    <w:rsid w:val="007045F6"/>
    <w:rsid w:val="00704997"/>
    <w:rsid w:val="00704AA5"/>
    <w:rsid w:val="00704F97"/>
    <w:rsid w:val="007058CF"/>
    <w:rsid w:val="00705C99"/>
    <w:rsid w:val="0071002D"/>
    <w:rsid w:val="00710640"/>
    <w:rsid w:val="0071105D"/>
    <w:rsid w:val="0071119D"/>
    <w:rsid w:val="0071177E"/>
    <w:rsid w:val="00711A92"/>
    <w:rsid w:val="00711B27"/>
    <w:rsid w:val="00711C28"/>
    <w:rsid w:val="007121C3"/>
    <w:rsid w:val="00712966"/>
    <w:rsid w:val="00713E5A"/>
    <w:rsid w:val="007144A2"/>
    <w:rsid w:val="00716310"/>
    <w:rsid w:val="00720567"/>
    <w:rsid w:val="00720B57"/>
    <w:rsid w:val="00720C9D"/>
    <w:rsid w:val="00721B3B"/>
    <w:rsid w:val="00726BB9"/>
    <w:rsid w:val="00730259"/>
    <w:rsid w:val="00731B96"/>
    <w:rsid w:val="007340D4"/>
    <w:rsid w:val="007340F9"/>
    <w:rsid w:val="00734C33"/>
    <w:rsid w:val="00735982"/>
    <w:rsid w:val="007364CA"/>
    <w:rsid w:val="00736521"/>
    <w:rsid w:val="00736583"/>
    <w:rsid w:val="0074075C"/>
    <w:rsid w:val="007428DF"/>
    <w:rsid w:val="00742ADB"/>
    <w:rsid w:val="00743392"/>
    <w:rsid w:val="007440B9"/>
    <w:rsid w:val="00745853"/>
    <w:rsid w:val="007461B4"/>
    <w:rsid w:val="007466EE"/>
    <w:rsid w:val="00747297"/>
    <w:rsid w:val="00747818"/>
    <w:rsid w:val="007500E2"/>
    <w:rsid w:val="007509F9"/>
    <w:rsid w:val="00750D38"/>
    <w:rsid w:val="00751942"/>
    <w:rsid w:val="0075276D"/>
    <w:rsid w:val="007529DE"/>
    <w:rsid w:val="00752F56"/>
    <w:rsid w:val="007531E6"/>
    <w:rsid w:val="0075424A"/>
    <w:rsid w:val="00754378"/>
    <w:rsid w:val="00754D79"/>
    <w:rsid w:val="00757FA2"/>
    <w:rsid w:val="0076170C"/>
    <w:rsid w:val="007619FA"/>
    <w:rsid w:val="00761D8C"/>
    <w:rsid w:val="00761F9B"/>
    <w:rsid w:val="00762166"/>
    <w:rsid w:val="007622A3"/>
    <w:rsid w:val="00763128"/>
    <w:rsid w:val="00763411"/>
    <w:rsid w:val="007643C3"/>
    <w:rsid w:val="007646D6"/>
    <w:rsid w:val="007649F1"/>
    <w:rsid w:val="007667BB"/>
    <w:rsid w:val="00766A6D"/>
    <w:rsid w:val="00770025"/>
    <w:rsid w:val="00770708"/>
    <w:rsid w:val="0077094F"/>
    <w:rsid w:val="007709DD"/>
    <w:rsid w:val="00771341"/>
    <w:rsid w:val="007744A1"/>
    <w:rsid w:val="007755CB"/>
    <w:rsid w:val="00775B4C"/>
    <w:rsid w:val="00776FE3"/>
    <w:rsid w:val="0078044B"/>
    <w:rsid w:val="007814C5"/>
    <w:rsid w:val="00781838"/>
    <w:rsid w:val="00781CD0"/>
    <w:rsid w:val="00781E73"/>
    <w:rsid w:val="00782193"/>
    <w:rsid w:val="00782BE6"/>
    <w:rsid w:val="00782D84"/>
    <w:rsid w:val="007855B8"/>
    <w:rsid w:val="00785BCD"/>
    <w:rsid w:val="00786554"/>
    <w:rsid w:val="00786A7B"/>
    <w:rsid w:val="00787E13"/>
    <w:rsid w:val="00791416"/>
    <w:rsid w:val="0079157F"/>
    <w:rsid w:val="00791655"/>
    <w:rsid w:val="00794A42"/>
    <w:rsid w:val="00795CFF"/>
    <w:rsid w:val="007962EF"/>
    <w:rsid w:val="007965CF"/>
    <w:rsid w:val="00796861"/>
    <w:rsid w:val="00796A86"/>
    <w:rsid w:val="007971B8"/>
    <w:rsid w:val="00797252"/>
    <w:rsid w:val="00797C5B"/>
    <w:rsid w:val="00797F4B"/>
    <w:rsid w:val="007A0955"/>
    <w:rsid w:val="007A0A2B"/>
    <w:rsid w:val="007A0C29"/>
    <w:rsid w:val="007A0C98"/>
    <w:rsid w:val="007A131D"/>
    <w:rsid w:val="007A1A55"/>
    <w:rsid w:val="007A1BC0"/>
    <w:rsid w:val="007A1D20"/>
    <w:rsid w:val="007A3477"/>
    <w:rsid w:val="007A3DEA"/>
    <w:rsid w:val="007A44DE"/>
    <w:rsid w:val="007A4921"/>
    <w:rsid w:val="007A53C5"/>
    <w:rsid w:val="007A5868"/>
    <w:rsid w:val="007A5FCB"/>
    <w:rsid w:val="007A6650"/>
    <w:rsid w:val="007A6A64"/>
    <w:rsid w:val="007B0155"/>
    <w:rsid w:val="007B37C7"/>
    <w:rsid w:val="007B5186"/>
    <w:rsid w:val="007B54D2"/>
    <w:rsid w:val="007B6A9B"/>
    <w:rsid w:val="007B76CB"/>
    <w:rsid w:val="007B7779"/>
    <w:rsid w:val="007C01AC"/>
    <w:rsid w:val="007C01DF"/>
    <w:rsid w:val="007C02A5"/>
    <w:rsid w:val="007C0E03"/>
    <w:rsid w:val="007C15CE"/>
    <w:rsid w:val="007C1654"/>
    <w:rsid w:val="007C245D"/>
    <w:rsid w:val="007C27DC"/>
    <w:rsid w:val="007C2873"/>
    <w:rsid w:val="007C33C7"/>
    <w:rsid w:val="007C41AD"/>
    <w:rsid w:val="007C4A1E"/>
    <w:rsid w:val="007C4B1D"/>
    <w:rsid w:val="007C55B5"/>
    <w:rsid w:val="007C5A3F"/>
    <w:rsid w:val="007C61C6"/>
    <w:rsid w:val="007C647C"/>
    <w:rsid w:val="007C6F1E"/>
    <w:rsid w:val="007D03DD"/>
    <w:rsid w:val="007D0CF2"/>
    <w:rsid w:val="007D1265"/>
    <w:rsid w:val="007D2165"/>
    <w:rsid w:val="007D3476"/>
    <w:rsid w:val="007D37BA"/>
    <w:rsid w:val="007D3A88"/>
    <w:rsid w:val="007D4310"/>
    <w:rsid w:val="007D4449"/>
    <w:rsid w:val="007D4E0C"/>
    <w:rsid w:val="007D5524"/>
    <w:rsid w:val="007D5AF1"/>
    <w:rsid w:val="007D63E8"/>
    <w:rsid w:val="007D7D17"/>
    <w:rsid w:val="007E128F"/>
    <w:rsid w:val="007E144D"/>
    <w:rsid w:val="007E18C2"/>
    <w:rsid w:val="007E1B86"/>
    <w:rsid w:val="007E1CD5"/>
    <w:rsid w:val="007E2927"/>
    <w:rsid w:val="007E2F23"/>
    <w:rsid w:val="007E3796"/>
    <w:rsid w:val="007E39BA"/>
    <w:rsid w:val="007E4AFD"/>
    <w:rsid w:val="007E4C76"/>
    <w:rsid w:val="007E4E4E"/>
    <w:rsid w:val="007E4EE5"/>
    <w:rsid w:val="007E6CE8"/>
    <w:rsid w:val="007F004A"/>
    <w:rsid w:val="007F0424"/>
    <w:rsid w:val="007F0CA9"/>
    <w:rsid w:val="007F1187"/>
    <w:rsid w:val="007F16EA"/>
    <w:rsid w:val="007F1D8D"/>
    <w:rsid w:val="007F1F3B"/>
    <w:rsid w:val="007F303B"/>
    <w:rsid w:val="007F349D"/>
    <w:rsid w:val="007F403B"/>
    <w:rsid w:val="007F4668"/>
    <w:rsid w:val="007F593C"/>
    <w:rsid w:val="007F5D06"/>
    <w:rsid w:val="007F6424"/>
    <w:rsid w:val="007F67C1"/>
    <w:rsid w:val="00800041"/>
    <w:rsid w:val="00800724"/>
    <w:rsid w:val="008008C7"/>
    <w:rsid w:val="008013BE"/>
    <w:rsid w:val="008021F3"/>
    <w:rsid w:val="00802556"/>
    <w:rsid w:val="00803F14"/>
    <w:rsid w:val="00804A97"/>
    <w:rsid w:val="00806AEC"/>
    <w:rsid w:val="00807562"/>
    <w:rsid w:val="00807B51"/>
    <w:rsid w:val="00807FE3"/>
    <w:rsid w:val="0081045F"/>
    <w:rsid w:val="00810AE2"/>
    <w:rsid w:val="00810DF4"/>
    <w:rsid w:val="008130D8"/>
    <w:rsid w:val="0081435A"/>
    <w:rsid w:val="00815032"/>
    <w:rsid w:val="00815230"/>
    <w:rsid w:val="00815507"/>
    <w:rsid w:val="008167B7"/>
    <w:rsid w:val="0081745A"/>
    <w:rsid w:val="00817EA5"/>
    <w:rsid w:val="008216D2"/>
    <w:rsid w:val="00821D0A"/>
    <w:rsid w:val="00821E94"/>
    <w:rsid w:val="008220FF"/>
    <w:rsid w:val="008225AF"/>
    <w:rsid w:val="0082373E"/>
    <w:rsid w:val="008237A4"/>
    <w:rsid w:val="00824B9F"/>
    <w:rsid w:val="00824E47"/>
    <w:rsid w:val="0082513C"/>
    <w:rsid w:val="008253A0"/>
    <w:rsid w:val="0082691F"/>
    <w:rsid w:val="00830B52"/>
    <w:rsid w:val="008314D1"/>
    <w:rsid w:val="00831FDA"/>
    <w:rsid w:val="0083230F"/>
    <w:rsid w:val="00832490"/>
    <w:rsid w:val="008334F0"/>
    <w:rsid w:val="0083446C"/>
    <w:rsid w:val="00836647"/>
    <w:rsid w:val="00840466"/>
    <w:rsid w:val="008408A6"/>
    <w:rsid w:val="0084110B"/>
    <w:rsid w:val="008412FA"/>
    <w:rsid w:val="008419AA"/>
    <w:rsid w:val="00842833"/>
    <w:rsid w:val="00842E30"/>
    <w:rsid w:val="00843255"/>
    <w:rsid w:val="00843F72"/>
    <w:rsid w:val="00845159"/>
    <w:rsid w:val="0084744E"/>
    <w:rsid w:val="008479C8"/>
    <w:rsid w:val="00850523"/>
    <w:rsid w:val="00850705"/>
    <w:rsid w:val="00850F93"/>
    <w:rsid w:val="00851A70"/>
    <w:rsid w:val="00853B72"/>
    <w:rsid w:val="0085408E"/>
    <w:rsid w:val="0085517D"/>
    <w:rsid w:val="008553BD"/>
    <w:rsid w:val="008569E1"/>
    <w:rsid w:val="00856B91"/>
    <w:rsid w:val="00856C76"/>
    <w:rsid w:val="00857FBC"/>
    <w:rsid w:val="00860A96"/>
    <w:rsid w:val="00860D92"/>
    <w:rsid w:val="00862118"/>
    <w:rsid w:val="008627E2"/>
    <w:rsid w:val="00862E95"/>
    <w:rsid w:val="00863E51"/>
    <w:rsid w:val="00864893"/>
    <w:rsid w:val="008649B9"/>
    <w:rsid w:val="00865E62"/>
    <w:rsid w:val="008669E7"/>
    <w:rsid w:val="00866B54"/>
    <w:rsid w:val="0086713B"/>
    <w:rsid w:val="00867ED3"/>
    <w:rsid w:val="0087030E"/>
    <w:rsid w:val="00870C1B"/>
    <w:rsid w:val="0087149C"/>
    <w:rsid w:val="008718B7"/>
    <w:rsid w:val="00871A50"/>
    <w:rsid w:val="008736A4"/>
    <w:rsid w:val="00873C26"/>
    <w:rsid w:val="008756D4"/>
    <w:rsid w:val="0087622B"/>
    <w:rsid w:val="00876DA3"/>
    <w:rsid w:val="0087706E"/>
    <w:rsid w:val="00877C74"/>
    <w:rsid w:val="00877CA6"/>
    <w:rsid w:val="00880628"/>
    <w:rsid w:val="00881A02"/>
    <w:rsid w:val="0088275A"/>
    <w:rsid w:val="008828BA"/>
    <w:rsid w:val="00882907"/>
    <w:rsid w:val="00882ECA"/>
    <w:rsid w:val="00883EE9"/>
    <w:rsid w:val="00883EFA"/>
    <w:rsid w:val="00885AEB"/>
    <w:rsid w:val="00886225"/>
    <w:rsid w:val="008863BE"/>
    <w:rsid w:val="00886438"/>
    <w:rsid w:val="00887465"/>
    <w:rsid w:val="00887EF8"/>
    <w:rsid w:val="008912FF"/>
    <w:rsid w:val="008918D8"/>
    <w:rsid w:val="008930A2"/>
    <w:rsid w:val="00893C79"/>
    <w:rsid w:val="0089468C"/>
    <w:rsid w:val="0089486E"/>
    <w:rsid w:val="00894C97"/>
    <w:rsid w:val="00897282"/>
    <w:rsid w:val="008973C8"/>
    <w:rsid w:val="008974A0"/>
    <w:rsid w:val="00897BBB"/>
    <w:rsid w:val="00897C00"/>
    <w:rsid w:val="008A11EE"/>
    <w:rsid w:val="008A1DBE"/>
    <w:rsid w:val="008A3029"/>
    <w:rsid w:val="008A3554"/>
    <w:rsid w:val="008A3CAD"/>
    <w:rsid w:val="008A43AC"/>
    <w:rsid w:val="008A64B3"/>
    <w:rsid w:val="008A6E30"/>
    <w:rsid w:val="008B1245"/>
    <w:rsid w:val="008B18CC"/>
    <w:rsid w:val="008B26C9"/>
    <w:rsid w:val="008B2E5F"/>
    <w:rsid w:val="008B324A"/>
    <w:rsid w:val="008B3BCD"/>
    <w:rsid w:val="008B49BF"/>
    <w:rsid w:val="008B4B64"/>
    <w:rsid w:val="008B4F78"/>
    <w:rsid w:val="008B55CD"/>
    <w:rsid w:val="008B5644"/>
    <w:rsid w:val="008B5EE8"/>
    <w:rsid w:val="008B693D"/>
    <w:rsid w:val="008B6C45"/>
    <w:rsid w:val="008B73C7"/>
    <w:rsid w:val="008B7979"/>
    <w:rsid w:val="008C02C9"/>
    <w:rsid w:val="008C0341"/>
    <w:rsid w:val="008C1141"/>
    <w:rsid w:val="008C1257"/>
    <w:rsid w:val="008C12C7"/>
    <w:rsid w:val="008C1807"/>
    <w:rsid w:val="008C197E"/>
    <w:rsid w:val="008C29E0"/>
    <w:rsid w:val="008C44F3"/>
    <w:rsid w:val="008C4826"/>
    <w:rsid w:val="008C72C2"/>
    <w:rsid w:val="008C74C8"/>
    <w:rsid w:val="008C75A3"/>
    <w:rsid w:val="008C784B"/>
    <w:rsid w:val="008D14F8"/>
    <w:rsid w:val="008D1534"/>
    <w:rsid w:val="008D1D23"/>
    <w:rsid w:val="008D34A2"/>
    <w:rsid w:val="008D37B8"/>
    <w:rsid w:val="008D3888"/>
    <w:rsid w:val="008D4129"/>
    <w:rsid w:val="008D5442"/>
    <w:rsid w:val="008D5B81"/>
    <w:rsid w:val="008D5CEE"/>
    <w:rsid w:val="008D780D"/>
    <w:rsid w:val="008E060A"/>
    <w:rsid w:val="008E096D"/>
    <w:rsid w:val="008E1019"/>
    <w:rsid w:val="008E10DD"/>
    <w:rsid w:val="008E2505"/>
    <w:rsid w:val="008E26AF"/>
    <w:rsid w:val="008E39F3"/>
    <w:rsid w:val="008E4B30"/>
    <w:rsid w:val="008E568F"/>
    <w:rsid w:val="008E65DB"/>
    <w:rsid w:val="008E6E4D"/>
    <w:rsid w:val="008E7D62"/>
    <w:rsid w:val="008F0819"/>
    <w:rsid w:val="008F0E23"/>
    <w:rsid w:val="008F1443"/>
    <w:rsid w:val="008F1E1F"/>
    <w:rsid w:val="008F2546"/>
    <w:rsid w:val="008F29A6"/>
    <w:rsid w:val="008F30ED"/>
    <w:rsid w:val="008F44AD"/>
    <w:rsid w:val="008F4762"/>
    <w:rsid w:val="008F5333"/>
    <w:rsid w:val="008F5FEB"/>
    <w:rsid w:val="008F7FC5"/>
    <w:rsid w:val="00900482"/>
    <w:rsid w:val="009005DB"/>
    <w:rsid w:val="0090061E"/>
    <w:rsid w:val="00900AA3"/>
    <w:rsid w:val="00901723"/>
    <w:rsid w:val="00901DA9"/>
    <w:rsid w:val="00902022"/>
    <w:rsid w:val="00902AAD"/>
    <w:rsid w:val="00902E48"/>
    <w:rsid w:val="00902F56"/>
    <w:rsid w:val="00903E9C"/>
    <w:rsid w:val="00905A90"/>
    <w:rsid w:val="00906117"/>
    <w:rsid w:val="00907858"/>
    <w:rsid w:val="00907E1E"/>
    <w:rsid w:val="00910741"/>
    <w:rsid w:val="0091075D"/>
    <w:rsid w:val="00911413"/>
    <w:rsid w:val="00911A29"/>
    <w:rsid w:val="00913AA7"/>
    <w:rsid w:val="00914401"/>
    <w:rsid w:val="009148A6"/>
    <w:rsid w:val="0091552C"/>
    <w:rsid w:val="00915A4F"/>
    <w:rsid w:val="00915DB0"/>
    <w:rsid w:val="00916447"/>
    <w:rsid w:val="009164C2"/>
    <w:rsid w:val="0091680A"/>
    <w:rsid w:val="009168C4"/>
    <w:rsid w:val="00916FF2"/>
    <w:rsid w:val="009172EC"/>
    <w:rsid w:val="0091747E"/>
    <w:rsid w:val="009205D3"/>
    <w:rsid w:val="00922A6C"/>
    <w:rsid w:val="00922E68"/>
    <w:rsid w:val="00925205"/>
    <w:rsid w:val="0092567F"/>
    <w:rsid w:val="00925836"/>
    <w:rsid w:val="00926382"/>
    <w:rsid w:val="00926CEF"/>
    <w:rsid w:val="0092767D"/>
    <w:rsid w:val="0093018B"/>
    <w:rsid w:val="009301AD"/>
    <w:rsid w:val="0093092B"/>
    <w:rsid w:val="00931907"/>
    <w:rsid w:val="00932A23"/>
    <w:rsid w:val="00933B40"/>
    <w:rsid w:val="00934497"/>
    <w:rsid w:val="009361DA"/>
    <w:rsid w:val="00936599"/>
    <w:rsid w:val="009376D4"/>
    <w:rsid w:val="00937820"/>
    <w:rsid w:val="00937CCC"/>
    <w:rsid w:val="00942162"/>
    <w:rsid w:val="00942FFC"/>
    <w:rsid w:val="00944656"/>
    <w:rsid w:val="00945327"/>
    <w:rsid w:val="00945342"/>
    <w:rsid w:val="00946186"/>
    <w:rsid w:val="009462A5"/>
    <w:rsid w:val="00947169"/>
    <w:rsid w:val="0094738C"/>
    <w:rsid w:val="00947428"/>
    <w:rsid w:val="0095003E"/>
    <w:rsid w:val="009511B7"/>
    <w:rsid w:val="00951E2A"/>
    <w:rsid w:val="00952089"/>
    <w:rsid w:val="00953589"/>
    <w:rsid w:val="00953A8D"/>
    <w:rsid w:val="00953FB5"/>
    <w:rsid w:val="00954202"/>
    <w:rsid w:val="00955DF1"/>
    <w:rsid w:val="009561EF"/>
    <w:rsid w:val="009566E9"/>
    <w:rsid w:val="00956A32"/>
    <w:rsid w:val="009570FD"/>
    <w:rsid w:val="009575FC"/>
    <w:rsid w:val="00957622"/>
    <w:rsid w:val="0095766F"/>
    <w:rsid w:val="009601CB"/>
    <w:rsid w:val="009602C1"/>
    <w:rsid w:val="00961E4B"/>
    <w:rsid w:val="00962A83"/>
    <w:rsid w:val="00963689"/>
    <w:rsid w:val="00964216"/>
    <w:rsid w:val="00964DA2"/>
    <w:rsid w:val="0096598A"/>
    <w:rsid w:val="0096705A"/>
    <w:rsid w:val="00967321"/>
    <w:rsid w:val="009703E2"/>
    <w:rsid w:val="00970B94"/>
    <w:rsid w:val="00971EB6"/>
    <w:rsid w:val="00973027"/>
    <w:rsid w:val="00973DB8"/>
    <w:rsid w:val="00974305"/>
    <w:rsid w:val="009745A0"/>
    <w:rsid w:val="0097480F"/>
    <w:rsid w:val="009752E7"/>
    <w:rsid w:val="00975BF7"/>
    <w:rsid w:val="009761C7"/>
    <w:rsid w:val="00980086"/>
    <w:rsid w:val="0098034B"/>
    <w:rsid w:val="0098108B"/>
    <w:rsid w:val="00982312"/>
    <w:rsid w:val="0098244C"/>
    <w:rsid w:val="00983306"/>
    <w:rsid w:val="009848E1"/>
    <w:rsid w:val="00985BF6"/>
    <w:rsid w:val="00985EFC"/>
    <w:rsid w:val="00986317"/>
    <w:rsid w:val="00987B94"/>
    <w:rsid w:val="00991B72"/>
    <w:rsid w:val="009926DB"/>
    <w:rsid w:val="0099385D"/>
    <w:rsid w:val="00993E25"/>
    <w:rsid w:val="0099462B"/>
    <w:rsid w:val="00994835"/>
    <w:rsid w:val="0099594B"/>
    <w:rsid w:val="00995AE4"/>
    <w:rsid w:val="0099605C"/>
    <w:rsid w:val="00996DA5"/>
    <w:rsid w:val="00997BC5"/>
    <w:rsid w:val="00997CEF"/>
    <w:rsid w:val="00997D33"/>
    <w:rsid w:val="009A0BB4"/>
    <w:rsid w:val="009A1108"/>
    <w:rsid w:val="009A1E76"/>
    <w:rsid w:val="009A2E0D"/>
    <w:rsid w:val="009A39FD"/>
    <w:rsid w:val="009A4259"/>
    <w:rsid w:val="009A592E"/>
    <w:rsid w:val="009A596F"/>
    <w:rsid w:val="009A5F6B"/>
    <w:rsid w:val="009A661A"/>
    <w:rsid w:val="009A66FA"/>
    <w:rsid w:val="009A7135"/>
    <w:rsid w:val="009A7BEE"/>
    <w:rsid w:val="009B08B0"/>
    <w:rsid w:val="009B0A07"/>
    <w:rsid w:val="009B1B49"/>
    <w:rsid w:val="009B2BDD"/>
    <w:rsid w:val="009B2CD0"/>
    <w:rsid w:val="009B2E46"/>
    <w:rsid w:val="009B35D0"/>
    <w:rsid w:val="009B3D90"/>
    <w:rsid w:val="009B3F13"/>
    <w:rsid w:val="009B6146"/>
    <w:rsid w:val="009B7ABF"/>
    <w:rsid w:val="009C068D"/>
    <w:rsid w:val="009C161D"/>
    <w:rsid w:val="009C3CF0"/>
    <w:rsid w:val="009C3DE7"/>
    <w:rsid w:val="009C6B8C"/>
    <w:rsid w:val="009C6C6E"/>
    <w:rsid w:val="009D086A"/>
    <w:rsid w:val="009D1281"/>
    <w:rsid w:val="009D140A"/>
    <w:rsid w:val="009D304E"/>
    <w:rsid w:val="009D31F0"/>
    <w:rsid w:val="009D323A"/>
    <w:rsid w:val="009D4700"/>
    <w:rsid w:val="009D48AF"/>
    <w:rsid w:val="009D4922"/>
    <w:rsid w:val="009D5248"/>
    <w:rsid w:val="009D6221"/>
    <w:rsid w:val="009E0F5C"/>
    <w:rsid w:val="009E1C0F"/>
    <w:rsid w:val="009E3E4A"/>
    <w:rsid w:val="009E3EE4"/>
    <w:rsid w:val="009E4C8C"/>
    <w:rsid w:val="009E5757"/>
    <w:rsid w:val="009E62CD"/>
    <w:rsid w:val="009E672B"/>
    <w:rsid w:val="009F0668"/>
    <w:rsid w:val="009F079E"/>
    <w:rsid w:val="009F3D0B"/>
    <w:rsid w:val="009F5F2E"/>
    <w:rsid w:val="009F655A"/>
    <w:rsid w:val="009F6742"/>
    <w:rsid w:val="009F6805"/>
    <w:rsid w:val="009F6B08"/>
    <w:rsid w:val="009F7E3B"/>
    <w:rsid w:val="00A0016A"/>
    <w:rsid w:val="00A018FA"/>
    <w:rsid w:val="00A021C5"/>
    <w:rsid w:val="00A0224A"/>
    <w:rsid w:val="00A037A0"/>
    <w:rsid w:val="00A041C5"/>
    <w:rsid w:val="00A058E3"/>
    <w:rsid w:val="00A05A75"/>
    <w:rsid w:val="00A06D90"/>
    <w:rsid w:val="00A0764E"/>
    <w:rsid w:val="00A0783D"/>
    <w:rsid w:val="00A1263D"/>
    <w:rsid w:val="00A12691"/>
    <w:rsid w:val="00A15080"/>
    <w:rsid w:val="00A15AB6"/>
    <w:rsid w:val="00A16214"/>
    <w:rsid w:val="00A1779C"/>
    <w:rsid w:val="00A202CE"/>
    <w:rsid w:val="00A20620"/>
    <w:rsid w:val="00A21399"/>
    <w:rsid w:val="00A21B7E"/>
    <w:rsid w:val="00A22FF8"/>
    <w:rsid w:val="00A23C74"/>
    <w:rsid w:val="00A2559C"/>
    <w:rsid w:val="00A25A99"/>
    <w:rsid w:val="00A26239"/>
    <w:rsid w:val="00A269A0"/>
    <w:rsid w:val="00A27C9B"/>
    <w:rsid w:val="00A30B6F"/>
    <w:rsid w:val="00A30D46"/>
    <w:rsid w:val="00A30DB7"/>
    <w:rsid w:val="00A3138D"/>
    <w:rsid w:val="00A314A8"/>
    <w:rsid w:val="00A31AA4"/>
    <w:rsid w:val="00A325D7"/>
    <w:rsid w:val="00A32F2D"/>
    <w:rsid w:val="00A331AD"/>
    <w:rsid w:val="00A346D4"/>
    <w:rsid w:val="00A363A6"/>
    <w:rsid w:val="00A3641E"/>
    <w:rsid w:val="00A364A0"/>
    <w:rsid w:val="00A36E80"/>
    <w:rsid w:val="00A374C5"/>
    <w:rsid w:val="00A377CA"/>
    <w:rsid w:val="00A37AA0"/>
    <w:rsid w:val="00A37B24"/>
    <w:rsid w:val="00A40B1B"/>
    <w:rsid w:val="00A40F9A"/>
    <w:rsid w:val="00A41752"/>
    <w:rsid w:val="00A41C4C"/>
    <w:rsid w:val="00A4260F"/>
    <w:rsid w:val="00A427D4"/>
    <w:rsid w:val="00A42CC1"/>
    <w:rsid w:val="00A43978"/>
    <w:rsid w:val="00A443E2"/>
    <w:rsid w:val="00A45022"/>
    <w:rsid w:val="00A4552C"/>
    <w:rsid w:val="00A4566A"/>
    <w:rsid w:val="00A463EB"/>
    <w:rsid w:val="00A46F82"/>
    <w:rsid w:val="00A51413"/>
    <w:rsid w:val="00A53D2C"/>
    <w:rsid w:val="00A53F54"/>
    <w:rsid w:val="00A5503E"/>
    <w:rsid w:val="00A557FA"/>
    <w:rsid w:val="00A56654"/>
    <w:rsid w:val="00A577EA"/>
    <w:rsid w:val="00A57C7D"/>
    <w:rsid w:val="00A60D35"/>
    <w:rsid w:val="00A634D5"/>
    <w:rsid w:val="00A64274"/>
    <w:rsid w:val="00A64C1E"/>
    <w:rsid w:val="00A64DB4"/>
    <w:rsid w:val="00A650DA"/>
    <w:rsid w:val="00A6515A"/>
    <w:rsid w:val="00A658D3"/>
    <w:rsid w:val="00A667C8"/>
    <w:rsid w:val="00A6789A"/>
    <w:rsid w:val="00A67CEB"/>
    <w:rsid w:val="00A67CF6"/>
    <w:rsid w:val="00A7064E"/>
    <w:rsid w:val="00A70683"/>
    <w:rsid w:val="00A7092D"/>
    <w:rsid w:val="00A70F9F"/>
    <w:rsid w:val="00A7144B"/>
    <w:rsid w:val="00A72852"/>
    <w:rsid w:val="00A72AB1"/>
    <w:rsid w:val="00A73004"/>
    <w:rsid w:val="00A73538"/>
    <w:rsid w:val="00A73640"/>
    <w:rsid w:val="00A7386F"/>
    <w:rsid w:val="00A7395D"/>
    <w:rsid w:val="00A73BB3"/>
    <w:rsid w:val="00A7417C"/>
    <w:rsid w:val="00A741E5"/>
    <w:rsid w:val="00A747EB"/>
    <w:rsid w:val="00A759A5"/>
    <w:rsid w:val="00A776D6"/>
    <w:rsid w:val="00A77B4C"/>
    <w:rsid w:val="00A8088D"/>
    <w:rsid w:val="00A8197C"/>
    <w:rsid w:val="00A8230C"/>
    <w:rsid w:val="00A83C1F"/>
    <w:rsid w:val="00A85413"/>
    <w:rsid w:val="00A8780D"/>
    <w:rsid w:val="00A878C2"/>
    <w:rsid w:val="00A908C1"/>
    <w:rsid w:val="00A90EC0"/>
    <w:rsid w:val="00A91089"/>
    <w:rsid w:val="00A914F6"/>
    <w:rsid w:val="00A93143"/>
    <w:rsid w:val="00A93617"/>
    <w:rsid w:val="00A93A2F"/>
    <w:rsid w:val="00A949BA"/>
    <w:rsid w:val="00A94DB2"/>
    <w:rsid w:val="00A94FF6"/>
    <w:rsid w:val="00A95208"/>
    <w:rsid w:val="00A96D8A"/>
    <w:rsid w:val="00A96FF1"/>
    <w:rsid w:val="00A9764B"/>
    <w:rsid w:val="00A97917"/>
    <w:rsid w:val="00A97D19"/>
    <w:rsid w:val="00AA0509"/>
    <w:rsid w:val="00AA0F38"/>
    <w:rsid w:val="00AA19D1"/>
    <w:rsid w:val="00AA2B81"/>
    <w:rsid w:val="00AA3904"/>
    <w:rsid w:val="00AA3D03"/>
    <w:rsid w:val="00AA4199"/>
    <w:rsid w:val="00AA4552"/>
    <w:rsid w:val="00AA5D5D"/>
    <w:rsid w:val="00AA5E17"/>
    <w:rsid w:val="00AA674C"/>
    <w:rsid w:val="00AA7658"/>
    <w:rsid w:val="00AA76EC"/>
    <w:rsid w:val="00AB055E"/>
    <w:rsid w:val="00AB08B0"/>
    <w:rsid w:val="00AB199A"/>
    <w:rsid w:val="00AB1A02"/>
    <w:rsid w:val="00AB2209"/>
    <w:rsid w:val="00AB4020"/>
    <w:rsid w:val="00AB69F4"/>
    <w:rsid w:val="00AB75E2"/>
    <w:rsid w:val="00AB79A7"/>
    <w:rsid w:val="00AB7BDE"/>
    <w:rsid w:val="00AC33C1"/>
    <w:rsid w:val="00AC3F94"/>
    <w:rsid w:val="00AC44DC"/>
    <w:rsid w:val="00AC4A60"/>
    <w:rsid w:val="00AC4CB9"/>
    <w:rsid w:val="00AC5CAD"/>
    <w:rsid w:val="00AC60E4"/>
    <w:rsid w:val="00AC6170"/>
    <w:rsid w:val="00AC6338"/>
    <w:rsid w:val="00AC7849"/>
    <w:rsid w:val="00AC7CFA"/>
    <w:rsid w:val="00AD0447"/>
    <w:rsid w:val="00AD063E"/>
    <w:rsid w:val="00AD08B2"/>
    <w:rsid w:val="00AD0F41"/>
    <w:rsid w:val="00AD103B"/>
    <w:rsid w:val="00AD104C"/>
    <w:rsid w:val="00AD13ED"/>
    <w:rsid w:val="00AD1506"/>
    <w:rsid w:val="00AD28B7"/>
    <w:rsid w:val="00AD44F0"/>
    <w:rsid w:val="00AD73D1"/>
    <w:rsid w:val="00AD7852"/>
    <w:rsid w:val="00AD7BC4"/>
    <w:rsid w:val="00AE1690"/>
    <w:rsid w:val="00AE1E97"/>
    <w:rsid w:val="00AE3968"/>
    <w:rsid w:val="00AE4AB9"/>
    <w:rsid w:val="00AE5450"/>
    <w:rsid w:val="00AE72E1"/>
    <w:rsid w:val="00AE79D5"/>
    <w:rsid w:val="00AF0578"/>
    <w:rsid w:val="00AF08AC"/>
    <w:rsid w:val="00AF144C"/>
    <w:rsid w:val="00AF171F"/>
    <w:rsid w:val="00AF3486"/>
    <w:rsid w:val="00AF40BB"/>
    <w:rsid w:val="00AF40ED"/>
    <w:rsid w:val="00AF556C"/>
    <w:rsid w:val="00AF5B19"/>
    <w:rsid w:val="00AF7176"/>
    <w:rsid w:val="00AF7B39"/>
    <w:rsid w:val="00B00F84"/>
    <w:rsid w:val="00B01060"/>
    <w:rsid w:val="00B0256F"/>
    <w:rsid w:val="00B02EF0"/>
    <w:rsid w:val="00B03929"/>
    <w:rsid w:val="00B05522"/>
    <w:rsid w:val="00B060A0"/>
    <w:rsid w:val="00B074D9"/>
    <w:rsid w:val="00B103F8"/>
    <w:rsid w:val="00B105EF"/>
    <w:rsid w:val="00B11BAA"/>
    <w:rsid w:val="00B11C9C"/>
    <w:rsid w:val="00B1250C"/>
    <w:rsid w:val="00B12818"/>
    <w:rsid w:val="00B1312D"/>
    <w:rsid w:val="00B13B7B"/>
    <w:rsid w:val="00B15439"/>
    <w:rsid w:val="00B15475"/>
    <w:rsid w:val="00B15D50"/>
    <w:rsid w:val="00B16373"/>
    <w:rsid w:val="00B16406"/>
    <w:rsid w:val="00B16ED3"/>
    <w:rsid w:val="00B200C3"/>
    <w:rsid w:val="00B20BDA"/>
    <w:rsid w:val="00B21B8B"/>
    <w:rsid w:val="00B2225A"/>
    <w:rsid w:val="00B233AE"/>
    <w:rsid w:val="00B253F9"/>
    <w:rsid w:val="00B25841"/>
    <w:rsid w:val="00B25B9C"/>
    <w:rsid w:val="00B263EC"/>
    <w:rsid w:val="00B269C3"/>
    <w:rsid w:val="00B303B3"/>
    <w:rsid w:val="00B30F5C"/>
    <w:rsid w:val="00B31156"/>
    <w:rsid w:val="00B319C7"/>
    <w:rsid w:val="00B32D3E"/>
    <w:rsid w:val="00B3374E"/>
    <w:rsid w:val="00B337C5"/>
    <w:rsid w:val="00B33E10"/>
    <w:rsid w:val="00B33FC1"/>
    <w:rsid w:val="00B34451"/>
    <w:rsid w:val="00B34C36"/>
    <w:rsid w:val="00B365EC"/>
    <w:rsid w:val="00B374D7"/>
    <w:rsid w:val="00B37A75"/>
    <w:rsid w:val="00B41F86"/>
    <w:rsid w:val="00B43E73"/>
    <w:rsid w:val="00B4503C"/>
    <w:rsid w:val="00B45280"/>
    <w:rsid w:val="00B46CE7"/>
    <w:rsid w:val="00B46F11"/>
    <w:rsid w:val="00B506CB"/>
    <w:rsid w:val="00B524EF"/>
    <w:rsid w:val="00B527F5"/>
    <w:rsid w:val="00B52D18"/>
    <w:rsid w:val="00B53F02"/>
    <w:rsid w:val="00B54AE1"/>
    <w:rsid w:val="00B54CAB"/>
    <w:rsid w:val="00B55037"/>
    <w:rsid w:val="00B55438"/>
    <w:rsid w:val="00B554AD"/>
    <w:rsid w:val="00B55E52"/>
    <w:rsid w:val="00B565FB"/>
    <w:rsid w:val="00B56FAB"/>
    <w:rsid w:val="00B57094"/>
    <w:rsid w:val="00B57BEF"/>
    <w:rsid w:val="00B60534"/>
    <w:rsid w:val="00B6145A"/>
    <w:rsid w:val="00B62257"/>
    <w:rsid w:val="00B631D8"/>
    <w:rsid w:val="00B64557"/>
    <w:rsid w:val="00B64609"/>
    <w:rsid w:val="00B64FF5"/>
    <w:rsid w:val="00B655E4"/>
    <w:rsid w:val="00B65FFE"/>
    <w:rsid w:val="00B6623E"/>
    <w:rsid w:val="00B66683"/>
    <w:rsid w:val="00B66B20"/>
    <w:rsid w:val="00B66BD1"/>
    <w:rsid w:val="00B66FD9"/>
    <w:rsid w:val="00B67FDA"/>
    <w:rsid w:val="00B7097C"/>
    <w:rsid w:val="00B72A31"/>
    <w:rsid w:val="00B730F6"/>
    <w:rsid w:val="00B73AD7"/>
    <w:rsid w:val="00B73BFC"/>
    <w:rsid w:val="00B755C1"/>
    <w:rsid w:val="00B770FA"/>
    <w:rsid w:val="00B8248F"/>
    <w:rsid w:val="00B82578"/>
    <w:rsid w:val="00B832D5"/>
    <w:rsid w:val="00B838C0"/>
    <w:rsid w:val="00B838F2"/>
    <w:rsid w:val="00B83BF1"/>
    <w:rsid w:val="00B84AB8"/>
    <w:rsid w:val="00B84F20"/>
    <w:rsid w:val="00B84FF2"/>
    <w:rsid w:val="00B87AC1"/>
    <w:rsid w:val="00B87F91"/>
    <w:rsid w:val="00B91CAD"/>
    <w:rsid w:val="00B926C2"/>
    <w:rsid w:val="00B937EF"/>
    <w:rsid w:val="00B9382A"/>
    <w:rsid w:val="00B94272"/>
    <w:rsid w:val="00B948F3"/>
    <w:rsid w:val="00B9520A"/>
    <w:rsid w:val="00B955C8"/>
    <w:rsid w:val="00B960A3"/>
    <w:rsid w:val="00BA0AAF"/>
    <w:rsid w:val="00BA0DDE"/>
    <w:rsid w:val="00BA1410"/>
    <w:rsid w:val="00BA15A8"/>
    <w:rsid w:val="00BA16FA"/>
    <w:rsid w:val="00BA28D2"/>
    <w:rsid w:val="00BA33F5"/>
    <w:rsid w:val="00BA368D"/>
    <w:rsid w:val="00BA3FC2"/>
    <w:rsid w:val="00BA4580"/>
    <w:rsid w:val="00BA546D"/>
    <w:rsid w:val="00BA5789"/>
    <w:rsid w:val="00BA5B48"/>
    <w:rsid w:val="00BA6AD7"/>
    <w:rsid w:val="00BA7258"/>
    <w:rsid w:val="00BB05FD"/>
    <w:rsid w:val="00BB1C4E"/>
    <w:rsid w:val="00BB2906"/>
    <w:rsid w:val="00BB3A78"/>
    <w:rsid w:val="00BB49AC"/>
    <w:rsid w:val="00BB4BEB"/>
    <w:rsid w:val="00BB4E2D"/>
    <w:rsid w:val="00BB557C"/>
    <w:rsid w:val="00BB7295"/>
    <w:rsid w:val="00BB736E"/>
    <w:rsid w:val="00BC1803"/>
    <w:rsid w:val="00BC250F"/>
    <w:rsid w:val="00BC3536"/>
    <w:rsid w:val="00BC3CA9"/>
    <w:rsid w:val="00BC4ADF"/>
    <w:rsid w:val="00BC4FA0"/>
    <w:rsid w:val="00BC54BB"/>
    <w:rsid w:val="00BC6152"/>
    <w:rsid w:val="00BC66EA"/>
    <w:rsid w:val="00BC66F2"/>
    <w:rsid w:val="00BC7ACD"/>
    <w:rsid w:val="00BC7B0E"/>
    <w:rsid w:val="00BD0053"/>
    <w:rsid w:val="00BD0228"/>
    <w:rsid w:val="00BD0D82"/>
    <w:rsid w:val="00BD0E15"/>
    <w:rsid w:val="00BD0F10"/>
    <w:rsid w:val="00BD1163"/>
    <w:rsid w:val="00BD1487"/>
    <w:rsid w:val="00BD19B5"/>
    <w:rsid w:val="00BD1AB6"/>
    <w:rsid w:val="00BD2185"/>
    <w:rsid w:val="00BD21FC"/>
    <w:rsid w:val="00BD2499"/>
    <w:rsid w:val="00BD2C65"/>
    <w:rsid w:val="00BD2F43"/>
    <w:rsid w:val="00BD3081"/>
    <w:rsid w:val="00BD4115"/>
    <w:rsid w:val="00BD4EF2"/>
    <w:rsid w:val="00BD5945"/>
    <w:rsid w:val="00BD639B"/>
    <w:rsid w:val="00BD777F"/>
    <w:rsid w:val="00BE088E"/>
    <w:rsid w:val="00BE0C6B"/>
    <w:rsid w:val="00BE171E"/>
    <w:rsid w:val="00BE1F3E"/>
    <w:rsid w:val="00BE2C45"/>
    <w:rsid w:val="00BE3C33"/>
    <w:rsid w:val="00BE3E29"/>
    <w:rsid w:val="00BE4B07"/>
    <w:rsid w:val="00BE4EEF"/>
    <w:rsid w:val="00BE5C38"/>
    <w:rsid w:val="00BE68C7"/>
    <w:rsid w:val="00BE7ACC"/>
    <w:rsid w:val="00BE7CFF"/>
    <w:rsid w:val="00BF1DF3"/>
    <w:rsid w:val="00BF3BBB"/>
    <w:rsid w:val="00BF43F1"/>
    <w:rsid w:val="00BF460F"/>
    <w:rsid w:val="00BF492E"/>
    <w:rsid w:val="00BF4C4F"/>
    <w:rsid w:val="00BF562E"/>
    <w:rsid w:val="00BF6EB3"/>
    <w:rsid w:val="00BF732A"/>
    <w:rsid w:val="00BF786B"/>
    <w:rsid w:val="00C00871"/>
    <w:rsid w:val="00C01851"/>
    <w:rsid w:val="00C01C98"/>
    <w:rsid w:val="00C03C64"/>
    <w:rsid w:val="00C05FA3"/>
    <w:rsid w:val="00C0653A"/>
    <w:rsid w:val="00C06FBB"/>
    <w:rsid w:val="00C1079F"/>
    <w:rsid w:val="00C12E92"/>
    <w:rsid w:val="00C13A29"/>
    <w:rsid w:val="00C13C7B"/>
    <w:rsid w:val="00C144F0"/>
    <w:rsid w:val="00C14D89"/>
    <w:rsid w:val="00C152F6"/>
    <w:rsid w:val="00C158FD"/>
    <w:rsid w:val="00C15AAE"/>
    <w:rsid w:val="00C20787"/>
    <w:rsid w:val="00C207BD"/>
    <w:rsid w:val="00C20A48"/>
    <w:rsid w:val="00C20C65"/>
    <w:rsid w:val="00C20D97"/>
    <w:rsid w:val="00C21638"/>
    <w:rsid w:val="00C219BF"/>
    <w:rsid w:val="00C2602B"/>
    <w:rsid w:val="00C267C0"/>
    <w:rsid w:val="00C26D58"/>
    <w:rsid w:val="00C3196E"/>
    <w:rsid w:val="00C31F3B"/>
    <w:rsid w:val="00C322FA"/>
    <w:rsid w:val="00C33C1C"/>
    <w:rsid w:val="00C348FB"/>
    <w:rsid w:val="00C35207"/>
    <w:rsid w:val="00C3605B"/>
    <w:rsid w:val="00C3651D"/>
    <w:rsid w:val="00C36FDA"/>
    <w:rsid w:val="00C37154"/>
    <w:rsid w:val="00C3733C"/>
    <w:rsid w:val="00C4220F"/>
    <w:rsid w:val="00C42BC5"/>
    <w:rsid w:val="00C43023"/>
    <w:rsid w:val="00C43E3F"/>
    <w:rsid w:val="00C43E9C"/>
    <w:rsid w:val="00C442D8"/>
    <w:rsid w:val="00C44720"/>
    <w:rsid w:val="00C4539E"/>
    <w:rsid w:val="00C47502"/>
    <w:rsid w:val="00C50335"/>
    <w:rsid w:val="00C504E8"/>
    <w:rsid w:val="00C5061B"/>
    <w:rsid w:val="00C5113F"/>
    <w:rsid w:val="00C51E35"/>
    <w:rsid w:val="00C5227A"/>
    <w:rsid w:val="00C53A34"/>
    <w:rsid w:val="00C53CB3"/>
    <w:rsid w:val="00C545F2"/>
    <w:rsid w:val="00C54A39"/>
    <w:rsid w:val="00C55217"/>
    <w:rsid w:val="00C557F1"/>
    <w:rsid w:val="00C56077"/>
    <w:rsid w:val="00C56343"/>
    <w:rsid w:val="00C56A4D"/>
    <w:rsid w:val="00C5734A"/>
    <w:rsid w:val="00C60063"/>
    <w:rsid w:val="00C600F4"/>
    <w:rsid w:val="00C60361"/>
    <w:rsid w:val="00C60E91"/>
    <w:rsid w:val="00C651A0"/>
    <w:rsid w:val="00C65DDB"/>
    <w:rsid w:val="00C65FA1"/>
    <w:rsid w:val="00C6663E"/>
    <w:rsid w:val="00C66B40"/>
    <w:rsid w:val="00C66BFE"/>
    <w:rsid w:val="00C70358"/>
    <w:rsid w:val="00C705F1"/>
    <w:rsid w:val="00C70B43"/>
    <w:rsid w:val="00C717AA"/>
    <w:rsid w:val="00C731BF"/>
    <w:rsid w:val="00C7385F"/>
    <w:rsid w:val="00C73F20"/>
    <w:rsid w:val="00C74531"/>
    <w:rsid w:val="00C7475F"/>
    <w:rsid w:val="00C75002"/>
    <w:rsid w:val="00C758FE"/>
    <w:rsid w:val="00C75D33"/>
    <w:rsid w:val="00C7767B"/>
    <w:rsid w:val="00C77FA8"/>
    <w:rsid w:val="00C81886"/>
    <w:rsid w:val="00C81BE3"/>
    <w:rsid w:val="00C8240C"/>
    <w:rsid w:val="00C8243F"/>
    <w:rsid w:val="00C825C8"/>
    <w:rsid w:val="00C82D3E"/>
    <w:rsid w:val="00C83563"/>
    <w:rsid w:val="00C85597"/>
    <w:rsid w:val="00C859D3"/>
    <w:rsid w:val="00C85A42"/>
    <w:rsid w:val="00C863BA"/>
    <w:rsid w:val="00C8659D"/>
    <w:rsid w:val="00C865B9"/>
    <w:rsid w:val="00C873FA"/>
    <w:rsid w:val="00C90437"/>
    <w:rsid w:val="00C9083C"/>
    <w:rsid w:val="00C927DC"/>
    <w:rsid w:val="00C9392E"/>
    <w:rsid w:val="00C94350"/>
    <w:rsid w:val="00C94564"/>
    <w:rsid w:val="00C95C73"/>
    <w:rsid w:val="00C96E67"/>
    <w:rsid w:val="00CA008A"/>
    <w:rsid w:val="00CA07FF"/>
    <w:rsid w:val="00CA0F6F"/>
    <w:rsid w:val="00CA1865"/>
    <w:rsid w:val="00CA1F75"/>
    <w:rsid w:val="00CA1F8C"/>
    <w:rsid w:val="00CA21CD"/>
    <w:rsid w:val="00CA27CA"/>
    <w:rsid w:val="00CA48BE"/>
    <w:rsid w:val="00CA56A7"/>
    <w:rsid w:val="00CA5E6B"/>
    <w:rsid w:val="00CA6227"/>
    <w:rsid w:val="00CA64BC"/>
    <w:rsid w:val="00CA782E"/>
    <w:rsid w:val="00CB0595"/>
    <w:rsid w:val="00CB22AE"/>
    <w:rsid w:val="00CB3281"/>
    <w:rsid w:val="00CB36D3"/>
    <w:rsid w:val="00CB3944"/>
    <w:rsid w:val="00CB40AF"/>
    <w:rsid w:val="00CB45E7"/>
    <w:rsid w:val="00CB4661"/>
    <w:rsid w:val="00CB4CBE"/>
    <w:rsid w:val="00CB709A"/>
    <w:rsid w:val="00CB7CBB"/>
    <w:rsid w:val="00CC167D"/>
    <w:rsid w:val="00CC255D"/>
    <w:rsid w:val="00CC3268"/>
    <w:rsid w:val="00CC579D"/>
    <w:rsid w:val="00CC5C37"/>
    <w:rsid w:val="00CC6EF2"/>
    <w:rsid w:val="00CC7341"/>
    <w:rsid w:val="00CD1C84"/>
    <w:rsid w:val="00CD5214"/>
    <w:rsid w:val="00CD6FFF"/>
    <w:rsid w:val="00CD7166"/>
    <w:rsid w:val="00CD793B"/>
    <w:rsid w:val="00CE0322"/>
    <w:rsid w:val="00CE1746"/>
    <w:rsid w:val="00CE4319"/>
    <w:rsid w:val="00CE5158"/>
    <w:rsid w:val="00CE5D32"/>
    <w:rsid w:val="00CE6590"/>
    <w:rsid w:val="00CE7C08"/>
    <w:rsid w:val="00CF0622"/>
    <w:rsid w:val="00CF073A"/>
    <w:rsid w:val="00CF1B61"/>
    <w:rsid w:val="00CF24E7"/>
    <w:rsid w:val="00CF4B84"/>
    <w:rsid w:val="00CF6A72"/>
    <w:rsid w:val="00CF6B91"/>
    <w:rsid w:val="00CF6C50"/>
    <w:rsid w:val="00CF77C4"/>
    <w:rsid w:val="00D001D4"/>
    <w:rsid w:val="00D00D8F"/>
    <w:rsid w:val="00D012D6"/>
    <w:rsid w:val="00D0166F"/>
    <w:rsid w:val="00D01BC2"/>
    <w:rsid w:val="00D02676"/>
    <w:rsid w:val="00D0298C"/>
    <w:rsid w:val="00D02DD6"/>
    <w:rsid w:val="00D0372D"/>
    <w:rsid w:val="00D04B90"/>
    <w:rsid w:val="00D050D5"/>
    <w:rsid w:val="00D0555E"/>
    <w:rsid w:val="00D067B3"/>
    <w:rsid w:val="00D11D14"/>
    <w:rsid w:val="00D11FB3"/>
    <w:rsid w:val="00D12290"/>
    <w:rsid w:val="00D12635"/>
    <w:rsid w:val="00D12BD4"/>
    <w:rsid w:val="00D12BF8"/>
    <w:rsid w:val="00D13363"/>
    <w:rsid w:val="00D13569"/>
    <w:rsid w:val="00D13B32"/>
    <w:rsid w:val="00D143EE"/>
    <w:rsid w:val="00D158E7"/>
    <w:rsid w:val="00D16196"/>
    <w:rsid w:val="00D16B5A"/>
    <w:rsid w:val="00D16B88"/>
    <w:rsid w:val="00D17D62"/>
    <w:rsid w:val="00D20158"/>
    <w:rsid w:val="00D205DA"/>
    <w:rsid w:val="00D20D21"/>
    <w:rsid w:val="00D213B7"/>
    <w:rsid w:val="00D21DF7"/>
    <w:rsid w:val="00D22162"/>
    <w:rsid w:val="00D2272B"/>
    <w:rsid w:val="00D2462C"/>
    <w:rsid w:val="00D2550E"/>
    <w:rsid w:val="00D25684"/>
    <w:rsid w:val="00D25FC7"/>
    <w:rsid w:val="00D3135C"/>
    <w:rsid w:val="00D3288B"/>
    <w:rsid w:val="00D330C2"/>
    <w:rsid w:val="00D337E4"/>
    <w:rsid w:val="00D33898"/>
    <w:rsid w:val="00D33AEA"/>
    <w:rsid w:val="00D3409B"/>
    <w:rsid w:val="00D34452"/>
    <w:rsid w:val="00D35F73"/>
    <w:rsid w:val="00D36085"/>
    <w:rsid w:val="00D365BB"/>
    <w:rsid w:val="00D36A75"/>
    <w:rsid w:val="00D376CA"/>
    <w:rsid w:val="00D400E3"/>
    <w:rsid w:val="00D40F2E"/>
    <w:rsid w:val="00D41E9B"/>
    <w:rsid w:val="00D41FCF"/>
    <w:rsid w:val="00D43D60"/>
    <w:rsid w:val="00D47609"/>
    <w:rsid w:val="00D479BC"/>
    <w:rsid w:val="00D50755"/>
    <w:rsid w:val="00D5085B"/>
    <w:rsid w:val="00D52F8A"/>
    <w:rsid w:val="00D52FA9"/>
    <w:rsid w:val="00D53060"/>
    <w:rsid w:val="00D5347C"/>
    <w:rsid w:val="00D539DB"/>
    <w:rsid w:val="00D54993"/>
    <w:rsid w:val="00D54F85"/>
    <w:rsid w:val="00D55A17"/>
    <w:rsid w:val="00D576DE"/>
    <w:rsid w:val="00D6108D"/>
    <w:rsid w:val="00D61DA5"/>
    <w:rsid w:val="00D62433"/>
    <w:rsid w:val="00D62551"/>
    <w:rsid w:val="00D64F93"/>
    <w:rsid w:val="00D67854"/>
    <w:rsid w:val="00D7053D"/>
    <w:rsid w:val="00D70854"/>
    <w:rsid w:val="00D71550"/>
    <w:rsid w:val="00D721A0"/>
    <w:rsid w:val="00D72EAD"/>
    <w:rsid w:val="00D737B3"/>
    <w:rsid w:val="00D74C60"/>
    <w:rsid w:val="00D75EC3"/>
    <w:rsid w:val="00D76DE6"/>
    <w:rsid w:val="00D80DD2"/>
    <w:rsid w:val="00D81F7D"/>
    <w:rsid w:val="00D822A6"/>
    <w:rsid w:val="00D824EB"/>
    <w:rsid w:val="00D82D2C"/>
    <w:rsid w:val="00D82E09"/>
    <w:rsid w:val="00D83072"/>
    <w:rsid w:val="00D832A1"/>
    <w:rsid w:val="00D83408"/>
    <w:rsid w:val="00D83422"/>
    <w:rsid w:val="00D841B7"/>
    <w:rsid w:val="00D84724"/>
    <w:rsid w:val="00D84DFD"/>
    <w:rsid w:val="00D86CD3"/>
    <w:rsid w:val="00D8708C"/>
    <w:rsid w:val="00D87A10"/>
    <w:rsid w:val="00D9000E"/>
    <w:rsid w:val="00D90A6B"/>
    <w:rsid w:val="00D90E1D"/>
    <w:rsid w:val="00D91A51"/>
    <w:rsid w:val="00D91E96"/>
    <w:rsid w:val="00D9395A"/>
    <w:rsid w:val="00D93A6A"/>
    <w:rsid w:val="00D947A3"/>
    <w:rsid w:val="00D94817"/>
    <w:rsid w:val="00DA1925"/>
    <w:rsid w:val="00DA1B96"/>
    <w:rsid w:val="00DA1FFF"/>
    <w:rsid w:val="00DA2D3B"/>
    <w:rsid w:val="00DA3E05"/>
    <w:rsid w:val="00DA4311"/>
    <w:rsid w:val="00DA45C9"/>
    <w:rsid w:val="00DA5F31"/>
    <w:rsid w:val="00DA61EF"/>
    <w:rsid w:val="00DA7A4E"/>
    <w:rsid w:val="00DB0181"/>
    <w:rsid w:val="00DB1D81"/>
    <w:rsid w:val="00DB33F5"/>
    <w:rsid w:val="00DB3641"/>
    <w:rsid w:val="00DB3734"/>
    <w:rsid w:val="00DB385B"/>
    <w:rsid w:val="00DB48B3"/>
    <w:rsid w:val="00DB4BCF"/>
    <w:rsid w:val="00DB4C56"/>
    <w:rsid w:val="00DB5534"/>
    <w:rsid w:val="00DB5857"/>
    <w:rsid w:val="00DB5CBC"/>
    <w:rsid w:val="00DB7767"/>
    <w:rsid w:val="00DC0DD9"/>
    <w:rsid w:val="00DC0DF1"/>
    <w:rsid w:val="00DC0F23"/>
    <w:rsid w:val="00DC4F85"/>
    <w:rsid w:val="00DC5ACF"/>
    <w:rsid w:val="00DC5CFD"/>
    <w:rsid w:val="00DC5D9C"/>
    <w:rsid w:val="00DC64CA"/>
    <w:rsid w:val="00DC64DF"/>
    <w:rsid w:val="00DC6FE2"/>
    <w:rsid w:val="00DC7805"/>
    <w:rsid w:val="00DD0545"/>
    <w:rsid w:val="00DD0DFF"/>
    <w:rsid w:val="00DD14AD"/>
    <w:rsid w:val="00DD1C83"/>
    <w:rsid w:val="00DD1D47"/>
    <w:rsid w:val="00DD1D93"/>
    <w:rsid w:val="00DD23FB"/>
    <w:rsid w:val="00DD3377"/>
    <w:rsid w:val="00DD34D5"/>
    <w:rsid w:val="00DD37F0"/>
    <w:rsid w:val="00DD40F5"/>
    <w:rsid w:val="00DD534F"/>
    <w:rsid w:val="00DD5ADE"/>
    <w:rsid w:val="00DD60A9"/>
    <w:rsid w:val="00DD61DC"/>
    <w:rsid w:val="00DD7285"/>
    <w:rsid w:val="00DD7EA5"/>
    <w:rsid w:val="00DE0313"/>
    <w:rsid w:val="00DE07AD"/>
    <w:rsid w:val="00DE1940"/>
    <w:rsid w:val="00DE1B5D"/>
    <w:rsid w:val="00DE394E"/>
    <w:rsid w:val="00DE405D"/>
    <w:rsid w:val="00DE426D"/>
    <w:rsid w:val="00DE4379"/>
    <w:rsid w:val="00DE4851"/>
    <w:rsid w:val="00DE4D0D"/>
    <w:rsid w:val="00DE5142"/>
    <w:rsid w:val="00DE566B"/>
    <w:rsid w:val="00DE5EB7"/>
    <w:rsid w:val="00DE68DC"/>
    <w:rsid w:val="00DF076B"/>
    <w:rsid w:val="00DF0BDF"/>
    <w:rsid w:val="00DF12FD"/>
    <w:rsid w:val="00DF179B"/>
    <w:rsid w:val="00DF1BFD"/>
    <w:rsid w:val="00DF25A5"/>
    <w:rsid w:val="00DF2B54"/>
    <w:rsid w:val="00DF2DBF"/>
    <w:rsid w:val="00DF3220"/>
    <w:rsid w:val="00DF592E"/>
    <w:rsid w:val="00DF59BD"/>
    <w:rsid w:val="00DF621E"/>
    <w:rsid w:val="00DF6693"/>
    <w:rsid w:val="00DF738E"/>
    <w:rsid w:val="00DF7404"/>
    <w:rsid w:val="00E00658"/>
    <w:rsid w:val="00E01301"/>
    <w:rsid w:val="00E01CC0"/>
    <w:rsid w:val="00E01DC2"/>
    <w:rsid w:val="00E02C24"/>
    <w:rsid w:val="00E05885"/>
    <w:rsid w:val="00E066F5"/>
    <w:rsid w:val="00E07ED6"/>
    <w:rsid w:val="00E14304"/>
    <w:rsid w:val="00E1661A"/>
    <w:rsid w:val="00E16A6D"/>
    <w:rsid w:val="00E20E66"/>
    <w:rsid w:val="00E21268"/>
    <w:rsid w:val="00E214A2"/>
    <w:rsid w:val="00E21BFA"/>
    <w:rsid w:val="00E24043"/>
    <w:rsid w:val="00E24275"/>
    <w:rsid w:val="00E246DD"/>
    <w:rsid w:val="00E24973"/>
    <w:rsid w:val="00E25FEA"/>
    <w:rsid w:val="00E26DAB"/>
    <w:rsid w:val="00E26E0B"/>
    <w:rsid w:val="00E30565"/>
    <w:rsid w:val="00E33067"/>
    <w:rsid w:val="00E33227"/>
    <w:rsid w:val="00E334B5"/>
    <w:rsid w:val="00E34AD5"/>
    <w:rsid w:val="00E35785"/>
    <w:rsid w:val="00E35A47"/>
    <w:rsid w:val="00E36ACF"/>
    <w:rsid w:val="00E37E0F"/>
    <w:rsid w:val="00E40A63"/>
    <w:rsid w:val="00E40D24"/>
    <w:rsid w:val="00E4168C"/>
    <w:rsid w:val="00E41C99"/>
    <w:rsid w:val="00E4218B"/>
    <w:rsid w:val="00E42234"/>
    <w:rsid w:val="00E42DDE"/>
    <w:rsid w:val="00E4344E"/>
    <w:rsid w:val="00E43557"/>
    <w:rsid w:val="00E4497B"/>
    <w:rsid w:val="00E44C3A"/>
    <w:rsid w:val="00E45258"/>
    <w:rsid w:val="00E45C2C"/>
    <w:rsid w:val="00E472FF"/>
    <w:rsid w:val="00E5048B"/>
    <w:rsid w:val="00E51A38"/>
    <w:rsid w:val="00E51AAA"/>
    <w:rsid w:val="00E51F10"/>
    <w:rsid w:val="00E52630"/>
    <w:rsid w:val="00E52D96"/>
    <w:rsid w:val="00E5339C"/>
    <w:rsid w:val="00E536AE"/>
    <w:rsid w:val="00E53BD3"/>
    <w:rsid w:val="00E54283"/>
    <w:rsid w:val="00E54764"/>
    <w:rsid w:val="00E54CB3"/>
    <w:rsid w:val="00E554A6"/>
    <w:rsid w:val="00E55A9D"/>
    <w:rsid w:val="00E60158"/>
    <w:rsid w:val="00E601F3"/>
    <w:rsid w:val="00E61090"/>
    <w:rsid w:val="00E6147D"/>
    <w:rsid w:val="00E626F8"/>
    <w:rsid w:val="00E62F15"/>
    <w:rsid w:val="00E6321B"/>
    <w:rsid w:val="00E633FD"/>
    <w:rsid w:val="00E63699"/>
    <w:rsid w:val="00E649A9"/>
    <w:rsid w:val="00E65031"/>
    <w:rsid w:val="00E659D7"/>
    <w:rsid w:val="00E664B9"/>
    <w:rsid w:val="00E66D01"/>
    <w:rsid w:val="00E66F2D"/>
    <w:rsid w:val="00E67895"/>
    <w:rsid w:val="00E67BF3"/>
    <w:rsid w:val="00E67CBB"/>
    <w:rsid w:val="00E71551"/>
    <w:rsid w:val="00E71A92"/>
    <w:rsid w:val="00E71AC1"/>
    <w:rsid w:val="00E72034"/>
    <w:rsid w:val="00E72F7F"/>
    <w:rsid w:val="00E742D3"/>
    <w:rsid w:val="00E77947"/>
    <w:rsid w:val="00E80111"/>
    <w:rsid w:val="00E82008"/>
    <w:rsid w:val="00E8241E"/>
    <w:rsid w:val="00E82B83"/>
    <w:rsid w:val="00E83B09"/>
    <w:rsid w:val="00E84007"/>
    <w:rsid w:val="00E84DA8"/>
    <w:rsid w:val="00E85028"/>
    <w:rsid w:val="00E85EF1"/>
    <w:rsid w:val="00E87C39"/>
    <w:rsid w:val="00E9061B"/>
    <w:rsid w:val="00E90EF2"/>
    <w:rsid w:val="00E91368"/>
    <w:rsid w:val="00E91AB8"/>
    <w:rsid w:val="00E94D2F"/>
    <w:rsid w:val="00E94ECE"/>
    <w:rsid w:val="00EA1BEA"/>
    <w:rsid w:val="00EA2634"/>
    <w:rsid w:val="00EA2F47"/>
    <w:rsid w:val="00EA3229"/>
    <w:rsid w:val="00EA329C"/>
    <w:rsid w:val="00EA3B10"/>
    <w:rsid w:val="00EA3BEA"/>
    <w:rsid w:val="00EA523B"/>
    <w:rsid w:val="00EA5611"/>
    <w:rsid w:val="00EA607E"/>
    <w:rsid w:val="00EA6920"/>
    <w:rsid w:val="00EA6B1D"/>
    <w:rsid w:val="00EA7AD7"/>
    <w:rsid w:val="00EA7E04"/>
    <w:rsid w:val="00EB0B07"/>
    <w:rsid w:val="00EB23F4"/>
    <w:rsid w:val="00EB33A9"/>
    <w:rsid w:val="00EB35BE"/>
    <w:rsid w:val="00EB3CD8"/>
    <w:rsid w:val="00EB4167"/>
    <w:rsid w:val="00EB4813"/>
    <w:rsid w:val="00EB4D79"/>
    <w:rsid w:val="00EB569C"/>
    <w:rsid w:val="00EB6FB0"/>
    <w:rsid w:val="00EB799F"/>
    <w:rsid w:val="00EC04F1"/>
    <w:rsid w:val="00EC113E"/>
    <w:rsid w:val="00EC2227"/>
    <w:rsid w:val="00EC333B"/>
    <w:rsid w:val="00EC3532"/>
    <w:rsid w:val="00EC411B"/>
    <w:rsid w:val="00EC5507"/>
    <w:rsid w:val="00EC6663"/>
    <w:rsid w:val="00ED1049"/>
    <w:rsid w:val="00ED10F8"/>
    <w:rsid w:val="00ED1627"/>
    <w:rsid w:val="00ED1734"/>
    <w:rsid w:val="00ED21BE"/>
    <w:rsid w:val="00ED447F"/>
    <w:rsid w:val="00ED6BA8"/>
    <w:rsid w:val="00ED6BD6"/>
    <w:rsid w:val="00ED7246"/>
    <w:rsid w:val="00EE0390"/>
    <w:rsid w:val="00EE05FA"/>
    <w:rsid w:val="00EE0B49"/>
    <w:rsid w:val="00EE1770"/>
    <w:rsid w:val="00EE2522"/>
    <w:rsid w:val="00EE2897"/>
    <w:rsid w:val="00EE298D"/>
    <w:rsid w:val="00EE30E6"/>
    <w:rsid w:val="00EE33FA"/>
    <w:rsid w:val="00EE3D89"/>
    <w:rsid w:val="00EE3E7A"/>
    <w:rsid w:val="00EE3F84"/>
    <w:rsid w:val="00EE428F"/>
    <w:rsid w:val="00EE4EBA"/>
    <w:rsid w:val="00EE52D3"/>
    <w:rsid w:val="00EE6000"/>
    <w:rsid w:val="00EE6760"/>
    <w:rsid w:val="00EE67D9"/>
    <w:rsid w:val="00EE6E60"/>
    <w:rsid w:val="00EE7F06"/>
    <w:rsid w:val="00EF0D77"/>
    <w:rsid w:val="00EF3DF2"/>
    <w:rsid w:val="00EF4136"/>
    <w:rsid w:val="00EF46C1"/>
    <w:rsid w:val="00EF4A88"/>
    <w:rsid w:val="00EF4AC5"/>
    <w:rsid w:val="00EF5582"/>
    <w:rsid w:val="00EF71F6"/>
    <w:rsid w:val="00EF7E0A"/>
    <w:rsid w:val="00EF7ED4"/>
    <w:rsid w:val="00EF7F9E"/>
    <w:rsid w:val="00F00F5F"/>
    <w:rsid w:val="00F01681"/>
    <w:rsid w:val="00F02793"/>
    <w:rsid w:val="00F03580"/>
    <w:rsid w:val="00F04564"/>
    <w:rsid w:val="00F04942"/>
    <w:rsid w:val="00F049E4"/>
    <w:rsid w:val="00F05C7F"/>
    <w:rsid w:val="00F06BDE"/>
    <w:rsid w:val="00F10C14"/>
    <w:rsid w:val="00F10E35"/>
    <w:rsid w:val="00F12C9F"/>
    <w:rsid w:val="00F138B8"/>
    <w:rsid w:val="00F139E3"/>
    <w:rsid w:val="00F13EEF"/>
    <w:rsid w:val="00F1550D"/>
    <w:rsid w:val="00F161F2"/>
    <w:rsid w:val="00F1664F"/>
    <w:rsid w:val="00F178F4"/>
    <w:rsid w:val="00F20439"/>
    <w:rsid w:val="00F20F80"/>
    <w:rsid w:val="00F22F9B"/>
    <w:rsid w:val="00F232B8"/>
    <w:rsid w:val="00F23C58"/>
    <w:rsid w:val="00F23F1B"/>
    <w:rsid w:val="00F25D6A"/>
    <w:rsid w:val="00F25F1F"/>
    <w:rsid w:val="00F2692A"/>
    <w:rsid w:val="00F27394"/>
    <w:rsid w:val="00F2778F"/>
    <w:rsid w:val="00F27A75"/>
    <w:rsid w:val="00F27E0E"/>
    <w:rsid w:val="00F30272"/>
    <w:rsid w:val="00F304B7"/>
    <w:rsid w:val="00F320D3"/>
    <w:rsid w:val="00F32D73"/>
    <w:rsid w:val="00F3397A"/>
    <w:rsid w:val="00F34672"/>
    <w:rsid w:val="00F34A94"/>
    <w:rsid w:val="00F34CAA"/>
    <w:rsid w:val="00F34D8E"/>
    <w:rsid w:val="00F3665B"/>
    <w:rsid w:val="00F36A15"/>
    <w:rsid w:val="00F372A9"/>
    <w:rsid w:val="00F37F8E"/>
    <w:rsid w:val="00F40A19"/>
    <w:rsid w:val="00F40C63"/>
    <w:rsid w:val="00F419DA"/>
    <w:rsid w:val="00F4348C"/>
    <w:rsid w:val="00F434D4"/>
    <w:rsid w:val="00F43A29"/>
    <w:rsid w:val="00F4402C"/>
    <w:rsid w:val="00F440C5"/>
    <w:rsid w:val="00F44DC8"/>
    <w:rsid w:val="00F453C4"/>
    <w:rsid w:val="00F454A7"/>
    <w:rsid w:val="00F45829"/>
    <w:rsid w:val="00F459E8"/>
    <w:rsid w:val="00F45DBB"/>
    <w:rsid w:val="00F45FC7"/>
    <w:rsid w:val="00F4750B"/>
    <w:rsid w:val="00F47D95"/>
    <w:rsid w:val="00F52617"/>
    <w:rsid w:val="00F53748"/>
    <w:rsid w:val="00F53AF6"/>
    <w:rsid w:val="00F54399"/>
    <w:rsid w:val="00F54BEB"/>
    <w:rsid w:val="00F552C5"/>
    <w:rsid w:val="00F55F5C"/>
    <w:rsid w:val="00F55F74"/>
    <w:rsid w:val="00F56273"/>
    <w:rsid w:val="00F57335"/>
    <w:rsid w:val="00F5788E"/>
    <w:rsid w:val="00F579F4"/>
    <w:rsid w:val="00F57F38"/>
    <w:rsid w:val="00F60B39"/>
    <w:rsid w:val="00F60BB7"/>
    <w:rsid w:val="00F6103D"/>
    <w:rsid w:val="00F61953"/>
    <w:rsid w:val="00F61A72"/>
    <w:rsid w:val="00F622DE"/>
    <w:rsid w:val="00F623FA"/>
    <w:rsid w:val="00F63D4A"/>
    <w:rsid w:val="00F6461D"/>
    <w:rsid w:val="00F647AD"/>
    <w:rsid w:val="00F64F39"/>
    <w:rsid w:val="00F660A7"/>
    <w:rsid w:val="00F66BCA"/>
    <w:rsid w:val="00F66DEC"/>
    <w:rsid w:val="00F66DFF"/>
    <w:rsid w:val="00F66ED3"/>
    <w:rsid w:val="00F67242"/>
    <w:rsid w:val="00F702FB"/>
    <w:rsid w:val="00F70903"/>
    <w:rsid w:val="00F72581"/>
    <w:rsid w:val="00F729E0"/>
    <w:rsid w:val="00F7379A"/>
    <w:rsid w:val="00F73C24"/>
    <w:rsid w:val="00F746B1"/>
    <w:rsid w:val="00F76526"/>
    <w:rsid w:val="00F77FCB"/>
    <w:rsid w:val="00F82763"/>
    <w:rsid w:val="00F832F5"/>
    <w:rsid w:val="00F83756"/>
    <w:rsid w:val="00F842E5"/>
    <w:rsid w:val="00F8529C"/>
    <w:rsid w:val="00F85E3F"/>
    <w:rsid w:val="00F85F37"/>
    <w:rsid w:val="00F85F86"/>
    <w:rsid w:val="00F861C1"/>
    <w:rsid w:val="00F86462"/>
    <w:rsid w:val="00F87793"/>
    <w:rsid w:val="00F8789E"/>
    <w:rsid w:val="00F87913"/>
    <w:rsid w:val="00F90128"/>
    <w:rsid w:val="00F90297"/>
    <w:rsid w:val="00F902AD"/>
    <w:rsid w:val="00F90459"/>
    <w:rsid w:val="00F9088C"/>
    <w:rsid w:val="00F9182C"/>
    <w:rsid w:val="00F91BF5"/>
    <w:rsid w:val="00F938E8"/>
    <w:rsid w:val="00F94188"/>
    <w:rsid w:val="00F95FF1"/>
    <w:rsid w:val="00F96FD2"/>
    <w:rsid w:val="00F9770B"/>
    <w:rsid w:val="00F9778E"/>
    <w:rsid w:val="00FA08AB"/>
    <w:rsid w:val="00FA098C"/>
    <w:rsid w:val="00FA1B12"/>
    <w:rsid w:val="00FA1DD6"/>
    <w:rsid w:val="00FA20A0"/>
    <w:rsid w:val="00FA243C"/>
    <w:rsid w:val="00FA290D"/>
    <w:rsid w:val="00FA2A18"/>
    <w:rsid w:val="00FA2E7D"/>
    <w:rsid w:val="00FA348F"/>
    <w:rsid w:val="00FA450C"/>
    <w:rsid w:val="00FA5368"/>
    <w:rsid w:val="00FA686D"/>
    <w:rsid w:val="00FA7078"/>
    <w:rsid w:val="00FA70B3"/>
    <w:rsid w:val="00FA787D"/>
    <w:rsid w:val="00FB0975"/>
    <w:rsid w:val="00FB1085"/>
    <w:rsid w:val="00FB24D4"/>
    <w:rsid w:val="00FB2E3D"/>
    <w:rsid w:val="00FB3151"/>
    <w:rsid w:val="00FB4082"/>
    <w:rsid w:val="00FB4470"/>
    <w:rsid w:val="00FB4E53"/>
    <w:rsid w:val="00FB4F68"/>
    <w:rsid w:val="00FB54B8"/>
    <w:rsid w:val="00FB7148"/>
    <w:rsid w:val="00FB7C3C"/>
    <w:rsid w:val="00FC0A77"/>
    <w:rsid w:val="00FC1DF3"/>
    <w:rsid w:val="00FC355A"/>
    <w:rsid w:val="00FC4344"/>
    <w:rsid w:val="00FC465F"/>
    <w:rsid w:val="00FC596E"/>
    <w:rsid w:val="00FC674A"/>
    <w:rsid w:val="00FC6BBF"/>
    <w:rsid w:val="00FC6F1C"/>
    <w:rsid w:val="00FC7BED"/>
    <w:rsid w:val="00FD0C5C"/>
    <w:rsid w:val="00FD1526"/>
    <w:rsid w:val="00FD2356"/>
    <w:rsid w:val="00FD3763"/>
    <w:rsid w:val="00FD3D2A"/>
    <w:rsid w:val="00FD436B"/>
    <w:rsid w:val="00FD4843"/>
    <w:rsid w:val="00FD4D4E"/>
    <w:rsid w:val="00FD4E41"/>
    <w:rsid w:val="00FD5E08"/>
    <w:rsid w:val="00FD6B08"/>
    <w:rsid w:val="00FD70B3"/>
    <w:rsid w:val="00FD7504"/>
    <w:rsid w:val="00FE11EC"/>
    <w:rsid w:val="00FE12F4"/>
    <w:rsid w:val="00FE147C"/>
    <w:rsid w:val="00FE180A"/>
    <w:rsid w:val="00FE19C1"/>
    <w:rsid w:val="00FE1D4D"/>
    <w:rsid w:val="00FE237C"/>
    <w:rsid w:val="00FE353C"/>
    <w:rsid w:val="00FE36F6"/>
    <w:rsid w:val="00FE3783"/>
    <w:rsid w:val="00FE4CCF"/>
    <w:rsid w:val="00FE4D0B"/>
    <w:rsid w:val="00FE5823"/>
    <w:rsid w:val="00FE5D35"/>
    <w:rsid w:val="00FE61D4"/>
    <w:rsid w:val="00FE79CA"/>
    <w:rsid w:val="00FE7DAF"/>
    <w:rsid w:val="00FE7FE8"/>
    <w:rsid w:val="00FF016A"/>
    <w:rsid w:val="00FF0374"/>
    <w:rsid w:val="00FF0BB3"/>
    <w:rsid w:val="00FF1535"/>
    <w:rsid w:val="00FF1658"/>
    <w:rsid w:val="00FF252D"/>
    <w:rsid w:val="00FF2DE3"/>
    <w:rsid w:val="00FF38A2"/>
    <w:rsid w:val="00FF40F5"/>
    <w:rsid w:val="00FF4E75"/>
    <w:rsid w:val="00FF5931"/>
    <w:rsid w:val="00FF74FE"/>
    <w:rsid w:val="00FF76F6"/>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1600CDD-3CE7-4185-B0F5-FBA54257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57B"/>
    <w:pPr>
      <w:spacing w:line="288" w:lineRule="auto"/>
      <w:ind w:left="288"/>
      <w:jc w:val="both"/>
    </w:pPr>
    <w:rPr>
      <w:rFonts w:eastAsia="Times New Roman"/>
      <w:sz w:val="22"/>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255F"/>
    <w:pPr>
      <w:tabs>
        <w:tab w:val="center" w:pos="4320"/>
        <w:tab w:val="right" w:pos="8640"/>
      </w:tabs>
      <w:spacing w:line="240" w:lineRule="auto"/>
    </w:pPr>
  </w:style>
  <w:style w:type="character" w:customStyle="1" w:styleId="HeaderChar">
    <w:name w:val="Header Char"/>
    <w:link w:val="Header"/>
    <w:uiPriority w:val="99"/>
    <w:rsid w:val="0038255F"/>
    <w:rPr>
      <w:rFonts w:eastAsia="Times New Roman"/>
      <w:iCs w:val="0"/>
      <w:smallCaps w:val="0"/>
      <w:sz w:val="22"/>
      <w:szCs w:val="24"/>
      <w:lang w:val="sq-AL"/>
    </w:rPr>
  </w:style>
  <w:style w:type="paragraph" w:styleId="Footer">
    <w:name w:val="footer"/>
    <w:basedOn w:val="Normal"/>
    <w:link w:val="FooterChar"/>
    <w:uiPriority w:val="99"/>
    <w:rsid w:val="0038255F"/>
    <w:pPr>
      <w:tabs>
        <w:tab w:val="center" w:pos="4320"/>
        <w:tab w:val="right" w:pos="8640"/>
      </w:tabs>
      <w:spacing w:line="240" w:lineRule="auto"/>
    </w:pPr>
    <w:rPr>
      <w:sz w:val="20"/>
    </w:rPr>
  </w:style>
  <w:style w:type="character" w:customStyle="1" w:styleId="FooterChar">
    <w:name w:val="Footer Char"/>
    <w:link w:val="Footer"/>
    <w:uiPriority w:val="99"/>
    <w:rsid w:val="0038255F"/>
    <w:rPr>
      <w:rFonts w:eastAsia="Times New Roman"/>
      <w:iCs w:val="0"/>
      <w:smallCaps w:val="0"/>
      <w:sz w:val="20"/>
      <w:szCs w:val="24"/>
      <w:lang w:val="sq-AL"/>
    </w:rPr>
  </w:style>
  <w:style w:type="paragraph" w:customStyle="1" w:styleId="ListeParagraf">
    <w:name w:val="Liste Paragraf"/>
    <w:basedOn w:val="Normal"/>
    <w:link w:val="ListeParagrafChar"/>
    <w:uiPriority w:val="34"/>
    <w:qFormat/>
    <w:rsid w:val="0038255F"/>
    <w:pPr>
      <w:ind w:left="720"/>
    </w:pPr>
    <w:rPr>
      <w:sz w:val="20"/>
    </w:rPr>
  </w:style>
  <w:style w:type="character" w:customStyle="1" w:styleId="ListeParagrafChar">
    <w:name w:val="Liste Paragraf Char"/>
    <w:link w:val="ListeParagraf"/>
    <w:uiPriority w:val="34"/>
    <w:rsid w:val="0038255F"/>
    <w:rPr>
      <w:rFonts w:eastAsia="Times New Roman"/>
      <w:iCs w:val="0"/>
      <w:smallCaps w:val="0"/>
      <w:sz w:val="20"/>
      <w:szCs w:val="24"/>
      <w:lang w:val="sq-AL"/>
    </w:rPr>
  </w:style>
  <w:style w:type="character" w:customStyle="1" w:styleId="list0020paragraphchar1">
    <w:name w:val="list_0020paragraph__char1"/>
    <w:rsid w:val="0038255F"/>
    <w:rPr>
      <w:rFonts w:ascii="Times New Roman" w:hAnsi="Times New Roman" w:cs="Times New Roman" w:hint="default"/>
      <w:strike w:val="0"/>
      <w:dstrike w:val="0"/>
      <w:sz w:val="24"/>
      <w:szCs w:val="24"/>
      <w:u w:val="none"/>
      <w:effect w:val="none"/>
    </w:rPr>
  </w:style>
  <w:style w:type="character" w:customStyle="1" w:styleId="normalchar1">
    <w:name w:val="normal__char1"/>
    <w:rsid w:val="0038255F"/>
    <w:rPr>
      <w:rFonts w:ascii="Georgia" w:hAnsi="Georgia" w:cs="Times New Roman"/>
      <w:sz w:val="22"/>
      <w:szCs w:val="22"/>
      <w:u w:val="none"/>
      <w:effect w:val="none"/>
    </w:rPr>
  </w:style>
  <w:style w:type="paragraph" w:customStyle="1" w:styleId="Normal1">
    <w:name w:val="Normal1"/>
    <w:basedOn w:val="Normal"/>
    <w:link w:val="normalChar"/>
    <w:rsid w:val="0038255F"/>
    <w:pPr>
      <w:spacing w:line="280" w:lineRule="atLeast"/>
      <w:ind w:left="0"/>
    </w:pPr>
    <w:rPr>
      <w:szCs w:val="20"/>
    </w:rPr>
  </w:style>
  <w:style w:type="character" w:customStyle="1" w:styleId="normalChar">
    <w:name w:val="normal Char"/>
    <w:link w:val="Normal1"/>
    <w:locked/>
    <w:rsid w:val="0038255F"/>
    <w:rPr>
      <w:rFonts w:eastAsia="Times New Roman"/>
      <w:iCs w:val="0"/>
      <w:smallCaps w:val="0"/>
      <w:sz w:val="22"/>
      <w:lang w:val="sq-AL"/>
    </w:rPr>
  </w:style>
  <w:style w:type="paragraph" w:customStyle="1" w:styleId="Default">
    <w:name w:val="Default"/>
    <w:rsid w:val="006877FE"/>
    <w:pPr>
      <w:autoSpaceDE w:val="0"/>
      <w:autoSpaceDN w:val="0"/>
      <w:adjustRightInd w:val="0"/>
    </w:pPr>
    <w:rPr>
      <w:rFonts w:cs="Georgia"/>
      <w:color w:val="000000"/>
      <w:sz w:val="24"/>
      <w:szCs w:val="24"/>
    </w:rPr>
  </w:style>
  <w:style w:type="paragraph" w:styleId="BodyText">
    <w:name w:val="Body Text"/>
    <w:basedOn w:val="Normal"/>
    <w:link w:val="BodyTextChar"/>
    <w:rsid w:val="00781838"/>
    <w:pPr>
      <w:suppressAutoHyphens/>
      <w:spacing w:after="120" w:line="240" w:lineRule="auto"/>
      <w:ind w:left="0"/>
      <w:jc w:val="left"/>
    </w:pPr>
    <w:rPr>
      <w:rFonts w:ascii="Times New Roman" w:hAnsi="Times New Roman"/>
      <w:sz w:val="24"/>
      <w:lang w:eastAsia="ar-SA"/>
    </w:rPr>
  </w:style>
  <w:style w:type="character" w:customStyle="1" w:styleId="BodyTextChar">
    <w:name w:val="Body Text Char"/>
    <w:link w:val="BodyText"/>
    <w:rsid w:val="00781838"/>
    <w:rPr>
      <w:rFonts w:ascii="Times New Roman" w:eastAsia="Times New Roman" w:hAnsi="Times New Roman"/>
      <w:sz w:val="24"/>
      <w:szCs w:val="24"/>
      <w:lang w:eastAsia="ar-SA"/>
    </w:rPr>
  </w:style>
  <w:style w:type="character" w:styleId="CommentReference">
    <w:name w:val="annotation reference"/>
    <w:uiPriority w:val="99"/>
    <w:semiHidden/>
    <w:unhideWhenUsed/>
    <w:rsid w:val="00394091"/>
    <w:rPr>
      <w:sz w:val="16"/>
      <w:szCs w:val="16"/>
    </w:rPr>
  </w:style>
  <w:style w:type="paragraph" w:styleId="CommentText">
    <w:name w:val="annotation text"/>
    <w:basedOn w:val="Normal"/>
    <w:link w:val="CommentTextChar"/>
    <w:uiPriority w:val="99"/>
    <w:semiHidden/>
    <w:unhideWhenUsed/>
    <w:rsid w:val="00394091"/>
    <w:rPr>
      <w:sz w:val="20"/>
      <w:szCs w:val="20"/>
    </w:rPr>
  </w:style>
  <w:style w:type="character" w:customStyle="1" w:styleId="CommentTextChar">
    <w:name w:val="Comment Text Char"/>
    <w:link w:val="CommentText"/>
    <w:uiPriority w:val="99"/>
    <w:semiHidden/>
    <w:rsid w:val="00394091"/>
    <w:rPr>
      <w:rFonts w:eastAsia="Times New Roman"/>
      <w:lang w:val="sq-AL"/>
    </w:rPr>
  </w:style>
  <w:style w:type="paragraph" w:styleId="CommentSubject">
    <w:name w:val="annotation subject"/>
    <w:basedOn w:val="CommentText"/>
    <w:next w:val="CommentText"/>
    <w:link w:val="CommentSubjectChar"/>
    <w:uiPriority w:val="99"/>
    <w:semiHidden/>
    <w:unhideWhenUsed/>
    <w:rsid w:val="00394091"/>
    <w:rPr>
      <w:b/>
      <w:bCs/>
    </w:rPr>
  </w:style>
  <w:style w:type="character" w:customStyle="1" w:styleId="CommentSubjectChar">
    <w:name w:val="Comment Subject Char"/>
    <w:link w:val="CommentSubject"/>
    <w:uiPriority w:val="99"/>
    <w:semiHidden/>
    <w:rsid w:val="00394091"/>
    <w:rPr>
      <w:rFonts w:eastAsia="Times New Roman"/>
      <w:b/>
      <w:bCs/>
      <w:lang w:val="sq-AL"/>
    </w:rPr>
  </w:style>
  <w:style w:type="paragraph" w:styleId="BalloonText">
    <w:name w:val="Balloon Text"/>
    <w:basedOn w:val="Normal"/>
    <w:link w:val="BalloonTextChar"/>
    <w:uiPriority w:val="99"/>
    <w:semiHidden/>
    <w:unhideWhenUsed/>
    <w:rsid w:val="00394091"/>
    <w:pPr>
      <w:spacing w:line="240" w:lineRule="auto"/>
    </w:pPr>
    <w:rPr>
      <w:rFonts w:ascii="Tahoma" w:hAnsi="Tahoma"/>
      <w:sz w:val="16"/>
      <w:szCs w:val="16"/>
    </w:rPr>
  </w:style>
  <w:style w:type="character" w:customStyle="1" w:styleId="BalloonTextChar">
    <w:name w:val="Balloon Text Char"/>
    <w:link w:val="BalloonText"/>
    <w:uiPriority w:val="99"/>
    <w:semiHidden/>
    <w:rsid w:val="00394091"/>
    <w:rPr>
      <w:rFonts w:ascii="Tahoma" w:eastAsia="Times New Roman" w:hAnsi="Tahoma" w:cs="Tahoma"/>
      <w:sz w:val="16"/>
      <w:szCs w:val="16"/>
      <w:lang w:val="sq-AL"/>
    </w:rPr>
  </w:style>
  <w:style w:type="paragraph" w:customStyle="1" w:styleId="ColorfulList-Accent11">
    <w:name w:val="Colorful List - Accent 11"/>
    <w:basedOn w:val="Normal"/>
    <w:link w:val="ColorfulList-Accent1Char"/>
    <w:qFormat/>
    <w:rsid w:val="00E67BF3"/>
    <w:pPr>
      <w:ind w:left="720" w:hanging="547"/>
    </w:pPr>
    <w:rPr>
      <w:sz w:val="20"/>
    </w:rPr>
  </w:style>
  <w:style w:type="character" w:customStyle="1" w:styleId="ColorfulList-Accent1Char">
    <w:name w:val="Colorful List - Accent 1 Char"/>
    <w:link w:val="ColorfulList-Accent11"/>
    <w:rsid w:val="00E67BF3"/>
    <w:rPr>
      <w:rFonts w:eastAsia="Times New Roman"/>
      <w:szCs w:val="24"/>
      <w:lang w:val="sq-AL"/>
    </w:rPr>
  </w:style>
  <w:style w:type="paragraph" w:styleId="ListParagraph">
    <w:name w:val="List Paragraph"/>
    <w:basedOn w:val="Normal"/>
    <w:link w:val="ListParagraphChar"/>
    <w:uiPriority w:val="34"/>
    <w:qFormat/>
    <w:rsid w:val="00072CA0"/>
    <w:pPr>
      <w:ind w:left="720"/>
    </w:pPr>
  </w:style>
  <w:style w:type="character" w:styleId="Hyperlink">
    <w:name w:val="Hyperlink"/>
    <w:uiPriority w:val="99"/>
    <w:unhideWhenUsed/>
    <w:rsid w:val="00DB3734"/>
    <w:rPr>
      <w:color w:val="0000FF"/>
      <w:u w:val="single"/>
    </w:rPr>
  </w:style>
  <w:style w:type="paragraph" w:styleId="Revision">
    <w:name w:val="Revision"/>
    <w:hidden/>
    <w:uiPriority w:val="99"/>
    <w:semiHidden/>
    <w:rsid w:val="00720B57"/>
    <w:rPr>
      <w:rFonts w:eastAsia="Times New Roman"/>
      <w:sz w:val="22"/>
      <w:szCs w:val="24"/>
      <w:lang w:val="sq-AL"/>
    </w:rPr>
  </w:style>
  <w:style w:type="paragraph" w:styleId="NoSpacing">
    <w:name w:val="No Spacing"/>
    <w:uiPriority w:val="1"/>
    <w:qFormat/>
    <w:rsid w:val="00A30D46"/>
    <w:rPr>
      <w:rFonts w:ascii="Calibri" w:hAnsi="Calibri" w:cs="Calibri"/>
      <w:sz w:val="22"/>
      <w:szCs w:val="22"/>
    </w:rPr>
  </w:style>
  <w:style w:type="character" w:customStyle="1" w:styleId="ListParagraphChar">
    <w:name w:val="List Paragraph Char"/>
    <w:link w:val="ListParagraph"/>
    <w:uiPriority w:val="34"/>
    <w:locked/>
    <w:rsid w:val="002325C4"/>
    <w:rPr>
      <w:rFonts w:eastAsia="Times New Roman"/>
      <w:sz w:val="22"/>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44354">
      <w:bodyDiv w:val="1"/>
      <w:marLeft w:val="0"/>
      <w:marRight w:val="0"/>
      <w:marTop w:val="0"/>
      <w:marBottom w:val="0"/>
      <w:divBdr>
        <w:top w:val="none" w:sz="0" w:space="0" w:color="auto"/>
        <w:left w:val="none" w:sz="0" w:space="0" w:color="auto"/>
        <w:bottom w:val="none" w:sz="0" w:space="0" w:color="auto"/>
        <w:right w:val="none" w:sz="0" w:space="0" w:color="auto"/>
      </w:divBdr>
      <w:divsChild>
        <w:div w:id="1026368702">
          <w:marLeft w:val="0"/>
          <w:marRight w:val="0"/>
          <w:marTop w:val="0"/>
          <w:marBottom w:val="0"/>
          <w:divBdr>
            <w:top w:val="none" w:sz="0" w:space="0" w:color="auto"/>
            <w:left w:val="none" w:sz="0" w:space="0" w:color="auto"/>
            <w:bottom w:val="none" w:sz="0" w:space="0" w:color="auto"/>
            <w:right w:val="none" w:sz="0" w:space="0" w:color="auto"/>
          </w:divBdr>
          <w:divsChild>
            <w:div w:id="284625872">
              <w:marLeft w:val="0"/>
              <w:marRight w:val="0"/>
              <w:marTop w:val="0"/>
              <w:marBottom w:val="0"/>
              <w:divBdr>
                <w:top w:val="none" w:sz="0" w:space="0" w:color="auto"/>
                <w:left w:val="none" w:sz="0" w:space="0" w:color="auto"/>
                <w:bottom w:val="none" w:sz="0" w:space="0" w:color="auto"/>
                <w:right w:val="none" w:sz="0" w:space="0" w:color="auto"/>
              </w:divBdr>
              <w:divsChild>
                <w:div w:id="1976988951">
                  <w:marLeft w:val="0"/>
                  <w:marRight w:val="0"/>
                  <w:marTop w:val="0"/>
                  <w:marBottom w:val="0"/>
                  <w:divBdr>
                    <w:top w:val="none" w:sz="0" w:space="0" w:color="auto"/>
                    <w:left w:val="none" w:sz="0" w:space="0" w:color="auto"/>
                    <w:bottom w:val="none" w:sz="0" w:space="0" w:color="auto"/>
                    <w:right w:val="none" w:sz="0" w:space="0" w:color="auto"/>
                  </w:divBdr>
                  <w:divsChild>
                    <w:div w:id="1907757784">
                      <w:marLeft w:val="0"/>
                      <w:marRight w:val="0"/>
                      <w:marTop w:val="0"/>
                      <w:marBottom w:val="0"/>
                      <w:divBdr>
                        <w:top w:val="none" w:sz="0" w:space="0" w:color="auto"/>
                        <w:left w:val="none" w:sz="0" w:space="0" w:color="auto"/>
                        <w:bottom w:val="none" w:sz="0" w:space="0" w:color="auto"/>
                        <w:right w:val="none" w:sz="0" w:space="0" w:color="auto"/>
                      </w:divBdr>
                      <w:divsChild>
                        <w:div w:id="765033220">
                          <w:marLeft w:val="0"/>
                          <w:marRight w:val="0"/>
                          <w:marTop w:val="0"/>
                          <w:marBottom w:val="0"/>
                          <w:divBdr>
                            <w:top w:val="none" w:sz="0" w:space="0" w:color="auto"/>
                            <w:left w:val="none" w:sz="0" w:space="0" w:color="auto"/>
                            <w:bottom w:val="none" w:sz="0" w:space="0" w:color="auto"/>
                            <w:right w:val="none" w:sz="0" w:space="0" w:color="auto"/>
                          </w:divBdr>
                          <w:divsChild>
                            <w:div w:id="1362971828">
                              <w:marLeft w:val="0"/>
                              <w:marRight w:val="0"/>
                              <w:marTop w:val="0"/>
                              <w:marBottom w:val="0"/>
                              <w:divBdr>
                                <w:top w:val="none" w:sz="0" w:space="0" w:color="auto"/>
                                <w:left w:val="none" w:sz="0" w:space="0" w:color="auto"/>
                                <w:bottom w:val="none" w:sz="0" w:space="0" w:color="auto"/>
                                <w:right w:val="none" w:sz="0" w:space="0" w:color="auto"/>
                              </w:divBdr>
                              <w:divsChild>
                                <w:div w:id="1282768039">
                                  <w:marLeft w:val="0"/>
                                  <w:marRight w:val="0"/>
                                  <w:marTop w:val="0"/>
                                  <w:marBottom w:val="0"/>
                                  <w:divBdr>
                                    <w:top w:val="none" w:sz="0" w:space="0" w:color="auto"/>
                                    <w:left w:val="none" w:sz="0" w:space="0" w:color="auto"/>
                                    <w:bottom w:val="none" w:sz="0" w:space="0" w:color="auto"/>
                                    <w:right w:val="none" w:sz="0" w:space="0" w:color="auto"/>
                                  </w:divBdr>
                                  <w:divsChild>
                                    <w:div w:id="2097940559">
                                      <w:marLeft w:val="0"/>
                                      <w:marRight w:val="0"/>
                                      <w:marTop w:val="0"/>
                                      <w:marBottom w:val="0"/>
                                      <w:divBdr>
                                        <w:top w:val="none" w:sz="0" w:space="0" w:color="auto"/>
                                        <w:left w:val="none" w:sz="0" w:space="0" w:color="auto"/>
                                        <w:bottom w:val="none" w:sz="0" w:space="0" w:color="auto"/>
                                        <w:right w:val="none" w:sz="0" w:space="0" w:color="auto"/>
                                      </w:divBdr>
                                      <w:divsChild>
                                        <w:div w:id="1361588657">
                                          <w:marLeft w:val="0"/>
                                          <w:marRight w:val="0"/>
                                          <w:marTop w:val="0"/>
                                          <w:marBottom w:val="0"/>
                                          <w:divBdr>
                                            <w:top w:val="none" w:sz="0" w:space="0" w:color="auto"/>
                                            <w:left w:val="none" w:sz="0" w:space="0" w:color="auto"/>
                                            <w:bottom w:val="none" w:sz="0" w:space="0" w:color="auto"/>
                                            <w:right w:val="none" w:sz="0" w:space="0" w:color="auto"/>
                                          </w:divBdr>
                                          <w:divsChild>
                                            <w:div w:id="893780637">
                                              <w:marLeft w:val="0"/>
                                              <w:marRight w:val="0"/>
                                              <w:marTop w:val="0"/>
                                              <w:marBottom w:val="0"/>
                                              <w:divBdr>
                                                <w:top w:val="none" w:sz="0" w:space="0" w:color="auto"/>
                                                <w:left w:val="none" w:sz="0" w:space="0" w:color="auto"/>
                                                <w:bottom w:val="none" w:sz="0" w:space="0" w:color="auto"/>
                                                <w:right w:val="none" w:sz="0" w:space="0" w:color="auto"/>
                                              </w:divBdr>
                                              <w:divsChild>
                                                <w:div w:id="620495783">
                                                  <w:marLeft w:val="0"/>
                                                  <w:marRight w:val="0"/>
                                                  <w:marTop w:val="0"/>
                                                  <w:marBottom w:val="0"/>
                                                  <w:divBdr>
                                                    <w:top w:val="none" w:sz="0" w:space="0" w:color="auto"/>
                                                    <w:left w:val="none" w:sz="0" w:space="0" w:color="auto"/>
                                                    <w:bottom w:val="none" w:sz="0" w:space="0" w:color="auto"/>
                                                    <w:right w:val="none" w:sz="0" w:space="0" w:color="auto"/>
                                                  </w:divBdr>
                                                  <w:divsChild>
                                                    <w:div w:id="786779075">
                                                      <w:marLeft w:val="0"/>
                                                      <w:marRight w:val="0"/>
                                                      <w:marTop w:val="0"/>
                                                      <w:marBottom w:val="0"/>
                                                      <w:divBdr>
                                                        <w:top w:val="none" w:sz="0" w:space="0" w:color="auto"/>
                                                        <w:left w:val="none" w:sz="0" w:space="0" w:color="auto"/>
                                                        <w:bottom w:val="none" w:sz="0" w:space="0" w:color="auto"/>
                                                        <w:right w:val="none" w:sz="0" w:space="0" w:color="auto"/>
                                                      </w:divBdr>
                                                      <w:divsChild>
                                                        <w:div w:id="291987087">
                                                          <w:marLeft w:val="0"/>
                                                          <w:marRight w:val="0"/>
                                                          <w:marTop w:val="0"/>
                                                          <w:marBottom w:val="0"/>
                                                          <w:divBdr>
                                                            <w:top w:val="none" w:sz="0" w:space="0" w:color="auto"/>
                                                            <w:left w:val="none" w:sz="0" w:space="0" w:color="auto"/>
                                                            <w:bottom w:val="none" w:sz="0" w:space="0" w:color="auto"/>
                                                            <w:right w:val="none" w:sz="0" w:space="0" w:color="auto"/>
                                                          </w:divBdr>
                                                          <w:divsChild>
                                                            <w:div w:id="886799439">
                                                              <w:marLeft w:val="0"/>
                                                              <w:marRight w:val="0"/>
                                                              <w:marTop w:val="0"/>
                                                              <w:marBottom w:val="0"/>
                                                              <w:divBdr>
                                                                <w:top w:val="none" w:sz="0" w:space="0" w:color="auto"/>
                                                                <w:left w:val="none" w:sz="0" w:space="0" w:color="auto"/>
                                                                <w:bottom w:val="none" w:sz="0" w:space="0" w:color="auto"/>
                                                                <w:right w:val="none" w:sz="0" w:space="0" w:color="auto"/>
                                                              </w:divBdr>
                                                              <w:divsChild>
                                                                <w:div w:id="1424185999">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C01A2-B17F-45F3-927C-AF864725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4998</Words>
  <Characters>28494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suzana.krasniqi</dc:creator>
  <cp:keywords/>
  <cp:lastModifiedBy>Anita G.Krasniqi</cp:lastModifiedBy>
  <cp:revision>12</cp:revision>
  <dcterms:created xsi:type="dcterms:W3CDTF">2018-05-30T12:56:00Z</dcterms:created>
  <dcterms:modified xsi:type="dcterms:W3CDTF">2018-06-06T11:34:00Z</dcterms:modified>
</cp:coreProperties>
</file>